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3. Methodology</w:t>
      </w:r>
    </w:p>
    <w:p>
      <w:pPr>
        <w:jc w:val="both"/>
      </w:pPr>
      <w:r>
        <w:t>The methodological framework of this research introduces a novel, hybrid architecture that marries physics-informed machine learning (PIML) with multi-objective evolutionary optimization. The primary objective is to construct a near-instantaneous surrogate model capable of replacing computationally expensive whole-building energy simulation engines (such as EnergyPlus) during early-stage architectural design. The system architecture is divided into five sequential modules: (1) Physics-Informed Synthetic Data Generation, (2) Feature Engineering and Climate Integration, (3) Hybrid Predictive Surrogate Modeling, (4) Multi-Objective Evolutionary Optimization, and (5) Explainable AI (XAI) with Continuous MLOps.</w:t>
      </w:r>
    </w:p>
    <w:p>
      <w:pPr>
        <w:pStyle w:val="Heading2"/>
      </w:pPr>
      <w:r>
        <w:t>3.1 Physics-Informed Synthetic Data Generation</w:t>
      </w:r>
    </w:p>
    <w:p>
      <w:pPr>
        <w:jc w:val="both"/>
      </w:pPr>
      <w:r>
        <w:t>One of the critical challenges in applying machine learning to building physics in the Indian subcontinent is the scarcity of high-fidelity, open-source operational datasets. To overcome this, a parameterized synthetic data generation pipeline was established. A discrete design space was constructed bounding critical building envelope variables against commercial reality and the Energy Conservation Building Code (ECBC 2017) prescriptive limits.</w:t>
      </w:r>
    </w:p>
    <w:p>
      <w:pPr>
        <w:jc w:val="both"/>
      </w:pPr>
      <w:r>
        <w:t>Using randomized quasi-Monte Carlo sampling techniques, an expansive dataset comprising 25,000 distinct building configurations was synthesized. The independent variables included envelope thermal transmittance (Wall U-value, Roof U-value, Glass U-value), Solar Heat Gain Coefficient (SHGC), Window-to-Wall Ratio (WWR bounded between 10% and 90%), internal occupancy density, equipment loads, and HVAC Coefficient of Performance (COP). To generate the target variable—Energy Use Intensity (EUI in kWh/m²·yr)—a deterministic thermal heuristic model was deployed. This heuristic explicitly computes conductive heat transfer through opaque surfaces and radiative transmission through fenestrations, grounded dynamically against regional Cooling Degree Days (CDD) and Heating Degree Days (HDD).</w:t>
      </w:r>
    </w:p>
    <w:p>
      <w:pPr>
        <w:pStyle w:val="Heading2"/>
      </w:pPr>
      <w:r>
        <w:t>3.2 Climate Integration and Advanced Feature Engineering</w:t>
      </w:r>
    </w:p>
    <w:p>
      <w:pPr>
        <w:jc w:val="both"/>
      </w:pPr>
      <w:r>
        <w:t>To achieve climate responsiveness without relying on static EPW files, the framework integrates dynamically with the NASA POWER (Prediction of Worldwide Energy Resources) API. Geolocation queries fetch temporal climatology data, dynamically calculating localized CDD, HDD, and annual solar irradiance (kWh/m²/day). To facilitate robust non-linear regression by the machine learning engine, raw input variables were transformed into 19 distinct physics-informed engineered features. These transformations inject domain knowledge directly into the algorithmic feature space. Notable engineered variables include:</w:t>
      </w:r>
    </w:p>
    <w:p>
      <w:pPr>
        <w:pStyle w:val="ListBullet"/>
      </w:pPr>
      <w:r>
        <w:rPr>
          <w:b/>
        </w:rPr>
        <w:t>Aggregate Envelope Thermal Transmittance (UA):</w:t>
      </w:r>
      <w:r>
        <w:t xml:space="preserve"> A weighted aggregation of the U-values for walls, roofs, and fenestrations based on WWR area ratios.</w:t>
      </w:r>
    </w:p>
    <w:p>
      <w:pPr>
        <w:pStyle w:val="ListBullet"/>
      </w:pPr>
      <w:r>
        <w:rPr>
          <w:b/>
        </w:rPr>
        <w:t>Solar Heat Gain Potential:</w:t>
      </w:r>
      <w:r>
        <w:t xml:space="preserve"> The interactive product of WWR, SHGC, and incident solar radiation, scaled non-linearly by geographic orientation factors (e.g., higher multipliers for South and West exposures).</w:t>
      </w:r>
    </w:p>
    <w:p>
      <w:pPr>
        <w:pStyle w:val="ListBullet"/>
      </w:pPr>
      <w:r>
        <w:rPr>
          <w:b/>
        </w:rPr>
        <w:t>Climate Severity Index:</w:t>
      </w:r>
      <w:r>
        <w:t xml:space="preserve"> A unified scalar representation combining CDD and HDD to quantify generalized environmental thermal stress.</w:t>
      </w:r>
    </w:p>
    <w:p>
      <w:pPr>
        <w:jc w:val="both"/>
      </w:pPr>
      <w:r>
        <w:t>Prior to training, all engineered features were subjected to robust scaling to normalize variance and prevent feature dominance.</w:t>
      </w:r>
    </w:p>
    <w:p>
      <w:pPr>
        <w:pStyle w:val="Heading2"/>
      </w:pPr>
      <w:r>
        <w:t>3.3 Hybrid Predictive Surrogate Modeling</w:t>
      </w:r>
    </w:p>
    <w:p>
      <w:pPr>
        <w:jc w:val="both"/>
      </w:pPr>
      <w:r>
        <w:t>The core inference engine required a model capable of predicting thermal EUI with high accuracy while maintaining millisecond latency to support real-time user interaction. Three diverse algorithms were evaluated on the 25,000-record dataset: Ridge Regression (L2 regularization), Random Forest (bagging ensemble), and eXtreme Gradient Boosting (XGBoost). XGBoost demonstrated superior predictive fidelity, achieving a coefficient of determination (R²) of 0.8705 and a Mean Absolute Error (MAE) of 8.4 kWh/m²·yr, and was subsequently deployed as the primary surrogate model.</w:t>
      </w:r>
    </w:p>
    <w:p>
      <w:pPr>
        <w:jc w:val="both"/>
      </w:pPr>
      <w:r>
        <w:t>Crucially, the methodology implements a Hybrid Inference approach. While the XGBoost model is utilized to predict the complex, non-linear thermal envelope load (heating/cooling), internal loads are extracted from the ML pipeline and computed deterministically. Plug loads and metabolic occupant loads are calculated using first-principles ASHRAE equations (e.g., 75 W metabolic heat per person) and scaled linearly by exact weekly operating hours. This hybridization ensures that operational schedules influence the final EUI with absolute deterministic precision, resolving a common failure point in purely data-driven EUI models.</w:t>
      </w:r>
    </w:p>
    <w:p>
      <w:pPr>
        <w:pStyle w:val="Heading2"/>
      </w:pPr>
      <w:r>
        <w:t>3.4 Multi-Objective Evolutionary Optimization</w:t>
      </w:r>
    </w:p>
    <w:p>
      <w:pPr>
        <w:jc w:val="both"/>
      </w:pPr>
      <w:r>
        <w:t>To elevate the system from a predictive evaluator to an automated design generator, a multi-objective genetic algorithm (resembling NSGA-II principles) was designed. The optimizer searches a discrete space of verified, commercially available Indian building materials (sourced from CPWD schedules and BMTPC data). The algorithm navigates the trade-off frontier across three competing objective functions:</w:t>
      </w:r>
    </w:p>
    <w:p>
      <w:pPr>
        <w:pStyle w:val="ListNumber"/>
      </w:pPr>
      <w:r>
        <w:rPr>
          <w:b/>
        </w:rPr>
        <w:t>Efficiency:</w:t>
      </w:r>
      <w:r>
        <w:t xml:space="preserve"> Minimization of operational EUI via the XGBoost surrogate model.</w:t>
      </w:r>
    </w:p>
    <w:p>
      <w:pPr>
        <w:pStyle w:val="ListNumber"/>
      </w:pPr>
      <w:r>
        <w:rPr>
          <w:b/>
        </w:rPr>
        <w:t>Sustainability:</w:t>
      </w:r>
      <w:r>
        <w:t xml:space="preserve"> Minimization of total embodied carbon (kgCO2e/m²) based on life-cycle assessments of the selected material assembly.</w:t>
      </w:r>
    </w:p>
    <w:p>
      <w:pPr>
        <w:pStyle w:val="ListNumber"/>
      </w:pPr>
      <w:r>
        <w:rPr>
          <w:b/>
        </w:rPr>
        <w:t>Financial Feasibility:</w:t>
      </w:r>
      <w:r>
        <w:t xml:space="preserve"> Minimization of the construction Cost Index.</w:t>
      </w:r>
    </w:p>
    <w:p>
      <w:pPr>
        <w:jc w:val="both"/>
      </w:pPr>
      <w:r>
        <w:t>To ensure practical applicability, a strict legal constraint was embedded within the fitness function. Any genome (material combination) generated by the algorithm must mathematically satisfy the prescriptive U-value and SHGC thresholds mandated by ECBC 2017 for the building’s specific climate zone (e.g., Hot-Dry, Warm-Humid). Non-compliant combinations are subjected to severe fitness penalties, ensuring all optimized recommendations are legally viable.</w:t>
      </w:r>
    </w:p>
    <w:p>
      <w:pPr>
        <w:pStyle w:val="Heading2"/>
      </w:pPr>
      <w:r>
        <w:t>3.5 Explainability (XAI) and Continuous MLOps</w:t>
      </w:r>
    </w:p>
    <w:p>
      <w:pPr>
        <w:jc w:val="both"/>
      </w:pPr>
      <w:r>
        <w:t>A recurring critique of machine learning in architectural engineering is the 'black box' nature of tree-based models. To address this, the framework integrates SHapley Additive exPlanations (SHAP) derived from cooperative game theory. The system computes exact marginal contributions of individual features (e.g., the specific EUI impact of a 10% increase in WWR), providing designers with local, actionable interpretability for every simulation.</w:t>
      </w:r>
    </w:p>
    <w:p>
      <w:pPr>
        <w:jc w:val="both"/>
      </w:pPr>
      <w:r>
        <w:t>Finally, to guarantee long-term reliability against macroscopic climate shifts, a continuous Machine Learning Operations (MLOps) pipeline was developed. The system tracks real-time inference data and logs operational queries. A statistical drift-detection mechanism monitors this telemetry; upon breaching a pre-defined volumetric threshold (e.g., 5,000 new predictions), an automated retraining protocol is triggered asynchronously. This dynamic retraining enables the surrogate model to continuously self-calibrate without engineering intervention, establishing a highly resilient architectural intelligence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