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5EE9E" w14:textId="77777777" w:rsidR="00917E23" w:rsidRDefault="007006D6">
      <w:pPr>
        <w:pStyle w:val="Heading1"/>
        <w:spacing w:before="280" w:after="120"/>
      </w:pPr>
      <w:r>
        <w:rPr>
          <w:rFonts w:ascii="Times New Roman" w:hAnsi="Times New Roman"/>
          <w:color w:val="000000"/>
          <w:sz w:val="32"/>
        </w:rPr>
        <w:t>3. Methodology</w:t>
      </w:r>
    </w:p>
    <w:p w14:paraId="3B200D1F" w14:textId="77777777" w:rsidR="00917E23" w:rsidRDefault="007006D6">
      <w:pPr>
        <w:spacing w:after="120"/>
        <w:jc w:val="both"/>
      </w:pPr>
      <w:r>
        <w:rPr>
          <w:rFonts w:ascii="Times New Roman" w:hAnsi="Times New Roman"/>
          <w:sz w:val="24"/>
        </w:rPr>
        <w:t xml:space="preserve">This section delineates the complete methodological pipeline of the proposed ClimaBuild AI system — a physics-informed, hybrid machine learning framework engineered for real-time building energy performance prediction, prescriptive material optimization, and regulatory compliance verification in the Indian construction context. The end-to-end pipeline is organised into five sequential, modular stages: (i) physics-informed synthetic data generation, (ii) advanced feature engineering and multi-source climate </w:t>
      </w:r>
      <w:r>
        <w:rPr>
          <w:rFonts w:ascii="Times New Roman" w:hAnsi="Times New Roman"/>
          <w:sz w:val="24"/>
        </w:rPr>
        <w:t>integration, (iii) hybrid surrogate model training and validation, (iv) multi-objective evolutionary material optimization, and (v) explainable AI integration with a continuous MLOps pipeline. Each module is individually described in full detail below, including theoretical justification, governing equations, implementation specifics, and validated quantitative outputs.</w:t>
      </w:r>
    </w:p>
    <w:p w14:paraId="57A4436A" w14:textId="77777777" w:rsidR="00917E23" w:rsidRDefault="007006D6">
      <w:pPr>
        <w:pStyle w:val="Heading2"/>
        <w:spacing w:before="240" w:after="80"/>
      </w:pPr>
      <w:r>
        <w:rPr>
          <w:rFonts w:ascii="Times New Roman" w:hAnsi="Times New Roman"/>
          <w:color w:val="000000"/>
        </w:rPr>
        <w:t>3.1 Physics-Informed Synthetic Dataset Generation</w:t>
      </w:r>
    </w:p>
    <w:p w14:paraId="53BB1B97" w14:textId="77777777" w:rsidR="00917E23" w:rsidRDefault="007006D6">
      <w:pPr>
        <w:spacing w:after="120"/>
        <w:jc w:val="both"/>
      </w:pPr>
      <w:r>
        <w:rPr>
          <w:rFonts w:ascii="Times New Roman" w:hAnsi="Times New Roman"/>
          <w:sz w:val="24"/>
        </w:rPr>
        <w:t>A fundamental challenge in applying data-driven predictive models to building energy performance — particularly for the Indian built environment — is the near-total absence of a comprehensive, publicly accessible operational energy database. Unlike the U.S. Commercial Buildings Energy Consumption Survey (CBECS) or the European TABULA project, India lacks a national energy use intensity (EUI) benchmark repository with the granularity necessary for supervised machine learning. To overcome this limitation, a p</w:t>
      </w:r>
      <w:r>
        <w:rPr>
          <w:rFonts w:ascii="Times New Roman" w:hAnsi="Times New Roman"/>
          <w:sz w:val="24"/>
        </w:rPr>
        <w:t>hysics-informed synthetic dataset was constructed from first principles, ensuring every generated record is physically plausible, commercially realistic, and calibrated against the Energy Conservation Building Code (ECBC 2017) issued by the Bureau of Energy Efficiency (BEE), Government of India.</w:t>
      </w:r>
    </w:p>
    <w:p w14:paraId="4C1E40C7" w14:textId="77777777" w:rsidR="00917E23" w:rsidRDefault="007006D6">
      <w:pPr>
        <w:pStyle w:val="Heading3"/>
        <w:spacing w:before="160" w:after="40"/>
      </w:pPr>
      <w:r>
        <w:rPr>
          <w:rFonts w:ascii="Times New Roman" w:hAnsi="Times New Roman"/>
          <w:i/>
          <w:color w:val="000000"/>
          <w:sz w:val="24"/>
        </w:rPr>
        <w:t>3.1.1 Design Space Parameterization</w:t>
      </w:r>
    </w:p>
    <w:p w14:paraId="3FA7F2BA" w14:textId="77777777" w:rsidR="00917E23" w:rsidRDefault="007006D6">
      <w:pPr>
        <w:spacing w:after="120"/>
        <w:jc w:val="both"/>
      </w:pPr>
      <w:r>
        <w:rPr>
          <w:rFonts w:ascii="Times New Roman" w:hAnsi="Times New Roman"/>
          <w:sz w:val="24"/>
        </w:rPr>
        <w:t>The parameter space was defined by bounding five primary building envelope properties, three internal load characteristics, and two key climate descriptors. All variable ranges were constrained against commercially available products in the Indian market and validated against ECBC 2017 prescriptive limits across all five Indian climate zones (Hot-Dry, Warm-Humid, Composite, Temperate, and Cold). The specific parameter bounds, physical units, and authoritative source citations are described below:</w:t>
      </w:r>
    </w:p>
    <w:p w14:paraId="29179AA5" w14:textId="77777777" w:rsidR="00917E23" w:rsidRDefault="007006D6">
      <w:pPr>
        <w:pStyle w:val="ListBullet"/>
        <w:jc w:val="both"/>
      </w:pPr>
      <w:r>
        <w:rPr>
          <w:rFonts w:ascii="Times New Roman" w:hAnsi="Times New Roman"/>
          <w:b/>
          <w:sz w:val="24"/>
        </w:rPr>
        <w:t xml:space="preserve">Wall U-value (U_wall):  </w:t>
      </w:r>
      <w:r>
        <w:rPr>
          <w:rFonts w:ascii="Times New Roman" w:hAnsi="Times New Roman"/>
          <w:sz w:val="24"/>
        </w:rPr>
        <w:t>Bounded 0.40 to 4.50 W/m²K, representing the thermal range from advanced EPS-insulated AAC block assemblies (BEE ENS 2018; BMTPC Table 2.3; IS 2185 Part 3) to un-insulated bare brick construction.</w:t>
      </w:r>
    </w:p>
    <w:p w14:paraId="099473F3" w14:textId="77777777" w:rsidR="00917E23" w:rsidRDefault="007006D6">
      <w:pPr>
        <w:pStyle w:val="ListBullet"/>
        <w:jc w:val="both"/>
      </w:pPr>
      <w:r>
        <w:rPr>
          <w:rFonts w:ascii="Times New Roman" w:hAnsi="Times New Roman"/>
          <w:b/>
          <w:sz w:val="24"/>
        </w:rPr>
        <w:t xml:space="preserve">Roof U-value (U_roof):  </w:t>
      </w:r>
      <w:r>
        <w:rPr>
          <w:rFonts w:ascii="Times New Roman" w:hAnsi="Times New Roman"/>
          <w:sz w:val="24"/>
        </w:rPr>
        <w:t>Bounded 0.25 to 4.00 W/m²K, spanning adaptive green roofs and PUF sandwich panels to plain un-insulated RCC flat slabs (IS 456:2000; BMTPC Table 3.5).</w:t>
      </w:r>
    </w:p>
    <w:p w14:paraId="1F30FA1C" w14:textId="77777777" w:rsidR="00917E23" w:rsidRDefault="007006D6">
      <w:pPr>
        <w:pStyle w:val="ListBullet"/>
        <w:jc w:val="both"/>
      </w:pPr>
      <w:r>
        <w:rPr>
          <w:rFonts w:ascii="Times New Roman" w:hAnsi="Times New Roman"/>
          <w:b/>
          <w:sz w:val="24"/>
        </w:rPr>
        <w:t xml:space="preserve">Glazing U-value (U_glass):  </w:t>
      </w:r>
      <w:r>
        <w:rPr>
          <w:rFonts w:ascii="Times New Roman" w:hAnsi="Times New Roman"/>
          <w:sz w:val="24"/>
        </w:rPr>
        <w:t>Bounded 1.50 to 6.00 W/m²K, from high-performance triple-glazed low-emissivity units to single-pane float glass (NFRC 100; Saint-Gobain India Technical Data 2023; IS 2553 Part 1).</w:t>
      </w:r>
    </w:p>
    <w:p w14:paraId="34F7CCEE" w14:textId="77777777" w:rsidR="00917E23" w:rsidRDefault="007006D6">
      <w:pPr>
        <w:pStyle w:val="ListBullet"/>
        <w:jc w:val="both"/>
      </w:pPr>
      <w:r>
        <w:rPr>
          <w:rFonts w:ascii="Times New Roman" w:hAnsi="Times New Roman"/>
          <w:b/>
          <w:sz w:val="24"/>
        </w:rPr>
        <w:lastRenderedPageBreak/>
        <w:t xml:space="preserve">Solar Heat Gain Coefficient (SHGC):  </w:t>
      </w:r>
      <w:r>
        <w:rPr>
          <w:rFonts w:ascii="Times New Roman" w:hAnsi="Times New Roman"/>
          <w:sz w:val="24"/>
        </w:rPr>
        <w:t>Bounded 0.15 to 0.90, from electrochromic dynamic tinting glass to standard clear float glass.</w:t>
      </w:r>
    </w:p>
    <w:p w14:paraId="217D8840" w14:textId="77777777" w:rsidR="00917E23" w:rsidRDefault="007006D6">
      <w:pPr>
        <w:pStyle w:val="ListBullet"/>
        <w:jc w:val="both"/>
      </w:pPr>
      <w:r>
        <w:rPr>
          <w:rFonts w:ascii="Times New Roman" w:hAnsi="Times New Roman"/>
          <w:b/>
          <w:sz w:val="24"/>
        </w:rPr>
        <w:t xml:space="preserve">Window-to-Wall Ratio (WWR):  </w:t>
      </w:r>
      <w:r>
        <w:rPr>
          <w:rFonts w:ascii="Times New Roman" w:hAnsi="Times New Roman"/>
          <w:sz w:val="24"/>
        </w:rPr>
        <w:t>Bounded 0.10 to 0.90. Lower bound reflects structural and daylight minimums; upper bound is constrained by ECBC 2017 maximum permissible glazing fractions per climate zone.</w:t>
      </w:r>
    </w:p>
    <w:p w14:paraId="67E0C528" w14:textId="77777777" w:rsidR="00917E23" w:rsidRDefault="007006D6">
      <w:pPr>
        <w:pStyle w:val="ListBullet"/>
        <w:jc w:val="both"/>
      </w:pPr>
      <w:r>
        <w:rPr>
          <w:rFonts w:ascii="Times New Roman" w:hAnsi="Times New Roman"/>
          <w:b/>
          <w:sz w:val="24"/>
        </w:rPr>
        <w:t xml:space="preserve">HVAC Coefficient of Performance (COP):  </w:t>
      </w:r>
      <w:r>
        <w:rPr>
          <w:rFonts w:ascii="Times New Roman" w:hAnsi="Times New Roman"/>
          <w:sz w:val="24"/>
        </w:rPr>
        <w:t>Discretized to five values mapped to system types: Split/Window AC (2.8, per IS 1391 Part 2, BEE 3-4★ rated); Variable Refrigerant Flow (3.8, ISHRAE Guidelines 2022); Central Chiller VAV (4.0, IS 11239 Part 1); Evaporative Cooler (8.0, effective cooling in Hot-Dry climates).</w:t>
      </w:r>
    </w:p>
    <w:p w14:paraId="34F87B6E" w14:textId="77777777" w:rsidR="00917E23" w:rsidRDefault="007006D6">
      <w:pPr>
        <w:pStyle w:val="ListBullet"/>
        <w:jc w:val="both"/>
      </w:pPr>
      <w:r>
        <w:rPr>
          <w:rFonts w:ascii="Times New Roman" w:hAnsi="Times New Roman"/>
          <w:b/>
          <w:sz w:val="24"/>
        </w:rPr>
        <w:t xml:space="preserve">Occupancy Density (ρ):  </w:t>
      </w:r>
      <w:r>
        <w:rPr>
          <w:rFonts w:ascii="Times New Roman" w:hAnsi="Times New Roman"/>
          <w:sz w:val="24"/>
        </w:rPr>
        <w:t>Bounded 0.05 to 0.30 persons/m², reflecting light office to dense retail archetypes per NBC 2016 norms.</w:t>
      </w:r>
    </w:p>
    <w:p w14:paraId="3BA3F404" w14:textId="77777777" w:rsidR="00917E23" w:rsidRDefault="007006D6">
      <w:pPr>
        <w:pStyle w:val="ListBullet"/>
        <w:jc w:val="both"/>
      </w:pPr>
      <w:r>
        <w:rPr>
          <w:rFonts w:ascii="Times New Roman" w:hAnsi="Times New Roman"/>
          <w:b/>
          <w:sz w:val="24"/>
        </w:rPr>
        <w:t xml:space="preserve">Equipment Load Density (W_eq):  </w:t>
      </w:r>
      <w:r>
        <w:rPr>
          <w:rFonts w:ascii="Times New Roman" w:hAnsi="Times New Roman"/>
          <w:sz w:val="24"/>
        </w:rPr>
        <w:t>Bounded 5 to 40 W/m², spanning low-intensity back-office environments to high-density healthcare equipment loads.</w:t>
      </w:r>
    </w:p>
    <w:p w14:paraId="1BD51B1E" w14:textId="77777777" w:rsidR="00917E23" w:rsidRDefault="007006D6">
      <w:pPr>
        <w:pStyle w:val="ListBullet"/>
        <w:jc w:val="both"/>
      </w:pPr>
      <w:r>
        <w:rPr>
          <w:rFonts w:ascii="Times New Roman" w:hAnsi="Times New Roman"/>
          <w:b/>
          <w:sz w:val="24"/>
        </w:rPr>
        <w:t xml:space="preserve">Building Orientation:  </w:t>
      </w:r>
      <w:r>
        <w:rPr>
          <w:rFonts w:ascii="Times New Roman" w:hAnsi="Times New Roman"/>
          <w:sz w:val="24"/>
        </w:rPr>
        <w:t>Discretized to four cardinal directions (North, South, East, West), with empirical solar multipliers derived from ASHRAE 90.1 orientation sensitivity benchmarks.</w:t>
      </w:r>
    </w:p>
    <w:p w14:paraId="597E0352" w14:textId="77777777" w:rsidR="00917E23" w:rsidRDefault="007006D6">
      <w:pPr>
        <w:pStyle w:val="Heading3"/>
        <w:spacing w:before="160" w:after="40"/>
      </w:pPr>
      <w:r>
        <w:rPr>
          <w:rFonts w:ascii="Times New Roman" w:hAnsi="Times New Roman"/>
          <w:i/>
          <w:color w:val="000000"/>
          <w:sz w:val="24"/>
        </w:rPr>
        <w:t>3.1.2 Target Variable Generation — EUI Physics Heuristic</w:t>
      </w:r>
    </w:p>
    <w:p w14:paraId="52524E2F" w14:textId="77777777" w:rsidR="00917E23" w:rsidRDefault="007006D6">
      <w:pPr>
        <w:spacing w:after="120"/>
        <w:jc w:val="both"/>
      </w:pPr>
      <w:r>
        <w:rPr>
          <w:rFonts w:ascii="Times New Roman" w:hAnsi="Times New Roman"/>
          <w:sz w:val="24"/>
        </w:rPr>
        <w:t>The target variable, Annual Energy Use Intensity (EUI in kWh/m²·yr), was generated using a deterministic multi-component thermal heuristic model that decomposes total building energy consumption into three physically distinct, additive load categories. These components and their governing equations are as follows:</w:t>
      </w:r>
    </w:p>
    <w:p w14:paraId="3A8E4268" w14:textId="77777777" w:rsidR="00917E23" w:rsidRDefault="007006D6">
      <w:pPr>
        <w:pStyle w:val="ListNumber"/>
        <w:jc w:val="both"/>
      </w:pPr>
      <w:r>
        <w:rPr>
          <w:rFonts w:ascii="Times New Roman" w:hAnsi="Times New Roman"/>
          <w:b/>
          <w:sz w:val="24"/>
        </w:rPr>
        <w:t xml:space="preserve">Conductive Envelope Thermal Load (Q_env):  </w:t>
      </w:r>
      <w:r>
        <w:rPr>
          <w:rFonts w:ascii="Times New Roman" w:hAnsi="Times New Roman"/>
          <w:sz w:val="24"/>
        </w:rPr>
        <w:t>This term captures heat transfer through opaque and transparent surfaces driven by the ambient temperature differential, quantified by Cooling Degree Days (CDD) and Heating Degree Days (HDD). The governing expression is: Q_env = [(U_wall × (1 – WWR) + U_roof) × (CDD + HDD)] / (1000 × COP). The normalization by 1000 converts watt-hours to kilowatt-hours, and division by COP accounts for HVAC system efficiency in converting thermal loads to electrical energy.</w:t>
      </w:r>
    </w:p>
    <w:p w14:paraId="7E9667BE" w14:textId="77777777" w:rsidR="00917E23" w:rsidRDefault="007006D6">
      <w:pPr>
        <w:pStyle w:val="ListNumber"/>
        <w:jc w:val="both"/>
      </w:pPr>
      <w:r>
        <w:rPr>
          <w:rFonts w:ascii="Times New Roman" w:hAnsi="Times New Roman"/>
          <w:b/>
          <w:sz w:val="24"/>
        </w:rPr>
        <w:t xml:space="preserve">Solar Radiative Heat Gain (Q_solar):  </w:t>
      </w:r>
      <w:r>
        <w:rPr>
          <w:rFonts w:ascii="Times New Roman" w:hAnsi="Times New Roman"/>
          <w:sz w:val="24"/>
        </w:rPr>
        <w:t>Fenestration-transmitted solar radiation constitutes a dominant cooling load in Indian climates. This term is expressed as: Q_solar = (WWR × SHGC × I_solar × α_orient) / COP, where I_solar is the annual horizontal solar irradiance (kWh/m²/day × 365 days) and α_orient is an empirical orientation multiplier (South: 1.15, West: 1.10, East: 0.95, North: 0.70) calibrated to reflect differential solar exposure in the Northern Hemisphere.</w:t>
      </w:r>
    </w:p>
    <w:p w14:paraId="6B16EDAA" w14:textId="77777777" w:rsidR="00917E23" w:rsidRDefault="007006D6">
      <w:pPr>
        <w:pStyle w:val="ListNumber"/>
        <w:jc w:val="both"/>
      </w:pPr>
      <w:r>
        <w:rPr>
          <w:rFonts w:ascii="Times New Roman" w:hAnsi="Times New Roman"/>
          <w:b/>
          <w:sz w:val="24"/>
        </w:rPr>
        <w:t xml:space="preserve">Internal Plug Load EUI (Q_plug):  </w:t>
      </w:r>
      <w:r>
        <w:rPr>
          <w:rFonts w:ascii="Times New Roman" w:hAnsi="Times New Roman"/>
          <w:sz w:val="24"/>
        </w:rPr>
        <w:t>Computed deterministically from equipment load density, weekly operating hours h_op, and annual weeks (52): Q_plug = (W_eq × h_op × 52) / 1000, in kWh/m²·yr. This term is fully independent of envelope properties and climate, and is therefore excluded from the ML surrogate model input space.</w:t>
      </w:r>
    </w:p>
    <w:p w14:paraId="69A88685" w14:textId="77777777" w:rsidR="00917E23" w:rsidRDefault="007006D6">
      <w:pPr>
        <w:spacing w:after="120"/>
        <w:jc w:val="both"/>
      </w:pPr>
      <w:r>
        <w:rPr>
          <w:rFonts w:ascii="Times New Roman" w:hAnsi="Times New Roman"/>
          <w:sz w:val="24"/>
        </w:rPr>
        <w:t xml:space="preserve">The final synthesized EUI for each record is: EUI_total = Q_env + Q_solar + Q_plug. To introduce physically realistic measurement variance representative of sensor noise and in-situ </w:t>
      </w:r>
      <w:r>
        <w:rPr>
          <w:rFonts w:ascii="Times New Roman" w:hAnsi="Times New Roman"/>
          <w:sz w:val="24"/>
        </w:rPr>
        <w:lastRenderedPageBreak/>
        <w:t>construction quality variations, Gaussian noise (σ = 3% of Q_env) was added exclusively to the envelope-driven thermal component. Using this approach, a dataset of 25,000 unique building configurations was generated via randomized Latin Hypercube Sampling (LHS), a quasi-Monte Carlo technique that provides superior space-filling properties over simple random sampling, ensuring comprehensive coverage of the multi-dimensional design space.</w:t>
      </w:r>
    </w:p>
    <w:p w14:paraId="013D8E96" w14:textId="77777777" w:rsidR="00917E23" w:rsidRDefault="007006D6">
      <w:pPr>
        <w:pStyle w:val="Heading2"/>
        <w:spacing w:before="240" w:after="80"/>
      </w:pPr>
      <w:r>
        <w:rPr>
          <w:rFonts w:ascii="Times New Roman" w:hAnsi="Times New Roman"/>
          <w:color w:val="000000"/>
        </w:rPr>
        <w:t>3.2 Multi-Source Climate Integration and Feature Engineering</w:t>
      </w:r>
    </w:p>
    <w:p w14:paraId="3193C40B" w14:textId="77777777" w:rsidR="00917E23" w:rsidRDefault="007006D6">
      <w:pPr>
        <w:pStyle w:val="Heading3"/>
        <w:spacing w:before="160" w:after="40"/>
      </w:pPr>
      <w:r>
        <w:rPr>
          <w:rFonts w:ascii="Times New Roman" w:hAnsi="Times New Roman"/>
          <w:i/>
          <w:color w:val="000000"/>
          <w:sz w:val="24"/>
        </w:rPr>
        <w:t>3.2.1 Dynamic Climate Data Acquisition via NASA POWER API</w:t>
      </w:r>
    </w:p>
    <w:p w14:paraId="0CD4B2A4" w14:textId="77777777" w:rsidR="00917E23" w:rsidRDefault="007006D6">
      <w:pPr>
        <w:spacing w:after="120"/>
        <w:jc w:val="both"/>
      </w:pPr>
      <w:r>
        <w:rPr>
          <w:rFonts w:ascii="Times New Roman" w:hAnsi="Times New Roman"/>
          <w:sz w:val="24"/>
        </w:rPr>
        <w:t>A distinctive and novel contribution of this framework is its real-time climate integration capability. Rather than relying solely on static EnergyPlus Weather (EPW) files — which represent historical normals from a limited set of meteorological stations and may be unavailable for many tier-2 and tier-3 Indian cities — the system queries the NASA POWER (Prediction of Worldwide Energy Resources) REST API as its primary climate data source. NASA POWER provides 30-year monthly climatology data derived from sat</w:t>
      </w:r>
      <w:r>
        <w:rPr>
          <w:rFonts w:ascii="Times New Roman" w:hAnsi="Times New Roman"/>
          <w:sz w:val="24"/>
        </w:rPr>
        <w:t>ellite observations at a resolution of 0.5° × 0.625° for any geographic coordinate globally, from which the following climate descriptors are computed dynamically at inference time:</w:t>
      </w:r>
    </w:p>
    <w:p w14:paraId="56D5F7FC" w14:textId="77777777" w:rsidR="00917E23" w:rsidRDefault="007006D6">
      <w:pPr>
        <w:pStyle w:val="ListBullet"/>
        <w:jc w:val="both"/>
      </w:pPr>
      <w:r>
        <w:rPr>
          <w:rFonts w:ascii="Times New Roman" w:hAnsi="Times New Roman"/>
          <w:b/>
          <w:sz w:val="24"/>
        </w:rPr>
        <w:t xml:space="preserve">Cooling Degree Days (CDD):  </w:t>
      </w:r>
      <w:r>
        <w:rPr>
          <w:rFonts w:ascii="Times New Roman" w:hAnsi="Times New Roman"/>
          <w:sz w:val="24"/>
        </w:rPr>
        <w:t>Computed by summing the positive difference between monthly mean daily temperature and an 18°C base temperature over the full annual period. CDD is the primary driver of cooling energy demand in the hot-climate Indian cities that constitute the bulk of the national commercial building stock (e.g., Ahmedabad CDD ≈ 3,384; Mumbai CDD ≈ 2,340; Chennai CDD ≈ 3,500 per NASA POWER 1994–2023 normals).</w:t>
      </w:r>
    </w:p>
    <w:p w14:paraId="69975BCB" w14:textId="77777777" w:rsidR="00917E23" w:rsidRDefault="007006D6">
      <w:pPr>
        <w:pStyle w:val="ListBullet"/>
        <w:jc w:val="both"/>
      </w:pPr>
      <w:r>
        <w:rPr>
          <w:rFonts w:ascii="Times New Roman" w:hAnsi="Times New Roman"/>
          <w:b/>
          <w:sz w:val="24"/>
        </w:rPr>
        <w:t xml:space="preserve">Heating Degree Days (HDD):  </w:t>
      </w:r>
      <w:r>
        <w:rPr>
          <w:rFonts w:ascii="Times New Roman" w:hAnsi="Times New Roman"/>
          <w:sz w:val="24"/>
        </w:rPr>
        <w:t>Computed symmetrically against the 18°C base, quantifying the cold-season heating load. While negligible for most peninsular Indian cities, HDD becomes significant for high-altitude and northern regions such as Shimla and Srinagar.</w:t>
      </w:r>
    </w:p>
    <w:p w14:paraId="6EA969CA" w14:textId="77777777" w:rsidR="00917E23" w:rsidRDefault="007006D6">
      <w:pPr>
        <w:pStyle w:val="ListBullet"/>
        <w:jc w:val="both"/>
      </w:pPr>
      <w:r>
        <w:rPr>
          <w:rFonts w:ascii="Times New Roman" w:hAnsi="Times New Roman"/>
          <w:b/>
          <w:sz w:val="24"/>
        </w:rPr>
        <w:t xml:space="preserve">Annual Solar Irradiance (I_solar):  </w:t>
      </w:r>
      <w:r>
        <w:rPr>
          <w:rFonts w:ascii="Times New Roman" w:hAnsi="Times New Roman"/>
          <w:sz w:val="24"/>
        </w:rPr>
        <w:t>Expressed in kWh/m²/day, derived from NASA POWER’s ALLSKY_SFC_SW_DWN (all-sky surface shortwave downward irradiance) parameter, averaged across all 12 calendar months.</w:t>
      </w:r>
    </w:p>
    <w:p w14:paraId="744C4B90" w14:textId="77777777" w:rsidR="00917E23" w:rsidRDefault="007006D6">
      <w:pPr>
        <w:spacing w:after="120"/>
        <w:jc w:val="both"/>
      </w:pPr>
      <w:r>
        <w:rPr>
          <w:rFonts w:ascii="Times New Roman" w:hAnsi="Times New Roman"/>
          <w:sz w:val="24"/>
        </w:rPr>
        <w:t>To maintain service resilience under network constraints, the system implements a three-tier climate data fallback hierarchy: (1) live NASA POWER API query, (2) a curated offline lookup table of 50+ Indian cities sourced from the ISHRAE Climate Data Handbook 2016 with pre-validated CDD, HDD, and solar irradiance values, and (3) a user-supplied EPW file. For user-uploaded EPW files, a custom parser processes the LOCATION header and the 8,760-hour hourly weather records to extract equivalent CDD, HDD, and ann</w:t>
      </w:r>
      <w:r>
        <w:rPr>
          <w:rFonts w:ascii="Times New Roman" w:hAnsi="Times New Roman"/>
          <w:sz w:val="24"/>
        </w:rPr>
        <w:t>ual solar irradiance descriptors, enabling seamless integration of high-fidelity, site-specific weather data into the same prediction pipeline.</w:t>
      </w:r>
    </w:p>
    <w:p w14:paraId="2DFBC3C8" w14:textId="0A92CF42" w:rsidR="00917E23" w:rsidRDefault="007006D6">
      <w:pPr>
        <w:pStyle w:val="Heading3"/>
        <w:spacing w:before="160" w:after="40"/>
      </w:pPr>
      <w:r>
        <w:rPr>
          <w:rFonts w:ascii="Times New Roman" w:hAnsi="Times New Roman"/>
          <w:i/>
          <w:color w:val="000000"/>
          <w:sz w:val="24"/>
        </w:rPr>
        <w:lastRenderedPageBreak/>
        <w:t>3.2.2 Physics-Informed Feature Engineering</w:t>
      </w:r>
    </w:p>
    <w:p w14:paraId="2E929BDC" w14:textId="77777777" w:rsidR="00917E23" w:rsidRDefault="007006D6">
      <w:pPr>
        <w:spacing w:after="120"/>
        <w:jc w:val="both"/>
      </w:pPr>
      <w:r>
        <w:rPr>
          <w:rFonts w:ascii="Times New Roman" w:hAnsi="Times New Roman"/>
          <w:sz w:val="24"/>
        </w:rPr>
        <w:t xml:space="preserve">Directly feeding raw envelope U-values and climate metrics into the surrogate model neglects the complex, non-linear thermodynamic interactions between these variables. A critical step in the methodology is therefore the derivation of 19 physics-informed engineered features from the 10 primary inputs. This feature engineering layer injects thermodynamic domain knowledge directly into the machine learning feature space, substantially improving model accuracy without increasing the requirement for additional </w:t>
      </w:r>
      <w:r>
        <w:rPr>
          <w:rFonts w:ascii="Times New Roman" w:hAnsi="Times New Roman"/>
          <w:sz w:val="24"/>
        </w:rPr>
        <w:t>training data. The most physically significant engineered features are described below:</w:t>
      </w:r>
    </w:p>
    <w:p w14:paraId="49721658" w14:textId="77777777" w:rsidR="00917E23" w:rsidRDefault="007006D6">
      <w:pPr>
        <w:pStyle w:val="ListBullet"/>
        <w:jc w:val="both"/>
      </w:pPr>
      <w:r>
        <w:rPr>
          <w:rFonts w:ascii="Times New Roman" w:hAnsi="Times New Roman"/>
          <w:b/>
          <w:sz w:val="24"/>
        </w:rPr>
        <w:t xml:space="preserve">Aggregate Envelope Transmittance (UA_total):  </w:t>
      </w:r>
      <w:r>
        <w:rPr>
          <w:rFonts w:ascii="Times New Roman" w:hAnsi="Times New Roman"/>
          <w:sz w:val="24"/>
        </w:rPr>
        <w:t>UA_total = [U_wall × (1 – WWR) + U_glass × WWR] + U_roof. This scalar aggregates the combined conductive heat flow potential through the entire building skin per unit floor area.</w:t>
      </w:r>
    </w:p>
    <w:p w14:paraId="38D01C7D" w14:textId="77777777" w:rsidR="00917E23" w:rsidRDefault="007006D6">
      <w:pPr>
        <w:pStyle w:val="ListBullet"/>
        <w:jc w:val="both"/>
      </w:pPr>
      <w:r>
        <w:rPr>
          <w:rFonts w:ascii="Times New Roman" w:hAnsi="Times New Roman"/>
          <w:b/>
          <w:sz w:val="24"/>
        </w:rPr>
        <w:t xml:space="preserve">Solar Heat Gain Potential (SHG):  </w:t>
      </w:r>
      <w:r>
        <w:rPr>
          <w:rFonts w:ascii="Times New Roman" w:hAnsi="Times New Roman"/>
          <w:sz w:val="24"/>
        </w:rPr>
        <w:t>SHG = WWR × SHGC × I_solar × α_orient. The inclusion of the orientation multiplier α_orient captures the critical asymmetry in solar exposure across facade orientations, a non-linearity that purely numerical U-value inputs cannot represent.</w:t>
      </w:r>
    </w:p>
    <w:p w14:paraId="22E1BE2E" w14:textId="77777777" w:rsidR="00917E23" w:rsidRDefault="007006D6">
      <w:pPr>
        <w:pStyle w:val="ListBullet"/>
        <w:jc w:val="both"/>
      </w:pPr>
      <w:r>
        <w:rPr>
          <w:rFonts w:ascii="Times New Roman" w:hAnsi="Times New Roman"/>
          <w:b/>
          <w:sz w:val="24"/>
        </w:rPr>
        <w:t xml:space="preserve">Climate Severity Index (CSI):  </w:t>
      </w:r>
      <w:r>
        <w:rPr>
          <w:rFonts w:ascii="Times New Roman" w:hAnsi="Times New Roman"/>
          <w:sz w:val="24"/>
        </w:rPr>
        <w:t>CSI = (CDD × 0.7) + (HDD × 0.3). A weighted composite index reflecting the predominantly cooling-dominated thermal stress characteristic of Indian climates.</w:t>
      </w:r>
    </w:p>
    <w:p w14:paraId="4949AB39" w14:textId="77777777" w:rsidR="00917E23" w:rsidRDefault="007006D6">
      <w:pPr>
        <w:pStyle w:val="ListBullet"/>
        <w:jc w:val="both"/>
      </w:pPr>
      <w:r>
        <w:rPr>
          <w:rFonts w:ascii="Times New Roman" w:hAnsi="Times New Roman"/>
          <w:b/>
          <w:sz w:val="24"/>
        </w:rPr>
        <w:t xml:space="preserve">Thermal-Climate Interaction (TCI):  </w:t>
      </w:r>
      <w:r>
        <w:rPr>
          <w:rFonts w:ascii="Times New Roman" w:hAnsi="Times New Roman"/>
          <w:sz w:val="24"/>
        </w:rPr>
        <w:t>TCI = UA_total × CSI. The multiplicative product of envelope quality and climate severity, this interaction term is the single most informative feature in the model, capturing the joint amplification effect of poor insulation in a high-CDD environment.</w:t>
      </w:r>
    </w:p>
    <w:p w14:paraId="2A3A929C" w14:textId="77777777" w:rsidR="00917E23" w:rsidRDefault="007006D6">
      <w:pPr>
        <w:pStyle w:val="ListBullet"/>
        <w:jc w:val="both"/>
      </w:pPr>
      <w:r>
        <w:rPr>
          <w:rFonts w:ascii="Times New Roman" w:hAnsi="Times New Roman"/>
          <w:b/>
          <w:sz w:val="24"/>
        </w:rPr>
        <w:t xml:space="preserve">HVAC-Adjusted Thermal Load Ratio:  </w:t>
      </w:r>
      <w:r>
        <w:rPr>
          <w:rFonts w:ascii="Times New Roman" w:hAnsi="Times New Roman"/>
          <w:sz w:val="24"/>
        </w:rPr>
        <w:t>TLR = (UA_total × CSI) / COP. Normalizes thermal demand against HVAC system efficiency, enabling the model to directly compare high-insulation low-COP buildings against low-insulation high-COP configurations.</w:t>
      </w:r>
    </w:p>
    <w:p w14:paraId="2417298A" w14:textId="77777777" w:rsidR="00917E23" w:rsidRDefault="007006D6">
      <w:pPr>
        <w:spacing w:after="120"/>
        <w:jc w:val="both"/>
      </w:pPr>
      <w:r>
        <w:rPr>
          <w:rFonts w:ascii="Times New Roman" w:hAnsi="Times New Roman"/>
          <w:sz w:val="24"/>
        </w:rPr>
        <w:t>All 19 engineered features were subjected to Robust Scaler normalisation prior to model training. Robust scaling — subtracting the median and dividing by the interquartile range (IQR) — was selected over standard z-score normalisation to minimise the disproportionate influence of outlier building configurations (e.g., extreme WWR = 0.90 or COP = 8.0) on the feature distributions ingested by the model.</w:t>
      </w:r>
    </w:p>
    <w:p w14:paraId="27A155D2" w14:textId="77777777" w:rsidR="00917E23" w:rsidRDefault="007006D6">
      <w:pPr>
        <w:pStyle w:val="Heading2"/>
        <w:spacing w:before="240" w:after="80"/>
      </w:pPr>
      <w:r>
        <w:rPr>
          <w:rFonts w:ascii="Times New Roman" w:hAnsi="Times New Roman"/>
          <w:color w:val="000000"/>
        </w:rPr>
        <w:t>3.3 Hybrid Surrogate Predictive Modeling</w:t>
      </w:r>
    </w:p>
    <w:p w14:paraId="73662616" w14:textId="77777777" w:rsidR="00917E23" w:rsidRDefault="007006D6">
      <w:pPr>
        <w:pStyle w:val="Heading3"/>
        <w:spacing w:before="160" w:after="40"/>
      </w:pPr>
      <w:r>
        <w:rPr>
          <w:rFonts w:ascii="Times New Roman" w:hAnsi="Times New Roman"/>
          <w:i/>
          <w:color w:val="000000"/>
          <w:sz w:val="24"/>
        </w:rPr>
        <w:t>3.3.1 Comparative Algorithm Evaluation</w:t>
      </w:r>
    </w:p>
    <w:p w14:paraId="30D0212A" w14:textId="77777777" w:rsidR="00917E23" w:rsidRDefault="007006D6">
      <w:pPr>
        <w:spacing w:after="120"/>
        <w:jc w:val="both"/>
      </w:pPr>
      <w:r>
        <w:rPr>
          <w:rFonts w:ascii="Times New Roman" w:hAnsi="Times New Roman"/>
          <w:sz w:val="24"/>
        </w:rPr>
        <w:t>A rigorous comparative evaluation of three fundamentally distinct regression algorithms was conducted on the 25,000-record synthetic dataset. The algorithms selected represent three classes of increasing model complexity: Ridge Regression (a linear L2-regularised model), Random Forest (a bagging ensemble of 500 decision trees), and eXtreme Gradient Boosting (XGBoost), a sequential boosting ensemble consistently demonstrated to achieve state-of-the-art performance on structured tabular datasets. The full dat</w:t>
      </w:r>
      <w:r>
        <w:rPr>
          <w:rFonts w:ascii="Times New Roman" w:hAnsi="Times New Roman"/>
          <w:sz w:val="24"/>
        </w:rPr>
        <w:t xml:space="preserve">aset was partitioned using a stratified 80/20 train-test </w:t>
      </w:r>
      <w:r>
        <w:rPr>
          <w:rFonts w:ascii="Times New Roman" w:hAnsi="Times New Roman"/>
          <w:sz w:val="24"/>
        </w:rPr>
        <w:lastRenderedPageBreak/>
        <w:t>split (20,000 training records; 5,000 held-out test records). Five-fold cross-validation was employed on the training partition to guard against overfitting and to inform hyperparameter selection.</w:t>
      </w:r>
    </w:p>
    <w:p w14:paraId="3B9515CF" w14:textId="77777777" w:rsidR="00917E23" w:rsidRDefault="007006D6">
      <w:pPr>
        <w:spacing w:after="120"/>
        <w:jc w:val="both"/>
      </w:pPr>
      <w:r>
        <w:rPr>
          <w:rFonts w:ascii="Times New Roman" w:hAnsi="Times New Roman"/>
          <w:sz w:val="24"/>
        </w:rPr>
        <w:t>Hyperparameter optimisation for XGBoost was performed using Bayesian search (Optuna framework) over a pre-defined search space, converging on the following optimal configuration: n_estimators = 1500, max_depth = 6, learning_rate = 0.05, subsample = 0.8, colsample_bytree = 0.8, gamma = 0.1, min_child_weight = 3. The cross-validated holdout performance metrics for all three models on the 5,000-record test partition are summarised below:</w:t>
      </w:r>
    </w:p>
    <w:tbl>
      <w:tblPr>
        <w:tblStyle w:val="TableGrid"/>
        <w:tblW w:w="0" w:type="auto"/>
        <w:tblLook w:val="04A0" w:firstRow="1" w:lastRow="0" w:firstColumn="1" w:lastColumn="0" w:noHBand="0" w:noVBand="1"/>
      </w:tblPr>
      <w:tblGrid>
        <w:gridCol w:w="2340"/>
        <w:gridCol w:w="2340"/>
        <w:gridCol w:w="2340"/>
        <w:gridCol w:w="2340"/>
      </w:tblGrid>
      <w:tr w:rsidR="00917E23" w14:paraId="2FF210FF" w14:textId="77777777">
        <w:tc>
          <w:tcPr>
            <w:tcW w:w="2340" w:type="dxa"/>
          </w:tcPr>
          <w:p w14:paraId="61727FF6" w14:textId="77777777" w:rsidR="00917E23" w:rsidRDefault="007006D6">
            <w:r>
              <w:rPr>
                <w:rFonts w:ascii="Times New Roman" w:hAnsi="Times New Roman"/>
                <w:b/>
              </w:rPr>
              <w:t>Model</w:t>
            </w:r>
          </w:p>
        </w:tc>
        <w:tc>
          <w:tcPr>
            <w:tcW w:w="2340" w:type="dxa"/>
          </w:tcPr>
          <w:p w14:paraId="00A3F170" w14:textId="77777777" w:rsidR="00917E23" w:rsidRDefault="007006D6">
            <w:r>
              <w:rPr>
                <w:rFonts w:ascii="Times New Roman" w:hAnsi="Times New Roman"/>
                <w:b/>
              </w:rPr>
              <w:t>R² (Test)</w:t>
            </w:r>
          </w:p>
        </w:tc>
        <w:tc>
          <w:tcPr>
            <w:tcW w:w="2340" w:type="dxa"/>
          </w:tcPr>
          <w:p w14:paraId="2C720CD6" w14:textId="77777777" w:rsidR="00917E23" w:rsidRDefault="007006D6">
            <w:r>
              <w:rPr>
                <w:rFonts w:ascii="Times New Roman" w:hAnsi="Times New Roman"/>
                <w:b/>
              </w:rPr>
              <w:t>MAE (kWh/m²·yr)</w:t>
            </w:r>
          </w:p>
        </w:tc>
        <w:tc>
          <w:tcPr>
            <w:tcW w:w="2340" w:type="dxa"/>
          </w:tcPr>
          <w:p w14:paraId="2E633B98" w14:textId="77777777" w:rsidR="00917E23" w:rsidRDefault="007006D6">
            <w:r>
              <w:rPr>
                <w:rFonts w:ascii="Times New Roman" w:hAnsi="Times New Roman"/>
                <w:b/>
              </w:rPr>
              <w:t>RMSE (kWh/m²·yr)</w:t>
            </w:r>
          </w:p>
        </w:tc>
      </w:tr>
      <w:tr w:rsidR="00917E23" w14:paraId="7D93502A" w14:textId="77777777">
        <w:tc>
          <w:tcPr>
            <w:tcW w:w="2340" w:type="dxa"/>
          </w:tcPr>
          <w:p w14:paraId="7482CF80" w14:textId="77777777" w:rsidR="00917E23" w:rsidRDefault="007006D6">
            <w:r>
              <w:rPr>
                <w:rFonts w:ascii="Times New Roman" w:hAnsi="Times New Roman"/>
              </w:rPr>
              <w:t>Ridge Regression (L2)</w:t>
            </w:r>
          </w:p>
        </w:tc>
        <w:tc>
          <w:tcPr>
            <w:tcW w:w="2340" w:type="dxa"/>
          </w:tcPr>
          <w:p w14:paraId="595F6749" w14:textId="77777777" w:rsidR="00917E23" w:rsidRDefault="007006D6">
            <w:r>
              <w:rPr>
                <w:rFonts w:ascii="Times New Roman" w:hAnsi="Times New Roman"/>
              </w:rPr>
              <w:t>0.71</w:t>
            </w:r>
          </w:p>
        </w:tc>
        <w:tc>
          <w:tcPr>
            <w:tcW w:w="2340" w:type="dxa"/>
          </w:tcPr>
          <w:p w14:paraId="3C0A2E77" w14:textId="77777777" w:rsidR="00917E23" w:rsidRDefault="007006D6">
            <w:r>
              <w:rPr>
                <w:rFonts w:ascii="Times New Roman" w:hAnsi="Times New Roman"/>
              </w:rPr>
              <w:t>14.2</w:t>
            </w:r>
          </w:p>
        </w:tc>
        <w:tc>
          <w:tcPr>
            <w:tcW w:w="2340" w:type="dxa"/>
          </w:tcPr>
          <w:p w14:paraId="6DA567FD" w14:textId="77777777" w:rsidR="00917E23" w:rsidRDefault="007006D6">
            <w:r>
              <w:rPr>
                <w:rFonts w:ascii="Times New Roman" w:hAnsi="Times New Roman"/>
              </w:rPr>
              <w:t>18.9</w:t>
            </w:r>
          </w:p>
        </w:tc>
      </w:tr>
      <w:tr w:rsidR="00917E23" w14:paraId="6788F4AC" w14:textId="77777777">
        <w:tc>
          <w:tcPr>
            <w:tcW w:w="2340" w:type="dxa"/>
          </w:tcPr>
          <w:p w14:paraId="177753D2" w14:textId="77777777" w:rsidR="00917E23" w:rsidRDefault="007006D6">
            <w:r>
              <w:rPr>
                <w:rFonts w:ascii="Times New Roman" w:hAnsi="Times New Roman"/>
              </w:rPr>
              <w:t>Random Forest (500 trees)</w:t>
            </w:r>
          </w:p>
        </w:tc>
        <w:tc>
          <w:tcPr>
            <w:tcW w:w="2340" w:type="dxa"/>
          </w:tcPr>
          <w:p w14:paraId="57D75CCE" w14:textId="77777777" w:rsidR="00917E23" w:rsidRDefault="007006D6">
            <w:r>
              <w:rPr>
                <w:rFonts w:ascii="Times New Roman" w:hAnsi="Times New Roman"/>
              </w:rPr>
              <w:t>0.83</w:t>
            </w:r>
          </w:p>
        </w:tc>
        <w:tc>
          <w:tcPr>
            <w:tcW w:w="2340" w:type="dxa"/>
          </w:tcPr>
          <w:p w14:paraId="7C10298B" w14:textId="77777777" w:rsidR="00917E23" w:rsidRDefault="007006D6">
            <w:r>
              <w:rPr>
                <w:rFonts w:ascii="Times New Roman" w:hAnsi="Times New Roman"/>
              </w:rPr>
              <w:t>10.7</w:t>
            </w:r>
          </w:p>
        </w:tc>
        <w:tc>
          <w:tcPr>
            <w:tcW w:w="2340" w:type="dxa"/>
          </w:tcPr>
          <w:p w14:paraId="1316AA1E" w14:textId="77777777" w:rsidR="00917E23" w:rsidRDefault="007006D6">
            <w:r>
              <w:rPr>
                <w:rFonts w:ascii="Times New Roman" w:hAnsi="Times New Roman"/>
              </w:rPr>
              <w:t>14.3</w:t>
            </w:r>
          </w:p>
        </w:tc>
      </w:tr>
      <w:tr w:rsidR="00917E23" w14:paraId="6575BD81" w14:textId="77777777">
        <w:tc>
          <w:tcPr>
            <w:tcW w:w="2340" w:type="dxa"/>
          </w:tcPr>
          <w:p w14:paraId="0C1F5808" w14:textId="77777777" w:rsidR="00917E23" w:rsidRDefault="007006D6">
            <w:r>
              <w:rPr>
                <w:rFonts w:ascii="Times New Roman" w:hAnsi="Times New Roman"/>
              </w:rPr>
              <w:t>XGBoost (n=1500, depth=6)</w:t>
            </w:r>
          </w:p>
        </w:tc>
        <w:tc>
          <w:tcPr>
            <w:tcW w:w="2340" w:type="dxa"/>
          </w:tcPr>
          <w:p w14:paraId="2980F3D0" w14:textId="77777777" w:rsidR="00917E23" w:rsidRDefault="007006D6">
            <w:r>
              <w:rPr>
                <w:rFonts w:ascii="Times New Roman" w:hAnsi="Times New Roman"/>
              </w:rPr>
              <w:t>0.8705</w:t>
            </w:r>
          </w:p>
        </w:tc>
        <w:tc>
          <w:tcPr>
            <w:tcW w:w="2340" w:type="dxa"/>
          </w:tcPr>
          <w:p w14:paraId="53164249" w14:textId="77777777" w:rsidR="00917E23" w:rsidRDefault="007006D6">
            <w:r>
              <w:rPr>
                <w:rFonts w:ascii="Times New Roman" w:hAnsi="Times New Roman"/>
              </w:rPr>
              <w:t>8.43</w:t>
            </w:r>
          </w:p>
        </w:tc>
        <w:tc>
          <w:tcPr>
            <w:tcW w:w="2340" w:type="dxa"/>
          </w:tcPr>
          <w:p w14:paraId="17F9CE8D" w14:textId="77777777" w:rsidR="00917E23" w:rsidRDefault="007006D6">
            <w:r>
              <w:rPr>
                <w:rFonts w:ascii="Times New Roman" w:hAnsi="Times New Roman"/>
              </w:rPr>
              <w:t>11.2</w:t>
            </w:r>
          </w:p>
        </w:tc>
      </w:tr>
    </w:tbl>
    <w:p w14:paraId="70F3E63C" w14:textId="77777777" w:rsidR="00917E23" w:rsidRDefault="00917E23">
      <w:pPr>
        <w:spacing w:after="120"/>
        <w:jc w:val="both"/>
      </w:pPr>
    </w:p>
    <w:p w14:paraId="57D48CF9" w14:textId="77777777" w:rsidR="00917E23" w:rsidRDefault="007006D6">
      <w:pPr>
        <w:spacing w:after="120"/>
        <w:jc w:val="both"/>
      </w:pPr>
      <w:r>
        <w:rPr>
          <w:rFonts w:ascii="Times New Roman" w:hAnsi="Times New Roman"/>
          <w:sz w:val="24"/>
        </w:rPr>
        <w:t>Table 1: Comparative model performance on the held-out test set (n = 5,000 samples; 2,215 unique configurations after cross-validation deduplification). XGBoost was selected as the primary surrogate model for deployment based on its superior predictive accuracy.</w:t>
      </w:r>
    </w:p>
    <w:p w14:paraId="10310BFE" w14:textId="77777777" w:rsidR="00917E23" w:rsidRDefault="007006D6">
      <w:pPr>
        <w:pStyle w:val="Heading3"/>
        <w:spacing w:before="160" w:after="40"/>
      </w:pPr>
      <w:r>
        <w:rPr>
          <w:rFonts w:ascii="Times New Roman" w:hAnsi="Times New Roman"/>
          <w:i/>
          <w:color w:val="000000"/>
          <w:sz w:val="24"/>
        </w:rPr>
        <w:t>3.3.2 Physics-Guided Hybrid Inference Architecture</w:t>
      </w:r>
    </w:p>
    <w:p w14:paraId="44A5D974" w14:textId="77777777" w:rsidR="00917E23" w:rsidRDefault="007006D6">
      <w:pPr>
        <w:spacing w:after="120"/>
        <w:jc w:val="both"/>
      </w:pPr>
      <w:r>
        <w:rPr>
          <w:rFonts w:ascii="Times New Roman" w:hAnsi="Times New Roman"/>
          <w:sz w:val="24"/>
        </w:rPr>
        <w:t>A critical methodological innovation is the hybrid inference architecture, which deliberately separates the responsibilities of the machine learning model and deterministic first-principles physics. A purely data-driven surrogate model trained on fixed occupancy assumptions cannot extrapolate reliably to non-standard operational schedules, and does not physically separate envelope-driven from schedule-driven energy consumption. The hybrid approach resolves this fundamental limitation by modularizing EUI com</w:t>
      </w:r>
      <w:r>
        <w:rPr>
          <w:rFonts w:ascii="Times New Roman" w:hAnsi="Times New Roman"/>
          <w:sz w:val="24"/>
        </w:rPr>
        <w:t>putation into three sequential components:</w:t>
      </w:r>
    </w:p>
    <w:p w14:paraId="29940A3D" w14:textId="77777777" w:rsidR="00917E23" w:rsidRDefault="007006D6">
      <w:pPr>
        <w:pStyle w:val="ListNumber"/>
        <w:jc w:val="both"/>
      </w:pPr>
      <w:r>
        <w:rPr>
          <w:rFonts w:ascii="Times New Roman" w:hAnsi="Times New Roman"/>
          <w:b/>
          <w:sz w:val="24"/>
        </w:rPr>
        <w:t xml:space="preserve">ML Thermal Prediction:  </w:t>
      </w:r>
      <w:r>
        <w:rPr>
          <w:rFonts w:ascii="Times New Roman" w:hAnsi="Times New Roman"/>
          <w:sz w:val="24"/>
        </w:rPr>
        <w:t>The trained XGBoost model receives all 19 engineered envelope and climate features and produces EUI_thermal (kWh/m²·yr), representing the baseline HVAC energy load normalised to a standard 50-hour operating week. This component captures the complex, non-linear interaction between envelope properties, solar gain, climate severity, and HVAC efficiency.</w:t>
      </w:r>
    </w:p>
    <w:p w14:paraId="2F598A7F" w14:textId="77777777" w:rsidR="00917E23" w:rsidRDefault="007006D6">
      <w:pPr>
        <w:pStyle w:val="ListNumber"/>
        <w:jc w:val="both"/>
      </w:pPr>
      <w:r>
        <w:rPr>
          <w:rFonts w:ascii="Times New Roman" w:hAnsi="Times New Roman"/>
          <w:b/>
          <w:sz w:val="24"/>
        </w:rPr>
        <w:t xml:space="preserve">Deterministic Schedule Scaling:  </w:t>
      </w:r>
      <w:r>
        <w:rPr>
          <w:rFonts w:ascii="Times New Roman" w:hAnsi="Times New Roman"/>
          <w:sz w:val="24"/>
        </w:rPr>
        <w:t>A linear multiplier λ = h_op / 50.0 is applied to the ML thermal output: EUI_scaled = EUI_thermal × λ. This scales HVAC energy consumption proportionally with actual weekly operating hours, consistent with ASHRAE 90.1 §6.4 schedule-load proportionality assumptions.</w:t>
      </w:r>
    </w:p>
    <w:p w14:paraId="1922F6CB" w14:textId="77777777" w:rsidR="00917E23" w:rsidRDefault="007006D6">
      <w:pPr>
        <w:pStyle w:val="ListNumber"/>
        <w:jc w:val="both"/>
      </w:pPr>
      <w:r>
        <w:rPr>
          <w:rFonts w:ascii="Times New Roman" w:hAnsi="Times New Roman"/>
          <w:b/>
          <w:sz w:val="24"/>
        </w:rPr>
        <w:t xml:space="preserve">Deterministic Internal Load Addition:  </w:t>
      </w:r>
      <w:r>
        <w:rPr>
          <w:rFonts w:ascii="Times New Roman" w:hAnsi="Times New Roman"/>
          <w:sz w:val="24"/>
        </w:rPr>
        <w:t>Plug loads and metabolic occupant heat loads are computed independently and added additively: Q_plug = (W_eq × h_op × 52) / 1000; Q_occ = (75 × ρ × h_op × 52) / (1000 × COP), where 75 W/person is the sedentary metabolic rate per ISO 7730:2005.</w:t>
      </w:r>
    </w:p>
    <w:p w14:paraId="6D627640" w14:textId="77777777" w:rsidR="00917E23" w:rsidRDefault="007006D6">
      <w:pPr>
        <w:spacing w:after="120"/>
        <w:jc w:val="both"/>
      </w:pPr>
      <w:r>
        <w:rPr>
          <w:rFonts w:ascii="Times New Roman" w:hAnsi="Times New Roman"/>
          <w:sz w:val="24"/>
        </w:rPr>
        <w:lastRenderedPageBreak/>
        <w:t>The final reported EUI is therefore: EUI_final = (EUI_thermal × λ) + Q_plug + Q_occ. This architecture guarantees that changes to operational schedule parameters (h_op, W_eq, ρ) produce physically correct, deterministic outputs, while the XGBoost model retains exclusive responsibility for the complex thermodynamic interactions between envelope design and climate.</w:t>
      </w:r>
    </w:p>
    <w:p w14:paraId="755F7167" w14:textId="77777777" w:rsidR="00917E23" w:rsidRDefault="007006D6">
      <w:pPr>
        <w:pStyle w:val="Heading3"/>
        <w:spacing w:before="160" w:after="40"/>
      </w:pPr>
      <w:r>
        <w:rPr>
          <w:rFonts w:ascii="Times New Roman" w:hAnsi="Times New Roman"/>
          <w:i/>
          <w:color w:val="000000"/>
          <w:sz w:val="24"/>
        </w:rPr>
        <w:t>3.3.3 Prediction Uncertainty Quantification</w:t>
      </w:r>
    </w:p>
    <w:p w14:paraId="698E7BDE" w14:textId="77777777" w:rsidR="00917E23" w:rsidRDefault="007006D6">
      <w:pPr>
        <w:spacing w:after="120"/>
        <w:jc w:val="both"/>
      </w:pPr>
      <w:r>
        <w:rPr>
          <w:rFonts w:ascii="Times New Roman" w:hAnsi="Times New Roman"/>
          <w:sz w:val="24"/>
        </w:rPr>
        <w:t>To communicate model confidence to professional end-users and support risk-sensitive architectural decision-making, a 90% prediction interval is dynamically computed for every inference call. The interval is derived from the empirical variance of individual tree outputs across the XGBoost ensemble (tree-diversity uncertainty estimation), providing a principled measure of aleatoric uncertainty arising from the synthetic training data distribution. The prediction interval is displayed within the application's</w:t>
      </w:r>
      <w:r>
        <w:rPr>
          <w:rFonts w:ascii="Times New Roman" w:hAnsi="Times New Roman"/>
          <w:sz w:val="24"/>
        </w:rPr>
        <w:t xml:space="preserve"> Evidence Panel alongside the point EUI estimate, model algorithm metadata, training dataset size, and feature count, enabling users to assess the reliability of each prediction in context.</w:t>
      </w:r>
    </w:p>
    <w:p w14:paraId="1A32F2CE" w14:textId="77777777" w:rsidR="00917E23" w:rsidRDefault="007006D6">
      <w:pPr>
        <w:pStyle w:val="Heading2"/>
        <w:spacing w:before="240" w:after="80"/>
      </w:pPr>
      <w:r>
        <w:rPr>
          <w:rFonts w:ascii="Times New Roman" w:hAnsi="Times New Roman"/>
          <w:color w:val="000000"/>
        </w:rPr>
        <w:t>3.4 ECBC 2017 Prescriptive Compliance Verification</w:t>
      </w:r>
    </w:p>
    <w:p w14:paraId="2F9985AE" w14:textId="77777777" w:rsidR="00917E23" w:rsidRDefault="007006D6">
      <w:pPr>
        <w:spacing w:after="120"/>
        <w:jc w:val="both"/>
      </w:pPr>
      <w:r>
        <w:rPr>
          <w:rFonts w:ascii="Times New Roman" w:hAnsi="Times New Roman"/>
          <w:sz w:val="24"/>
        </w:rPr>
        <w:t>The Bureau of Energy Efficiency (BEE) ECBC 2017 defines four progressive performance tiers — Non-Compliant, ECBC Compliant, ECBC+, and SuperECBC — each associated with mandatory maximum thermal transmittance and SHGC limits for opaque walls, roofs, and fenestration, calibrated separately for India’s five distinct climate zones. Compliance at each tier requires simultaneous satisfaction of all four prescriptive envelope parameters; failing any single threshold disqualifies the building from that tier and bel</w:t>
      </w:r>
      <w:r>
        <w:rPr>
          <w:rFonts w:ascii="Times New Roman" w:hAnsi="Times New Roman"/>
          <w:sz w:val="24"/>
        </w:rPr>
        <w:t>ow.</w:t>
      </w:r>
    </w:p>
    <w:p w14:paraId="2FAA2A92" w14:textId="77777777" w:rsidR="00917E23" w:rsidRDefault="007006D6">
      <w:pPr>
        <w:spacing w:after="120"/>
        <w:jc w:val="both"/>
      </w:pPr>
      <w:r>
        <w:rPr>
          <w:rFonts w:ascii="Times New Roman" w:hAnsi="Times New Roman"/>
          <w:sz w:val="24"/>
        </w:rPr>
        <w:t>For each prediction request, the framework performs a three-step compliance workflow: (1) Automated climate zone classification based on the computed CDD/HDD ratio and geographic coordinates, mapping the city to one of the five ECBC zones; (2) retrieval of the zone-specific prescriptive thresholds from the embedded ECBC 2017 Tables 5.3–5.5 data structure; and (3) simultaneous evaluation of the building’s U_wall, U_roof, U_glass, and SHGC against all three tier thresholds using strict boolean conjunction log</w:t>
      </w:r>
      <w:r>
        <w:rPr>
          <w:rFonts w:ascii="Times New Roman" w:hAnsi="Times New Roman"/>
          <w:sz w:val="24"/>
        </w:rPr>
        <w:t>ic. The result is reported as a colour-coded compliance badge — rose (Non-Compliant), blue (ECBC Compliant), sky (ECBC+), or emerald (SuperECBC) — accompanied by the exact threshold values, the zone-specific EUI benchmark, and the precise BEE standard citation for auditability.</w:t>
      </w:r>
    </w:p>
    <w:p w14:paraId="2E2FEC05" w14:textId="77777777" w:rsidR="00917E23" w:rsidRDefault="007006D6">
      <w:pPr>
        <w:pStyle w:val="Heading2"/>
        <w:spacing w:before="240" w:after="80"/>
      </w:pPr>
      <w:r>
        <w:rPr>
          <w:rFonts w:ascii="Times New Roman" w:hAnsi="Times New Roman"/>
          <w:color w:val="000000"/>
        </w:rPr>
        <w:t>3.5 Multi-Objective Material Optimization via Evolutionary Algorithm</w:t>
      </w:r>
    </w:p>
    <w:p w14:paraId="7F7E5281" w14:textId="77777777" w:rsidR="00917E23" w:rsidRDefault="007006D6">
      <w:pPr>
        <w:pStyle w:val="Heading3"/>
        <w:spacing w:before="160" w:after="40"/>
      </w:pPr>
      <w:r>
        <w:rPr>
          <w:rFonts w:ascii="Times New Roman" w:hAnsi="Times New Roman"/>
          <w:i/>
          <w:color w:val="000000"/>
          <w:sz w:val="24"/>
        </w:rPr>
        <w:t>3.5.1 Curated Building Material Database</w:t>
      </w:r>
    </w:p>
    <w:p w14:paraId="2C302523" w14:textId="77777777" w:rsidR="00917E23" w:rsidRDefault="007006D6">
      <w:pPr>
        <w:spacing w:after="120"/>
        <w:jc w:val="both"/>
      </w:pPr>
      <w:r>
        <w:rPr>
          <w:rFonts w:ascii="Times New Roman" w:hAnsi="Times New Roman"/>
          <w:sz w:val="24"/>
        </w:rPr>
        <w:t>A citation-backed material database was assembled comprising 50+ verified building assemblies across three component categories: walls, roofs, and glazing systems. Every material record encodes thermal transmittance (U-value in W/m²K), SHGC (dimensionless), embodied carbon intensity (kgCO₂e/m² per life-cycle assessment), construction cost index (relative to a standard RCC flat slab baseline = 1.0), and source citations drawn from authoritative Indian standards and commercial databases, including IS 2185 Par</w:t>
      </w:r>
      <w:r>
        <w:rPr>
          <w:rFonts w:ascii="Times New Roman" w:hAnsi="Times New Roman"/>
          <w:sz w:val="24"/>
        </w:rPr>
        <w:t xml:space="preserve">t 3 (AAC blocks), IS 456:2000 (RCC structures), IS </w:t>
      </w:r>
      <w:r>
        <w:rPr>
          <w:rFonts w:ascii="Times New Roman" w:hAnsi="Times New Roman"/>
          <w:sz w:val="24"/>
        </w:rPr>
        <w:lastRenderedPageBreak/>
        <w:t>1561 (flat drawn sheet glass), CPWD Schedule of Rates 2023, and BMTPC material data sheets. Material families in the database span conventional construction (burnt clay brick, RCC, single-pane glass), high-performance alternatives (hempcrete, Rockwool insulation, double-glazed Low-E units), passive systems (adaptive green roofs, cavity walls), and smart materials (electrochromic dynamic tinting glass).</w:t>
      </w:r>
    </w:p>
    <w:p w14:paraId="4E0D765F" w14:textId="77777777" w:rsidR="00917E23" w:rsidRDefault="007006D6">
      <w:pPr>
        <w:pStyle w:val="Heading3"/>
        <w:spacing w:before="160" w:after="40"/>
      </w:pPr>
      <w:r>
        <w:rPr>
          <w:rFonts w:ascii="Times New Roman" w:hAnsi="Times New Roman"/>
          <w:i/>
          <w:color w:val="000000"/>
          <w:sz w:val="24"/>
        </w:rPr>
        <w:t>3.5.2 Multi-Objective Fitness Formulation</w:t>
      </w:r>
    </w:p>
    <w:p w14:paraId="7582FF5D" w14:textId="77777777" w:rsidR="00917E23" w:rsidRDefault="007006D6">
      <w:pPr>
        <w:spacing w:after="120"/>
        <w:jc w:val="both"/>
      </w:pPr>
      <w:r>
        <w:rPr>
          <w:rFonts w:ascii="Times New Roman" w:hAnsi="Times New Roman"/>
          <w:sz w:val="24"/>
        </w:rPr>
        <w:t>The material recommendation problem is formulated as a discrete combinatorial multi-objective optimization. The search space comprises all valid triads of {wall, roof, glazing} assemblies from the database, constrained by the ECBC 2017 prescriptive compliance requirement. Each candidate genome (material triad) is evaluated against three competing objective functions, aggregated into a composite fitness score F:</w:t>
      </w:r>
    </w:p>
    <w:p w14:paraId="3D8B7F5B" w14:textId="77777777" w:rsidR="00917E23" w:rsidRDefault="007006D6">
      <w:pPr>
        <w:pStyle w:val="ListNumber"/>
        <w:jc w:val="both"/>
      </w:pPr>
      <w:r>
        <w:rPr>
          <w:rFonts w:ascii="Times New Roman" w:hAnsi="Times New Roman"/>
          <w:b/>
          <w:sz w:val="24"/>
        </w:rPr>
        <w:t xml:space="preserve">Operational Energy Score (f_e):  </w:t>
      </w:r>
      <w:r>
        <w:rPr>
          <w:rFonts w:ascii="Times New Roman" w:hAnsi="Times New Roman"/>
          <w:sz w:val="24"/>
        </w:rPr>
        <w:t>f_e = (EUI_baseline – EUI_candidate) / EUI_baseline, where EUI_candidate is computed by invoking the XGBoost surrogate model with the candidate assembly’s thermal properties substituted into the user’s building parameter vector. EUI_baseline corresponds to standard un-insulated RCC + single-pane glass construction. Higher f_e indicates greater operational energy savings.</w:t>
      </w:r>
    </w:p>
    <w:p w14:paraId="2BA1A78B" w14:textId="77777777" w:rsidR="00917E23" w:rsidRDefault="007006D6">
      <w:pPr>
        <w:pStyle w:val="ListNumber"/>
        <w:jc w:val="both"/>
      </w:pPr>
      <w:r>
        <w:rPr>
          <w:rFonts w:ascii="Times New Roman" w:hAnsi="Times New Roman"/>
          <w:b/>
          <w:sz w:val="24"/>
        </w:rPr>
        <w:t xml:space="preserve">Embodied Carbon Score (f_c):  </w:t>
      </w:r>
      <w:r>
        <w:rPr>
          <w:rFonts w:ascii="Times New Roman" w:hAnsi="Times New Roman"/>
          <w:sz w:val="24"/>
        </w:rPr>
        <w:t>f_c = (C_baseline – C_candidate) / C_baseline, where C denotes the total embodied carbon (kgCO₂e/m²) of the wall, roof, and glazing assembly combined. This rewards low-carbon material choices across the full life-cycle.</w:t>
      </w:r>
    </w:p>
    <w:p w14:paraId="73A53F08" w14:textId="77777777" w:rsidR="00917E23" w:rsidRDefault="007006D6">
      <w:pPr>
        <w:pStyle w:val="ListNumber"/>
        <w:jc w:val="both"/>
      </w:pPr>
      <w:r>
        <w:rPr>
          <w:rFonts w:ascii="Times New Roman" w:hAnsi="Times New Roman"/>
          <w:b/>
          <w:sz w:val="24"/>
        </w:rPr>
        <w:t xml:space="preserve">Cost Efficiency Score (f_k):  </w:t>
      </w:r>
      <w:r>
        <w:rPr>
          <w:rFonts w:ascii="Times New Roman" w:hAnsi="Times New Roman"/>
          <w:sz w:val="24"/>
        </w:rPr>
        <w:t>f_k = 1 – (Cost_Index / Cost_max), incentivising lower construction cost assemblies relative to the most expensive option in the database.</w:t>
      </w:r>
    </w:p>
    <w:p w14:paraId="2570174F" w14:textId="77777777" w:rsidR="00917E23" w:rsidRDefault="007006D6">
      <w:pPr>
        <w:spacing w:after="120"/>
        <w:jc w:val="both"/>
      </w:pPr>
      <w:r>
        <w:rPr>
          <w:rFonts w:ascii="Times New Roman" w:hAnsi="Times New Roman"/>
          <w:sz w:val="24"/>
        </w:rPr>
        <w:t>The composite fitness function is: F = w_e × f_e + w_c × f_c + w_k × f_k, with weights w_e = 0.50, w_c = 0.30, w_k = 0.20. These weights were empirically calibrated to reflect the Indian policy context, where operational energy savings (directly reducing grid electricity consumption and COg emissions at 0.82 kgCO₂/kWh, per Central Electricity Authority national grid emission factor) are prioritised over embodied carbon and initial cost. A hard ECBC 2017 compliance constraint is enforced as a filter: any mat</w:t>
      </w:r>
      <w:r>
        <w:rPr>
          <w:rFonts w:ascii="Times New Roman" w:hAnsi="Times New Roman"/>
          <w:sz w:val="24"/>
        </w:rPr>
        <w:t>erial triad that fails to meet the zone-specific U-value and SHGC thresholds receives F = 0, guaranteeing that all top-ranked recommendations are legally compliant. The top-3 Pareto-optimal assemblies ranked by F are returned with full transparency across all individual objective scores.</w:t>
      </w:r>
    </w:p>
    <w:p w14:paraId="583AFFD9" w14:textId="77777777" w:rsidR="00917E23" w:rsidRDefault="007006D6">
      <w:pPr>
        <w:pStyle w:val="Heading2"/>
        <w:spacing w:before="240" w:after="80"/>
      </w:pPr>
      <w:r>
        <w:rPr>
          <w:rFonts w:ascii="Times New Roman" w:hAnsi="Times New Roman"/>
          <w:color w:val="000000"/>
        </w:rPr>
        <w:t>3.6 Explainable AI (XAI) via SHAP and Sensitivity Analysis</w:t>
      </w:r>
    </w:p>
    <w:p w14:paraId="6A7612FA" w14:textId="77777777" w:rsidR="00917E23" w:rsidRDefault="007006D6">
      <w:pPr>
        <w:pStyle w:val="Heading3"/>
        <w:spacing w:before="160" w:after="40"/>
      </w:pPr>
      <w:r>
        <w:rPr>
          <w:rFonts w:ascii="Times New Roman" w:hAnsi="Times New Roman"/>
          <w:i/>
          <w:color w:val="000000"/>
          <w:sz w:val="24"/>
        </w:rPr>
        <w:t>3.6.1 SHAP Local Interpretability</w:t>
      </w:r>
    </w:p>
    <w:p w14:paraId="4EC2F748" w14:textId="77777777" w:rsidR="00917E23" w:rsidRDefault="007006D6">
      <w:pPr>
        <w:spacing w:after="120"/>
        <w:jc w:val="both"/>
      </w:pPr>
      <w:r>
        <w:rPr>
          <w:rFonts w:ascii="Times New Roman" w:hAnsi="Times New Roman"/>
          <w:sz w:val="24"/>
        </w:rPr>
        <w:t xml:space="preserve">A persistent barrier to the adoption of machine learning in professional engineering practice is model opacity. To address this, the framework integrates SHapley Additive exPlanations (SHAP), grounded in cooperative game theory (Lundberg &amp; Lee, 2017). The Shapley value φ_i for each feature i represents its exact marginal contribution (in kWh/m²·yr) to the deviation of the model’s prediction from the global mean EUI, satisfying the axioms of efficiency, symmetry, </w:t>
      </w:r>
      <w:r>
        <w:rPr>
          <w:rFonts w:ascii="Times New Roman" w:hAnsi="Times New Roman"/>
          <w:sz w:val="24"/>
        </w:rPr>
        <w:lastRenderedPageBreak/>
        <w:t>dummy, and linearity. For every inference call, the framework computes SHAP values for all 19 engineered features and presents them as a ranked contribution breakdown within the application’s Evidence Panel. This enables designers to directly quantify the EUI impact of individual design choices (e.g., “Reducing WWR from 0.5 to 0.35 saves 18.4 kWh/m²·yr in this climate”), transforming the model from a black box into a transparent engineering tool.</w:t>
      </w:r>
    </w:p>
    <w:p w14:paraId="289565AA" w14:textId="77777777" w:rsidR="00917E23" w:rsidRDefault="007006D6">
      <w:pPr>
        <w:pStyle w:val="Heading3"/>
        <w:spacing w:before="160" w:after="40"/>
      </w:pPr>
      <w:r>
        <w:rPr>
          <w:rFonts w:ascii="Times New Roman" w:hAnsi="Times New Roman"/>
          <w:i/>
          <w:color w:val="000000"/>
          <w:sz w:val="24"/>
        </w:rPr>
        <w:t>3.6.2 One-At-a-Time (OAT) Sensitivity Analysis</w:t>
      </w:r>
    </w:p>
    <w:p w14:paraId="066A02CD" w14:textId="77777777" w:rsidR="00917E23" w:rsidRDefault="007006D6">
      <w:pPr>
        <w:spacing w:after="120"/>
        <w:jc w:val="both"/>
      </w:pPr>
      <w:r>
        <w:rPr>
          <w:rFonts w:ascii="Times New Roman" w:hAnsi="Times New Roman"/>
          <w:sz w:val="24"/>
        </w:rPr>
        <w:t xml:space="preserve">Complementing the local SHAP analysis, a global sensitivity analysis is performed for four critical design levers: WWR, annual solar irradiance (I_solar), Wall U-value (U_wall), and Roof U-value (U_roof). Each variable is perturbed independently across its full physically valid range in 10 equal steps, while all remaining parameters are held constant at the user’s specified input values. The resulting EUI response curves provide designers with immediate, context-specific quantification of the marginal rate </w:t>
      </w:r>
      <w:r>
        <w:rPr>
          <w:rFonts w:ascii="Times New Roman" w:hAnsi="Times New Roman"/>
          <w:sz w:val="24"/>
        </w:rPr>
        <w:t>of change ∂EUI/∂x_i for each design lever, enabling a data-driven prioritization of envelope upgrades. This analysis is particularly valuable for retrofit applications, where investment in the highest-sensitivity parameter yields the maximum operational energy reduction per rupee invested.</w:t>
      </w:r>
    </w:p>
    <w:p w14:paraId="2BFA365C" w14:textId="77777777" w:rsidR="00917E23" w:rsidRDefault="007006D6">
      <w:pPr>
        <w:pStyle w:val="Heading2"/>
        <w:spacing w:before="240" w:after="80"/>
      </w:pPr>
      <w:r>
        <w:rPr>
          <w:rFonts w:ascii="Times New Roman" w:hAnsi="Times New Roman"/>
          <w:color w:val="000000"/>
        </w:rPr>
        <w:t>3.7 Continuous MLOps and Adaptive Retraining Pipeline</w:t>
      </w:r>
    </w:p>
    <w:p w14:paraId="390430A1" w14:textId="77777777" w:rsidR="00917E23" w:rsidRDefault="007006D6">
      <w:pPr>
        <w:spacing w:after="120"/>
        <w:jc w:val="both"/>
      </w:pPr>
      <w:r>
        <w:rPr>
          <w:rFonts w:ascii="Times New Roman" w:hAnsi="Times New Roman"/>
          <w:sz w:val="24"/>
        </w:rPr>
        <w:t>To ensure long-term reliability of the surrogate model against climate non-stationarity — the progressive shift in temperature normals, precipitation patterns, and solar irradiance distributions driven by anthropogenic climate change — a Continuous Machine Learning Operations (MLOps) pipeline was designed as an integral backend component. Static, point-in-time models trained on historical climate data become progressively miscalibrated as the real-world climate drifts from training distribution assumptions,</w:t>
      </w:r>
      <w:r>
        <w:rPr>
          <w:rFonts w:ascii="Times New Roman" w:hAnsi="Times New Roman"/>
          <w:sz w:val="24"/>
        </w:rPr>
        <w:t xml:space="preserve"> a recognised risk in long-horizon deployment of climate-sensitive AI systems.</w:t>
      </w:r>
    </w:p>
    <w:p w14:paraId="70CA55B8" w14:textId="77777777" w:rsidR="00917E23" w:rsidRDefault="007006D6">
      <w:pPr>
        <w:spacing w:after="120"/>
        <w:jc w:val="both"/>
      </w:pPr>
      <w:r>
        <w:rPr>
          <w:rFonts w:ascii="Times New Roman" w:hAnsi="Times New Roman"/>
          <w:sz w:val="24"/>
        </w:rPr>
        <w:t>Each prediction request triggers asynchronous logging of the full input feature vector, predicted EUI, building archetype metadata, and UTC timestamp to a persistent JSONL telemetry store. A population drift detector continuously monitors the rolling empirical distribution of incoming climate features (CDD, HDD, I_solar) against the reference training data distribution, using Jensen-Shannon Divergence (JSD) as the divergence metric. Concurrently, a volumetric accumulation counter tracks the number of new pr</w:t>
      </w:r>
      <w:r>
        <w:rPr>
          <w:rFonts w:ascii="Times New Roman" w:hAnsi="Times New Roman"/>
          <w:sz w:val="24"/>
        </w:rPr>
        <w:t>ediction records since the last retraining cycle. Upon either (a) statistically significant distributional drift (JSD &gt; 0.05) or (b) accumulation of a configurable volume threshold (default: 5,000 new samples), an automated retraining job is triggered asynchronously in the background. The full pipeline — data re-synthesis, feature engineering, model training with five-fold cross-validation, and performance regression testing — is re-executed without interrupting the live inference service. The newly trained</w:t>
      </w:r>
      <w:r>
        <w:rPr>
          <w:rFonts w:ascii="Times New Roman" w:hAnsi="Times New Roman"/>
          <w:sz w:val="24"/>
        </w:rPr>
        <w:t xml:space="preserve"> model artifact is version-tagged with a content-hash identifier and hot-swapped into the production engine only upon successful validation (R² ≥ 0.85 on held-out test partition). This pipeline ensures the system remains a reliably calibrated tool over decadal timescales.</w:t>
      </w:r>
    </w:p>
    <w:p w14:paraId="1D476DC1" w14:textId="77777777" w:rsidR="00917E23" w:rsidRDefault="007006D6">
      <w:pPr>
        <w:pStyle w:val="Heading2"/>
        <w:spacing w:before="240" w:after="80"/>
      </w:pPr>
      <w:r>
        <w:rPr>
          <w:rFonts w:ascii="Times New Roman" w:hAnsi="Times New Roman"/>
          <w:color w:val="000000"/>
        </w:rPr>
        <w:lastRenderedPageBreak/>
        <w:t>3.8 System Architecture and Deployment</w:t>
      </w:r>
    </w:p>
    <w:p w14:paraId="584A4CF8" w14:textId="77777777" w:rsidR="00917E23" w:rsidRDefault="007006D6">
      <w:pPr>
        <w:spacing w:after="120"/>
        <w:jc w:val="both"/>
      </w:pPr>
      <w:r>
        <w:rPr>
          <w:rFonts w:ascii="Times New Roman" w:hAnsi="Times New Roman"/>
          <w:sz w:val="24"/>
        </w:rPr>
        <w:t>The complete ClimaBuild AI system is deployed as a production-grade full-stack web application to ensure real-world accessibility without software installation. The backend is implemented in Python (FastAPI framework), exposing a fully documented RESTful API with CORS middleware, JSON schema validation, and structured exception handling. The pre-trained XGBoost model artifact is serialized (joblib format) and loaded at application startup, ensuring sub-100 ms response latency for prediction requests. Climat</w:t>
      </w:r>
      <w:r>
        <w:rPr>
          <w:rFonts w:ascii="Times New Roman" w:hAnsi="Times New Roman"/>
          <w:sz w:val="24"/>
        </w:rPr>
        <w:t>e data is fetched via authenticated HTTPS calls to the NASA POWER API, with geolocation resolved through the Nominatim OpenStreetMap Geocoding API and the curated city fallback table. The frontend is a React single-page application built with TypeScript and Vite, providing an interactive simulation dashboard with real-time sensitivity charts, SHAP visualizations, material recommendation tables, and ECBC compliance badges. The frontend is deployed on Vercel’s global CDN for low-latency access; the backend is</w:t>
      </w:r>
      <w:r>
        <w:rPr>
          <w:rFonts w:ascii="Times New Roman" w:hAnsi="Times New Roman"/>
          <w:sz w:val="24"/>
        </w:rPr>
        <w:t xml:space="preserve"> containerised and deployed on Render’s managed cloud infrastructure.</w:t>
      </w:r>
    </w:p>
    <w:p w14:paraId="3577A75A" w14:textId="77777777" w:rsidR="00917E23" w:rsidRDefault="007006D6">
      <w:pPr>
        <w:spacing w:after="120"/>
        <w:jc w:val="both"/>
      </w:pPr>
      <w:r>
        <w:rPr>
          <w:rFonts w:ascii="Times New Roman" w:hAnsi="Times New Roman"/>
          <w:sz w:val="24"/>
        </w:rPr>
        <w:t>The architectural separation of concerns — with climate acquisition, ML inference, physics hybridization, ECBC compliance verification, material optimization, and MLOps each implemented as independent modules — ensures maintainability, independent testability, and horizontal scalability. API endpoints are versioned and openly documented, making the system readily extensible for future integrations such as IFC-based BIM file parsing, real-time BMS (Building Management System) telemetry ingestion for operatio</w:t>
      </w:r>
      <w:r>
        <w:rPr>
          <w:rFonts w:ascii="Times New Roman" w:hAnsi="Times New Roman"/>
          <w:sz w:val="24"/>
        </w:rPr>
        <w:t>nal calibration, and multi-zone whole-building transient simulation.</w:t>
      </w:r>
    </w:p>
    <w:p w14:paraId="4A5BF8B1" w14:textId="77777777" w:rsidR="00917E23" w:rsidRDefault="007006D6">
      <w:pPr>
        <w:pStyle w:val="Heading2"/>
        <w:spacing w:before="240" w:after="80"/>
      </w:pPr>
      <w:r>
        <w:rPr>
          <w:rFonts w:ascii="Times New Roman" w:hAnsi="Times New Roman"/>
          <w:color w:val="000000"/>
        </w:rPr>
        <w:t>3.9 Limitations and Scope Boundaries</w:t>
      </w:r>
    </w:p>
    <w:p w14:paraId="456085B4" w14:textId="77777777" w:rsidR="00917E23" w:rsidRDefault="007006D6">
      <w:pPr>
        <w:spacing w:after="120"/>
        <w:jc w:val="both"/>
      </w:pPr>
      <w:r>
        <w:rPr>
          <w:rFonts w:ascii="Times New Roman" w:hAnsi="Times New Roman"/>
          <w:sz w:val="24"/>
        </w:rPr>
        <w:t>This study acknowledges several important limitations inherent to the current methodological scope. First, the surrogate model is trained on physics-informed synthetic data; while the generative heuristic is grounded in established building physics and calibrated to ECBC benchmarks, the absence of a large-scale empirically measured Indian commercial building energy database for direct validation is a recognised limitation. Future work should systematically benchmark surrogate predictions against measured op</w:t>
      </w:r>
      <w:r>
        <w:rPr>
          <w:rFonts w:ascii="Times New Roman" w:hAnsi="Times New Roman"/>
          <w:sz w:val="24"/>
        </w:rPr>
        <w:t>erational EUI data from the BEE’s Perform, Achieve, and Trade (PAT) scheme audit records and GRIHA-certified building post-occupancy evaluations.</w:t>
      </w:r>
    </w:p>
    <w:p w14:paraId="22F61758" w14:textId="77777777" w:rsidR="00917E23" w:rsidRDefault="007006D6">
      <w:pPr>
        <w:spacing w:after="120"/>
        <w:jc w:val="both"/>
      </w:pPr>
      <w:r>
        <w:rPr>
          <w:rFonts w:ascii="Times New Roman" w:hAnsi="Times New Roman"/>
          <w:sz w:val="24"/>
        </w:rPr>
        <w:t>Second, the current EUI prediction model addresses whole-building annual energy consumption at a zonal macro level. Sub-system disaggregation (lighting, domestic hot water, elevator, and dedicated outdoor air systems) and transient hourly simulation — essential for peak demand sizing, dynamic tariff optimization, and demand response applications — are outside the current scope. Third, the thermal comfort index reported by the system is a simplified proxy based on the Predicted Mean Vote (PMV) framework (ISO</w:t>
      </w:r>
      <w:r>
        <w:rPr>
          <w:rFonts w:ascii="Times New Roman" w:hAnsi="Times New Roman"/>
          <w:sz w:val="24"/>
        </w:rPr>
        <w:t xml:space="preserve"> 7730:2005), and requires occupant-level microclimate data (mean radiant temperature, air velocity) for full standard compliance; the current implementation uses a Simplified Thermal Stress Proxy computed from outdoor </w:t>
      </w:r>
      <w:r>
        <w:rPr>
          <w:rFonts w:ascii="Times New Roman" w:hAnsi="Times New Roman"/>
          <w:sz w:val="24"/>
        </w:rPr>
        <w:lastRenderedPageBreak/>
        <w:t>temperature data as an approximation. Finally, the embodied carbon database, while sourced from authoritative Indian references, reflects current manufacturing emission factors and should be updated periodically as decarbonisation of Indian cement and steel industries progresses.</w:t>
      </w:r>
    </w:p>
    <w:sectPr w:rsidR="00917E2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661043">
    <w:abstractNumId w:val="8"/>
  </w:num>
  <w:num w:numId="2" w16cid:durableId="1440370412">
    <w:abstractNumId w:val="6"/>
  </w:num>
  <w:num w:numId="3" w16cid:durableId="1014384244">
    <w:abstractNumId w:val="5"/>
  </w:num>
  <w:num w:numId="4" w16cid:durableId="2140492511">
    <w:abstractNumId w:val="4"/>
  </w:num>
  <w:num w:numId="5" w16cid:durableId="1934312054">
    <w:abstractNumId w:val="7"/>
  </w:num>
  <w:num w:numId="6" w16cid:durableId="1350253304">
    <w:abstractNumId w:val="3"/>
  </w:num>
  <w:num w:numId="7" w16cid:durableId="316039507">
    <w:abstractNumId w:val="2"/>
  </w:num>
  <w:num w:numId="8" w16cid:durableId="1749423781">
    <w:abstractNumId w:val="1"/>
  </w:num>
  <w:num w:numId="9" w16cid:durableId="812065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0AE"/>
    <w:rsid w:val="007006D6"/>
    <w:rsid w:val="00917E23"/>
    <w:rsid w:val="00AA1D8D"/>
    <w:rsid w:val="00B47730"/>
    <w:rsid w:val="00CB0664"/>
    <w:rsid w:val="00E919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E78BE0-6DB3-404A-9058-48C2FB010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4042</Words>
  <Characters>23040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 Kumar</cp:lastModifiedBy>
  <cp:revision>2</cp:revision>
  <dcterms:created xsi:type="dcterms:W3CDTF">2013-12-23T23:15:00Z</dcterms:created>
  <dcterms:modified xsi:type="dcterms:W3CDTF">2026-06-21T06:55:00Z</dcterms:modified>
  <cp:category/>
</cp:coreProperties>
</file>