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jc w:val="center"/>
      </w:pPr>
      <w:r>
        <w:rPr>
          <w:rFonts w:ascii="Arial" w:hAnsi="Arial"/>
          <w:b/>
          <w:color w:val="4F46E5"/>
          <w:sz w:val="24"/>
        </w:rPr>
        <w:t>A CAPSTONE PROJECT REPORT ON</w:t>
        <w:br/>
      </w:r>
    </w:p>
    <w:p>
      <w:pPr>
        <w:spacing w:before="240" w:after="320"/>
        <w:jc w:val="center"/>
      </w:pPr>
      <w:r>
        <w:rPr>
          <w:rFonts w:ascii="Arial" w:hAnsi="Arial"/>
          <w:b/>
          <w:color w:val="0F172A"/>
          <w:sz w:val="40"/>
        </w:rPr>
        <w:t>CONNECTED CAR AI SUPPORT CONSOLE:</w:t>
        <w:br/>
        <w:t>STATEFUL MULTI-AGENT ORCHESTRATION &amp; RAG-DRIVEN AUTOMOTIVE TROUBLESHOOTING</w:t>
      </w:r>
    </w:p>
    <w:p>
      <w:pPr>
        <w:spacing w:after="1000"/>
        <w:jc w:val="center"/>
      </w:pPr>
      <w:r>
        <w:rPr>
          <w:rFonts w:ascii="Arial" w:hAnsi="Arial"/>
          <w:color w:val="475569"/>
          <w:sz w:val="22"/>
        </w:rPr>
        <w:t>Submitted in partial fulfillment of the requirements for the award of the degree of</w:t>
        <w:br/>
        <w:t>BACHELOR OF TECHNOLOGY</w:t>
        <w:br/>
        <w:t>IN</w:t>
        <w:br/>
        <w:t>COMPUTER SCIENCE AND ENGINEERING</w:t>
      </w:r>
    </w:p>
    <w:p>
      <w:pPr>
        <w:spacing w:after="800"/>
        <w:jc w:val="center"/>
      </w:pPr>
      <w:r>
        <w:rPr>
          <w:rFonts w:ascii="Arial" w:hAnsi="Arial"/>
          <w:b/>
          <w:color w:val="0F172A"/>
          <w:sz w:val="24"/>
        </w:rPr>
        <w:t>Submitted by:</w:t>
        <w:br/>
        <w:t>HEMANTH N</w:t>
        <w:br/>
        <w:t>(Department of Computer Science &amp; Engineering)</w:t>
      </w:r>
    </w:p>
    <w:p>
      <w:pPr>
        <w:jc w:val="center"/>
      </w:pPr>
      <w:r>
        <w:rPr>
          <w:rFonts w:ascii="Arial" w:hAnsi="Arial"/>
          <w:b/>
          <w:color w:val="1E293B"/>
          <w:sz w:val="22"/>
        </w:rPr>
        <w:t>DEPARTMENT OF COMPUTER SCIENCE &amp; ENGINEERING</w:t>
        <w:br/>
        <w:t>DAYANANDA SAGAR UNIVERSITY</w:t>
        <w:br/>
        <w:t>BANGALORE - 560068</w:t>
        <w:br/>
        <w:t>ACADEMIC YEAR: 2025 - 2026</w:t>
      </w:r>
    </w:p>
    <w:p>
      <w:r>
        <w:br w:type="page"/>
      </w:r>
    </w:p>
    <w:p>
      <w:pPr>
        <w:keepNext/>
        <w:spacing w:before="280" w:after="120"/>
      </w:pPr>
      <w:r>
        <w:rPr>
          <w:rFonts w:ascii="Arial" w:hAnsi="Arial"/>
          <w:b/>
          <w:color w:val="0F172A"/>
          <w:sz w:val="32"/>
        </w:rPr>
        <w:t>CERTIFICATE</w:t>
      </w:r>
    </w:p>
    <w:p>
      <w:pPr>
        <w:spacing w:after="120" w:line="276" w:lineRule="auto"/>
      </w:pPr>
      <w:r>
        <w:rPr>
          <w:rFonts w:ascii="Arial" w:hAnsi="Arial"/>
          <w:i w:val="0"/>
          <w:color w:val="334155"/>
          <w:sz w:val="21"/>
        </w:rPr>
        <w:t>This is to certify that the Capstone Project Report entitled 'CONNECTED CAR AI SUPPORT CONSOLE: STATEFUL MULTI-AGENT ORCHESTRATION &amp; RAG-DRIVEN AUTOMOTIVE TROUBLESHOOTING' is a bonafide work carried out by HEMANTH N in partial fulfillment of the requirements for the award of the degree of Bachelor of Technology in Computer Science and Engineering. The project reflects genuine work conducted using modern Agentic AI workflows, LangGraph, and Google Gemini.</w:t>
      </w:r>
    </w:p>
    <w:p>
      <w:pPr>
        <w:spacing w:before="1600"/>
      </w:pPr>
      <w:r>
        <w:t>Internal Guide / Supervisor                                                     Head of Department</w:t>
        <w:br/>
        <w:t>Department of CSE                                                              Department of CSE</w:t>
      </w:r>
    </w:p>
    <w:p>
      <w:r>
        <w:br w:type="page"/>
      </w:r>
    </w:p>
    <w:p>
      <w:pPr>
        <w:keepNext/>
        <w:spacing w:before="280" w:after="120"/>
      </w:pPr>
      <w:r>
        <w:rPr>
          <w:rFonts w:ascii="Arial" w:hAnsi="Arial"/>
          <w:b/>
          <w:color w:val="0F172A"/>
          <w:sz w:val="32"/>
        </w:rPr>
        <w:t>ABSTRACT</w:t>
      </w:r>
    </w:p>
    <w:p>
      <w:pPr>
        <w:spacing w:after="120" w:line="276" w:lineRule="auto"/>
      </w:pPr>
      <w:r>
        <w:rPr>
          <w:rFonts w:ascii="Arial" w:hAnsi="Arial"/>
          <w:i w:val="0"/>
          <w:color w:val="334155"/>
          <w:sz w:val="21"/>
        </w:rPr>
        <w:t>Modern passenger automobiles function as software-defined ecosystems where telemetry from onboard Electronic Control Units (ECUs) and Telematics Control Units (TCUs) syncs with cloud-hosted billing entitlements and customer CRM databases. When an end-user encounters remote command failures—such as digital door unlock failures, app pairing disconnects, or charging interruptions—dealership support engineers must manually navigate disjointed database tools to diagnose the issue. This legacy manual workflow results in prolonged customer wait times (averaging 45 minutes) and frequent misdiagnoses.</w:t>
      </w:r>
    </w:p>
    <w:p>
      <w:pPr>
        <w:spacing w:after="120" w:line="276" w:lineRule="auto"/>
      </w:pPr>
      <w:r>
        <w:rPr>
          <w:rFonts w:ascii="Arial" w:hAnsi="Arial"/>
          <w:i w:val="0"/>
          <w:color w:val="334155"/>
          <w:sz w:val="21"/>
        </w:rPr>
        <w:t>To eliminate this diagnostic bottleneck, this project introduces the Connected Car AI Support Console, a stateful multi-agent orchestration platform built using LangGraph, Google Gemini 2.5 Flash, and ChromaDB. The architecture employs an intent-driven planner that dynamically routes queries to specialized micro-agents: CRM, Telematics, Subscription, and Knowledge Base agents. Technical service bulletins are indexed in a persistent vector database, enabling zero-hallucination semantic search. An investigation compiler reasons across telemetry logs (e.g., State of Charge, cellular RSSI) and billing packages to isolate a single verified root cause and output actionable remediation instructions in under two seconds. The console includes a safety gateway that escalates low-confidence outputs (&lt;70%) to human technicians and is deployed on Hugging Face Spaces via Docker.</w:t>
      </w:r>
    </w:p>
    <w:p>
      <w:r>
        <w:br w:type="page"/>
      </w:r>
    </w:p>
    <w:p>
      <w:pPr>
        <w:keepNext/>
        <w:spacing w:before="280" w:after="120"/>
      </w:pPr>
      <w:r>
        <w:rPr>
          <w:rFonts w:ascii="Arial" w:hAnsi="Arial"/>
          <w:b/>
          <w:color w:val="0F172A"/>
          <w:sz w:val="32"/>
        </w:rPr>
        <w:t>TABLE OF CONTENTS</w:t>
      </w:r>
    </w:p>
    <w:p>
      <w:pPr>
        <w:spacing w:after="40"/>
      </w:pPr>
      <w:r>
        <w:rPr>
          <w:rFonts w:ascii="Arial" w:hAnsi="Arial"/>
          <w:b/>
          <w:color w:val="0F172A"/>
          <w:sz w:val="20"/>
        </w:rPr>
        <w:t>1.0  INTRODUCTION</w:t>
      </w:r>
    </w:p>
    <w:p>
      <w:pPr>
        <w:spacing w:after="40"/>
      </w:pPr>
      <w:r>
        <w:rPr>
          <w:rFonts w:ascii="Arial" w:hAnsi="Arial"/>
          <w:color w:val="475569"/>
          <w:sz w:val="20"/>
        </w:rPr>
        <w:t>1.1  Background &amp; Motivation</w:t>
      </w:r>
    </w:p>
    <w:p>
      <w:pPr>
        <w:spacing w:after="40"/>
      </w:pPr>
      <w:r>
        <w:rPr>
          <w:rFonts w:ascii="Arial" w:hAnsi="Arial"/>
          <w:color w:val="475569"/>
          <w:sz w:val="20"/>
        </w:rPr>
        <w:t>1.2  Problem Formulation</w:t>
      </w:r>
    </w:p>
    <w:p>
      <w:pPr>
        <w:spacing w:after="40"/>
      </w:pPr>
      <w:r>
        <w:rPr>
          <w:rFonts w:ascii="Arial" w:hAnsi="Arial"/>
          <w:color w:val="475569"/>
          <w:sz w:val="20"/>
        </w:rPr>
        <w:t>1.3  Project Objectives</w:t>
      </w:r>
    </w:p>
    <w:p>
      <w:pPr>
        <w:spacing w:after="40"/>
      </w:pPr>
      <w:r>
        <w:rPr>
          <w:rFonts w:ascii="Arial" w:hAnsi="Arial"/>
          <w:color w:val="475569"/>
          <w:sz w:val="20"/>
        </w:rPr>
        <w:t>1.4  Scope and Limitations</w:t>
      </w:r>
    </w:p>
    <w:p>
      <w:pPr>
        <w:spacing w:after="40"/>
      </w:pPr>
      <w:r>
        <w:rPr>
          <w:rFonts w:ascii="Arial" w:hAnsi="Arial"/>
          <w:b/>
          <w:color w:val="0F172A"/>
          <w:sz w:val="20"/>
        </w:rPr>
        <w:t>2.0  LITERATURE SURVEY</w:t>
      </w:r>
    </w:p>
    <w:p>
      <w:pPr>
        <w:spacing w:after="40"/>
      </w:pPr>
      <w:r>
        <w:rPr>
          <w:rFonts w:ascii="Arial" w:hAnsi="Arial"/>
          <w:color w:val="475569"/>
          <w:sz w:val="20"/>
        </w:rPr>
        <w:t>2.1  Evolution of Automotive Diagnostics (OBD-II to Cloud Telematics)</w:t>
      </w:r>
    </w:p>
    <w:p>
      <w:pPr>
        <w:spacing w:after="40"/>
      </w:pPr>
      <w:r>
        <w:rPr>
          <w:rFonts w:ascii="Arial" w:hAnsi="Arial"/>
          <w:color w:val="475569"/>
          <w:sz w:val="20"/>
        </w:rPr>
        <w:t>2.2  Agentic AI Frameworks &amp; Stateful Graph Orchestration</w:t>
      </w:r>
    </w:p>
    <w:p>
      <w:pPr>
        <w:spacing w:after="40"/>
      </w:pPr>
      <w:r>
        <w:rPr>
          <w:rFonts w:ascii="Arial" w:hAnsi="Arial"/>
          <w:color w:val="475569"/>
          <w:sz w:val="20"/>
        </w:rPr>
        <w:t>2.3  Retrieval-Augmented Generation (RAG) in Technical Troubleshooting</w:t>
      </w:r>
    </w:p>
    <w:p>
      <w:pPr>
        <w:spacing w:after="40"/>
      </w:pPr>
      <w:r>
        <w:rPr>
          <w:rFonts w:ascii="Arial" w:hAnsi="Arial"/>
          <w:color w:val="475569"/>
          <w:sz w:val="20"/>
        </w:rPr>
        <w:t>2.4  Comparative Analysis of Diagnostic Paradigms</w:t>
      </w:r>
    </w:p>
    <w:p>
      <w:pPr>
        <w:spacing w:after="40"/>
      </w:pPr>
      <w:r>
        <w:rPr>
          <w:rFonts w:ascii="Arial" w:hAnsi="Arial"/>
          <w:b/>
          <w:color w:val="0F172A"/>
          <w:sz w:val="20"/>
        </w:rPr>
        <w:t>3.0  SYSTEM REQUIREMENTS &amp; FEASIBILITY</w:t>
      </w:r>
    </w:p>
    <w:p>
      <w:pPr>
        <w:spacing w:after="40"/>
      </w:pPr>
      <w:r>
        <w:rPr>
          <w:rFonts w:ascii="Arial" w:hAnsi="Arial"/>
          <w:color w:val="475569"/>
          <w:sz w:val="20"/>
        </w:rPr>
        <w:t>3.1  Functional Requirements</w:t>
      </w:r>
    </w:p>
    <w:p>
      <w:pPr>
        <w:spacing w:after="40"/>
      </w:pPr>
      <w:r>
        <w:rPr>
          <w:rFonts w:ascii="Arial" w:hAnsi="Arial"/>
          <w:color w:val="475569"/>
          <w:sz w:val="20"/>
        </w:rPr>
        <w:t>3.2  Non-Functional Requirements</w:t>
      </w:r>
    </w:p>
    <w:p>
      <w:pPr>
        <w:spacing w:after="40"/>
      </w:pPr>
      <w:r>
        <w:rPr>
          <w:rFonts w:ascii="Arial" w:hAnsi="Arial"/>
          <w:color w:val="475569"/>
          <w:sz w:val="20"/>
        </w:rPr>
        <w:t>3.3  Hardware and Software Environment</w:t>
      </w:r>
    </w:p>
    <w:p>
      <w:pPr>
        <w:spacing w:after="40"/>
      </w:pPr>
      <w:r>
        <w:rPr>
          <w:rFonts w:ascii="Arial" w:hAnsi="Arial"/>
          <w:b/>
          <w:color w:val="0F172A"/>
          <w:sz w:val="20"/>
        </w:rPr>
        <w:t>4.0  SYSTEM ARCHITECTURE &amp; DESIGN</w:t>
      </w:r>
    </w:p>
    <w:p>
      <w:pPr>
        <w:spacing w:after="40"/>
      </w:pPr>
      <w:r>
        <w:rPr>
          <w:rFonts w:ascii="Arial" w:hAnsi="Arial"/>
          <w:color w:val="475569"/>
          <w:sz w:val="20"/>
        </w:rPr>
        <w:t>4.1  High-Level Architectural Blueprint</w:t>
      </w:r>
    </w:p>
    <w:p>
      <w:pPr>
        <w:spacing w:after="40"/>
      </w:pPr>
      <w:r>
        <w:rPr>
          <w:rFonts w:ascii="Arial" w:hAnsi="Arial"/>
          <w:color w:val="475569"/>
          <w:sz w:val="20"/>
        </w:rPr>
        <w:t>4.2  LangGraph StateGraph &amp; Shared State Schema</w:t>
      </w:r>
    </w:p>
    <w:p>
      <w:pPr>
        <w:spacing w:after="40"/>
      </w:pPr>
      <w:r>
        <w:rPr>
          <w:rFonts w:ascii="Arial" w:hAnsi="Arial"/>
          <w:color w:val="475569"/>
          <w:sz w:val="20"/>
        </w:rPr>
        <w:t>4.3  Dynamic Query Routing &amp; API Pruning Logic</w:t>
      </w:r>
    </w:p>
    <w:p>
      <w:pPr>
        <w:spacing w:after="40"/>
      </w:pPr>
      <w:r>
        <w:rPr>
          <w:rFonts w:ascii="Arial" w:hAnsi="Arial"/>
          <w:b/>
          <w:color w:val="0F172A"/>
          <w:sz w:val="20"/>
        </w:rPr>
        <w:t>5.0  MULTI-AGENT IMPLEMENTATION</w:t>
      </w:r>
    </w:p>
    <w:p>
      <w:pPr>
        <w:spacing w:after="40"/>
      </w:pPr>
      <w:r>
        <w:rPr>
          <w:rFonts w:ascii="Arial" w:hAnsi="Arial"/>
          <w:color w:val="475569"/>
          <w:sz w:val="20"/>
        </w:rPr>
        <w:t>5.1  Intent Classification and Planning Agent</w:t>
      </w:r>
    </w:p>
    <w:p>
      <w:pPr>
        <w:spacing w:after="40"/>
      </w:pPr>
      <w:r>
        <w:rPr>
          <w:rFonts w:ascii="Arial" w:hAnsi="Arial"/>
          <w:color w:val="475569"/>
          <w:sz w:val="20"/>
        </w:rPr>
        <w:t>5.2  CRM and Customer Profile Agent</w:t>
      </w:r>
    </w:p>
    <w:p>
      <w:pPr>
        <w:spacing w:after="40"/>
      </w:pPr>
      <w:r>
        <w:rPr>
          <w:rFonts w:ascii="Arial" w:hAnsi="Arial"/>
          <w:color w:val="475569"/>
          <w:sz w:val="20"/>
        </w:rPr>
        <w:t>5.3  Vehicle Telematics and ECU Agent</w:t>
      </w:r>
    </w:p>
    <w:p>
      <w:pPr>
        <w:spacing w:after="40"/>
      </w:pPr>
      <w:r>
        <w:rPr>
          <w:rFonts w:ascii="Arial" w:hAnsi="Arial"/>
          <w:color w:val="475569"/>
          <w:sz w:val="20"/>
        </w:rPr>
        <w:t>5.4  Subscription and Billing Entitlement Agent</w:t>
      </w:r>
    </w:p>
    <w:p>
      <w:pPr>
        <w:spacing w:after="40"/>
      </w:pPr>
      <w:r>
        <w:rPr>
          <w:rFonts w:ascii="Arial" w:hAnsi="Arial"/>
          <w:color w:val="475569"/>
          <w:sz w:val="20"/>
        </w:rPr>
        <w:t>5.5  RAG Knowledge Retrieval Agent</w:t>
      </w:r>
    </w:p>
    <w:p>
      <w:pPr>
        <w:spacing w:after="40"/>
      </w:pPr>
      <w:r>
        <w:rPr>
          <w:rFonts w:ascii="Arial" w:hAnsi="Arial"/>
          <w:color w:val="475569"/>
          <w:sz w:val="20"/>
        </w:rPr>
        <w:t>5.6  Cognitive Investigation and Synthesis Agent</w:t>
      </w:r>
    </w:p>
    <w:p>
      <w:pPr>
        <w:spacing w:after="40"/>
      </w:pPr>
      <w:r>
        <w:rPr>
          <w:rFonts w:ascii="Arial" w:hAnsi="Arial"/>
          <w:color w:val="475569"/>
          <w:sz w:val="20"/>
        </w:rPr>
        <w:t>5.7  Safety Governance &amp; Escalation Gateway</w:t>
      </w:r>
    </w:p>
    <w:p>
      <w:pPr>
        <w:spacing w:after="40"/>
      </w:pPr>
      <w:r>
        <w:rPr>
          <w:rFonts w:ascii="Arial" w:hAnsi="Arial"/>
          <w:b/>
          <w:color w:val="0F172A"/>
          <w:sz w:val="20"/>
        </w:rPr>
        <w:t>6.0  DATA LAYER &amp; VECTOR INGESTION</w:t>
      </w:r>
    </w:p>
    <w:p>
      <w:pPr>
        <w:spacing w:after="40"/>
      </w:pPr>
      <w:r>
        <w:rPr>
          <w:rFonts w:ascii="Arial" w:hAnsi="Arial"/>
          <w:color w:val="475569"/>
          <w:sz w:val="20"/>
        </w:rPr>
        <w:t>6.1  Relational Mock Database Schemas</w:t>
      </w:r>
    </w:p>
    <w:p>
      <w:pPr>
        <w:spacing w:after="40"/>
      </w:pPr>
      <w:r>
        <w:rPr>
          <w:rFonts w:ascii="Arial" w:hAnsi="Arial"/>
          <w:color w:val="475569"/>
          <w:sz w:val="20"/>
        </w:rPr>
        <w:t>6.2  ChromaDB Persistent Vector Ingestion Pipeline</w:t>
      </w:r>
    </w:p>
    <w:p>
      <w:pPr>
        <w:spacing w:after="40"/>
      </w:pPr>
      <w:r>
        <w:rPr>
          <w:rFonts w:ascii="Arial" w:hAnsi="Arial"/>
          <w:b/>
          <w:color w:val="0F172A"/>
          <w:sz w:val="20"/>
        </w:rPr>
        <w:t>7.0  RESULTS, BENCHMARKS &amp; CASE STUDIES</w:t>
      </w:r>
    </w:p>
    <w:p>
      <w:pPr>
        <w:spacing w:after="40"/>
      </w:pPr>
      <w:r>
        <w:rPr>
          <w:rFonts w:ascii="Arial" w:hAnsi="Arial"/>
          <w:color w:val="475569"/>
          <w:sz w:val="20"/>
        </w:rPr>
        <w:t>7.1  Quantitative Benchmarks (Accuracy, Precision, Latency)</w:t>
      </w:r>
    </w:p>
    <w:p>
      <w:pPr>
        <w:spacing w:after="40"/>
      </w:pPr>
      <w:r>
        <w:rPr>
          <w:rFonts w:ascii="Arial" w:hAnsi="Arial"/>
          <w:color w:val="475569"/>
          <w:sz w:val="20"/>
        </w:rPr>
        <w:t>7.2  Ablation Studies</w:t>
      </w:r>
    </w:p>
    <w:p>
      <w:pPr>
        <w:spacing w:after="40"/>
      </w:pPr>
      <w:r>
        <w:rPr>
          <w:rFonts w:ascii="Arial" w:hAnsi="Arial"/>
          <w:color w:val="475569"/>
          <w:sz w:val="20"/>
        </w:rPr>
        <w:t>7.3  End-to-End Case Study: EV Charging Connector Bug</w:t>
      </w:r>
    </w:p>
    <w:p>
      <w:pPr>
        <w:spacing w:after="40"/>
      </w:pPr>
      <w:r>
        <w:rPr>
          <w:rFonts w:ascii="Arial" w:hAnsi="Arial"/>
          <w:b/>
          <w:color w:val="0F172A"/>
          <w:sz w:val="20"/>
        </w:rPr>
        <w:t>8.0  USER INTERFACE &amp; CLOUD DEPLOYMENT</w:t>
      </w:r>
    </w:p>
    <w:p>
      <w:pPr>
        <w:spacing w:after="40"/>
      </w:pPr>
      <w:r>
        <w:rPr>
          <w:rFonts w:ascii="Arial" w:hAnsi="Arial"/>
          <w:color w:val="475569"/>
          <w:sz w:val="20"/>
        </w:rPr>
        <w:t>8.1  Streamlit Glassmorphism Operator Dashboard</w:t>
      </w:r>
    </w:p>
    <w:p>
      <w:pPr>
        <w:spacing w:after="40"/>
      </w:pPr>
      <w:r>
        <w:rPr>
          <w:rFonts w:ascii="Arial" w:hAnsi="Arial"/>
          <w:color w:val="475569"/>
          <w:sz w:val="20"/>
        </w:rPr>
        <w:t>8.2  Docker Containerization &amp; Hugging Face Spaces Deployment</w:t>
      </w:r>
    </w:p>
    <w:p>
      <w:pPr>
        <w:spacing w:after="40"/>
      </w:pPr>
      <w:r>
        <w:rPr>
          <w:rFonts w:ascii="Arial" w:hAnsi="Arial"/>
          <w:b/>
          <w:color w:val="0F172A"/>
          <w:sz w:val="20"/>
        </w:rPr>
        <w:t>9.0  CONCLUSION &amp; FUTURE ENHANCEMENTS</w:t>
      </w:r>
    </w:p>
    <w:p>
      <w:pPr>
        <w:spacing w:after="40"/>
      </w:pPr>
      <w:r>
        <w:rPr>
          <w:rFonts w:ascii="Arial" w:hAnsi="Arial"/>
          <w:b/>
          <w:color w:val="0F172A"/>
          <w:sz w:val="20"/>
        </w:rPr>
        <w:t>10.0  REFERENCES</w:t>
      </w:r>
    </w:p>
    <w:p>
      <w:r>
        <w:br w:type="page"/>
      </w:r>
    </w:p>
    <w:p>
      <w:pPr>
        <w:keepNext/>
        <w:spacing w:before="280" w:after="120"/>
      </w:pPr>
      <w:r>
        <w:rPr>
          <w:rFonts w:ascii="Arial" w:hAnsi="Arial"/>
          <w:b/>
          <w:color w:val="0F172A"/>
          <w:sz w:val="32"/>
        </w:rPr>
        <w:t>CHAPTER 1: INTRODUCTION</w:t>
      </w:r>
    </w:p>
    <w:p>
      <w:pPr>
        <w:keepNext/>
        <w:spacing w:before="280" w:after="120"/>
      </w:pPr>
      <w:r>
        <w:rPr>
          <w:rFonts w:ascii="Arial" w:hAnsi="Arial"/>
          <w:b/>
          <w:color w:val="312E81"/>
          <w:sz w:val="26"/>
        </w:rPr>
        <w:t>1.1 Background &amp; Motivation</w:t>
      </w:r>
    </w:p>
    <w:p>
      <w:pPr>
        <w:spacing w:after="120" w:line="276" w:lineRule="auto"/>
      </w:pPr>
      <w:r>
        <w:rPr>
          <w:rFonts w:ascii="Arial" w:hAnsi="Arial"/>
          <w:i w:val="0"/>
          <w:color w:val="334155"/>
          <w:sz w:val="21"/>
        </w:rPr>
        <w:t>Modern passenger automobiles are rapidly evolving into Software-Defined Vehicles (SDVs). Features such as remote keyless entry, mobile phone app pairing, cabin climate pre-conditioning, and over-the-air firmware updates are managed via complex interactions between on-board microcontrollers and cloud servers. When a driver experiences an operational failure (e.g., 'Unable to unlock vehicle via app'), the underlying cause could stem from a drained 12V key fob battery, a mechanical lock actuator failure, an expired subscription package, or an offline eSIM cellular modem.</w:t>
      </w:r>
    </w:p>
    <w:p>
      <w:pPr>
        <w:spacing w:after="120" w:line="276" w:lineRule="auto"/>
      </w:pPr>
      <w:r>
        <w:rPr>
          <w:rFonts w:ascii="Arial" w:hAnsi="Arial"/>
          <w:i w:val="0"/>
          <w:color w:val="334155"/>
          <w:sz w:val="21"/>
        </w:rPr>
        <w:t>In current automotive service desks, customer support engineers must navigate multiple disjointed software platforms: (1) Customer CRM tools to locate account histories, (2) Telematics servers to inspect live vehicle pings and battery levels, (3) Billing databases to verify package entitlements, and (4) Static PDF repair manuals to find troubleshooting protocols. This manual relay workflow creates severe bottlenecks, with average diagnostic times exceeding 45 minutes.</w:t>
      </w:r>
    </w:p>
    <w:p>
      <w:pPr>
        <w:keepNext/>
        <w:spacing w:before="280" w:after="120"/>
      </w:pPr>
      <w:r>
        <w:rPr>
          <w:rFonts w:ascii="Arial" w:hAnsi="Arial"/>
          <w:b/>
          <w:color w:val="312E81"/>
          <w:sz w:val="26"/>
        </w:rPr>
        <w:t>1.2 Problem Formulation</w:t>
      </w:r>
    </w:p>
    <w:p>
      <w:pPr>
        <w:spacing w:after="120" w:line="276" w:lineRule="auto"/>
      </w:pPr>
      <w:r>
        <w:rPr>
          <w:rFonts w:ascii="Arial" w:hAnsi="Arial"/>
          <w:i w:val="0"/>
          <w:color w:val="334155"/>
          <w:sz w:val="21"/>
        </w:rPr>
        <w:t>The objective of this project is to develop an automated support orchestrator that uses stateful multi-agent architectures to autonomously investigate, diagnose, and resolve connected vehicle customer complaints. The system must dynamically query backend databases, perform semantic searches across repair manuals, and compile verified root causes and step-by-step remediation plans in under two seconds.</w:t>
      </w:r>
    </w:p>
    <w:p>
      <w:pPr>
        <w:keepNext/>
        <w:spacing w:before="280" w:after="120"/>
      </w:pPr>
      <w:r>
        <w:rPr>
          <w:rFonts w:ascii="Arial" w:hAnsi="Arial"/>
          <w:b/>
          <w:color w:val="312E81"/>
          <w:sz w:val="26"/>
        </w:rPr>
        <w:t>1.3 Project Objectives</w:t>
      </w:r>
    </w:p>
    <w:p>
      <w:pPr>
        <w:spacing w:after="80" w:line="276" w:lineRule="auto"/>
        <w:ind w:left="504"/>
      </w:pPr>
      <w:r>
        <w:rPr>
          <w:rFonts w:ascii="Arial" w:hAnsi="Arial"/>
          <w:b/>
          <w:color w:val="4F46E5"/>
          <w:sz w:val="21"/>
        </w:rPr>
        <w:t xml:space="preserve">• </w:t>
      </w:r>
      <w:r>
        <w:rPr>
          <w:rFonts w:ascii="Arial" w:hAnsi="Arial"/>
          <w:b/>
          <w:color w:val="0F172A"/>
          <w:sz w:val="21"/>
        </w:rPr>
        <w:t xml:space="preserve">Multi-Agent State Orchestration: </w:t>
      </w:r>
      <w:r>
        <w:rPr>
          <w:rFonts w:ascii="Arial" w:hAnsi="Arial"/>
          <w:color w:val="334155"/>
          <w:sz w:val="21"/>
        </w:rPr>
        <w:t>Design a LangGraph StateGraph pipeline coordinating specialized autonomous micro-agents.</w:t>
      </w:r>
    </w:p>
    <w:p>
      <w:pPr>
        <w:spacing w:after="80" w:line="276" w:lineRule="auto"/>
        <w:ind w:left="504"/>
      </w:pPr>
      <w:r>
        <w:rPr>
          <w:rFonts w:ascii="Arial" w:hAnsi="Arial"/>
          <w:b/>
          <w:color w:val="4F46E5"/>
          <w:sz w:val="21"/>
        </w:rPr>
        <w:t xml:space="preserve">• </w:t>
      </w:r>
      <w:r>
        <w:rPr>
          <w:rFonts w:ascii="Arial" w:hAnsi="Arial"/>
          <w:b/>
          <w:color w:val="0F172A"/>
          <w:sz w:val="21"/>
        </w:rPr>
        <w:t xml:space="preserve">Dynamic Query Pruning: </w:t>
      </w:r>
      <w:r>
        <w:rPr>
          <w:rFonts w:ascii="Arial" w:hAnsi="Arial"/>
          <w:color w:val="334155"/>
          <w:sz w:val="21"/>
        </w:rPr>
        <w:t>Implement an intelligent planner that categorizes complaints and selectively activates database endpoints.</w:t>
      </w:r>
    </w:p>
    <w:p>
      <w:pPr>
        <w:spacing w:after="80" w:line="276" w:lineRule="auto"/>
        <w:ind w:left="504"/>
      </w:pPr>
      <w:r>
        <w:rPr>
          <w:rFonts w:ascii="Arial" w:hAnsi="Arial"/>
          <w:b/>
          <w:color w:val="4F46E5"/>
          <w:sz w:val="21"/>
        </w:rPr>
        <w:t xml:space="preserve">• </w:t>
      </w:r>
      <w:r>
        <w:rPr>
          <w:rFonts w:ascii="Arial" w:hAnsi="Arial"/>
          <w:b/>
          <w:color w:val="0F172A"/>
          <w:sz w:val="21"/>
        </w:rPr>
        <w:t xml:space="preserve">Grounded RAG Retrieval: </w:t>
      </w:r>
      <w:r>
        <w:rPr>
          <w:rFonts w:ascii="Arial" w:hAnsi="Arial"/>
          <w:color w:val="334155"/>
          <w:sz w:val="21"/>
        </w:rPr>
        <w:t>Index vehicle service manuals in a persistent ChromaDB vector store to prevent hallucinations.</w:t>
      </w:r>
    </w:p>
    <w:p>
      <w:pPr>
        <w:spacing w:after="80" w:line="276" w:lineRule="auto"/>
        <w:ind w:left="504"/>
      </w:pPr>
      <w:r>
        <w:rPr>
          <w:rFonts w:ascii="Arial" w:hAnsi="Arial"/>
          <w:b/>
          <w:color w:val="4F46E5"/>
          <w:sz w:val="21"/>
        </w:rPr>
        <w:t xml:space="preserve">• </w:t>
      </w:r>
      <w:r>
        <w:rPr>
          <w:rFonts w:ascii="Arial" w:hAnsi="Arial"/>
          <w:b/>
          <w:color w:val="0F172A"/>
          <w:sz w:val="21"/>
        </w:rPr>
        <w:t xml:space="preserve">Evidence-Based Investigation: </w:t>
      </w:r>
      <w:r>
        <w:rPr>
          <w:rFonts w:ascii="Arial" w:hAnsi="Arial"/>
          <w:color w:val="334155"/>
          <w:sz w:val="21"/>
        </w:rPr>
        <w:t>Reason over multi-source telemetry to isolate a single root cause with verifiable proof metrics.</w:t>
      </w:r>
    </w:p>
    <w:p>
      <w:pPr>
        <w:spacing w:after="80" w:line="276" w:lineRule="auto"/>
        <w:ind w:left="504"/>
      </w:pPr>
      <w:r>
        <w:rPr>
          <w:rFonts w:ascii="Arial" w:hAnsi="Arial"/>
          <w:b/>
          <w:color w:val="4F46E5"/>
          <w:sz w:val="21"/>
        </w:rPr>
        <w:t xml:space="preserve">• </w:t>
      </w:r>
      <w:r>
        <w:rPr>
          <w:rFonts w:ascii="Arial" w:hAnsi="Arial"/>
          <w:b/>
          <w:color w:val="0F172A"/>
          <w:sz w:val="21"/>
        </w:rPr>
        <w:t xml:space="preserve">Safety Governance Gateways: </w:t>
      </w:r>
      <w:r>
        <w:rPr>
          <w:rFonts w:ascii="Arial" w:hAnsi="Arial"/>
          <w:color w:val="334155"/>
          <w:sz w:val="21"/>
        </w:rPr>
        <w:t>Enforce automatic escalation to human Tier-3 engineers for low-confidence (&lt;70%) or unknown faults.</w:t>
      </w:r>
    </w:p>
    <w:p>
      <w:pPr>
        <w:spacing w:after="80" w:line="276" w:lineRule="auto"/>
        <w:ind w:left="504"/>
      </w:pPr>
      <w:r>
        <w:rPr>
          <w:rFonts w:ascii="Arial" w:hAnsi="Arial"/>
          <w:b/>
          <w:color w:val="4F46E5"/>
          <w:sz w:val="21"/>
        </w:rPr>
        <w:t xml:space="preserve">• </w:t>
      </w:r>
      <w:r>
        <w:rPr>
          <w:rFonts w:ascii="Arial" w:hAnsi="Arial"/>
          <w:b/>
          <w:color w:val="0F172A"/>
          <w:sz w:val="21"/>
        </w:rPr>
        <w:t xml:space="preserve">Cloud Deployment: </w:t>
      </w:r>
      <w:r>
        <w:rPr>
          <w:rFonts w:ascii="Arial" w:hAnsi="Arial"/>
          <w:color w:val="334155"/>
          <w:sz w:val="21"/>
        </w:rPr>
        <w:t>Containerize the application via Docker and host on Hugging Face Spaces with a responsive Streamlit UI.</w:t>
      </w:r>
    </w:p>
    <w:p>
      <w:r>
        <w:br w:type="page"/>
      </w:r>
    </w:p>
    <w:p>
      <w:pPr>
        <w:keepNext/>
        <w:spacing w:before="280" w:after="120"/>
      </w:pPr>
      <w:r>
        <w:rPr>
          <w:rFonts w:ascii="Arial" w:hAnsi="Arial"/>
          <w:b/>
          <w:color w:val="0F172A"/>
          <w:sz w:val="32"/>
        </w:rPr>
        <w:t>CHAPTER 2: LITERATURE SURVEY</w:t>
      </w:r>
    </w:p>
    <w:p>
      <w:pPr>
        <w:keepNext/>
        <w:spacing w:before="280" w:after="120"/>
      </w:pPr>
      <w:r>
        <w:rPr>
          <w:rFonts w:ascii="Arial" w:hAnsi="Arial"/>
          <w:b/>
          <w:color w:val="312E81"/>
          <w:sz w:val="26"/>
        </w:rPr>
        <w:t>2.1 Evolution of Automotive Diagnostics</w:t>
      </w:r>
    </w:p>
    <w:p>
      <w:pPr>
        <w:spacing w:after="120" w:line="276" w:lineRule="auto"/>
      </w:pPr>
      <w:r>
        <w:rPr>
          <w:rFonts w:ascii="Arial" w:hAnsi="Arial"/>
          <w:i w:val="0"/>
          <w:color w:val="334155"/>
          <w:sz w:val="21"/>
        </w:rPr>
        <w:t>Automotive diagnostics originated with physical scan tools plugged into the on-board OBD-II port to read Diagnostic Trouble Codes (DTCs). With the introduction of cellular Telematics Control Units (TCUs), vehicles began streaming telemetry to cloud endpoints. However, commercial dealerships continue to maintain disconnected IT backends where customer data, billing contracts, and telemetry streams operate in silos without automated correlation.</w:t>
      </w:r>
    </w:p>
    <w:p>
      <w:pPr>
        <w:keepNext/>
        <w:spacing w:before="280" w:after="120"/>
      </w:pPr>
      <w:r>
        <w:rPr>
          <w:rFonts w:ascii="Arial" w:hAnsi="Arial"/>
          <w:b/>
          <w:color w:val="312E81"/>
          <w:sz w:val="26"/>
        </w:rPr>
        <w:t>2.2 Stateful Agentic Graph Architectures</w:t>
      </w:r>
    </w:p>
    <w:p>
      <w:pPr>
        <w:spacing w:after="120" w:line="276" w:lineRule="auto"/>
      </w:pPr>
      <w:r>
        <w:rPr>
          <w:rFonts w:ascii="Arial" w:hAnsi="Arial"/>
          <w:i w:val="0"/>
          <w:color w:val="334155"/>
          <w:sz w:val="21"/>
        </w:rPr>
        <w:t>Earlier automated support systems utilized decision trees and rigid chatbot scripts that failed when encountering multi-factor automotive problems. Recent advancements in Large Language Models (LLMs) enable autonomous reasoning. Frameworks such as LangGraph introduce stateful Directed Acyclic Graphs (DAGs) where agents mutate a shared state container across iterative execution loops, enabling complex multi-step workflows.</w:t>
      </w:r>
    </w:p>
    <w:p>
      <w:pPr>
        <w:keepNext/>
        <w:spacing w:before="280" w:after="120"/>
      </w:pPr>
      <w:r>
        <w:rPr>
          <w:rFonts w:ascii="Arial" w:hAnsi="Arial"/>
          <w:b/>
          <w:color w:val="312E81"/>
          <w:sz w:val="26"/>
        </w:rPr>
        <w:t>2.3 Retrieval-Augmented Generation (RAG)</w:t>
      </w:r>
    </w:p>
    <w:p>
      <w:pPr>
        <w:spacing w:after="120" w:line="276" w:lineRule="auto"/>
      </w:pPr>
      <w:r>
        <w:rPr>
          <w:rFonts w:ascii="Arial" w:hAnsi="Arial"/>
          <w:i w:val="0"/>
          <w:color w:val="334155"/>
          <w:sz w:val="21"/>
        </w:rPr>
        <w:t>Standard LLMs are prone to hallucinations when generating technical repair instructions. Retrieval-Augmented Generation (RAG) mitigates this by transforming technical manuals into vector embeddings stored in high-dimensional vector spaces (e.g., ChromaDB). At query time, cosine similarity searches retrieve exact service bulletin excerpts to ground the LLM's diagnostic synthesis.</w:t>
      </w:r>
    </w:p>
    <w:p>
      <w:pPr>
        <w:spacing w:before="200" w:after="80"/>
        <w:jc w:val="center"/>
      </w:pPr>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legacy_support_flowchart.png"/>
                    <pic:cNvPicPr/>
                  </pic:nvPicPr>
                  <pic:blipFill>
                    <a:blip r:embed="rId9"/>
                    <a:stretch>
                      <a:fillRect/>
                    </a:stretch>
                  </pic:blipFill>
                  <pic:spPr>
                    <a:xfrm>
                      <a:off x="0" y="0"/>
                      <a:ext cx="4572000" cy="4572000"/>
                    </a:xfrm>
                    <a:prstGeom prst="rect"/>
                  </pic:spPr>
                </pic:pic>
              </a:graphicData>
            </a:graphic>
          </wp:inline>
        </w:drawing>
      </w:r>
    </w:p>
    <w:p>
      <w:pPr>
        <w:spacing w:after="200"/>
        <w:jc w:val="center"/>
      </w:pPr>
      <w:r>
        <w:rPr>
          <w:rFonts w:ascii="Arial" w:hAnsi="Arial"/>
          <w:i/>
          <w:color w:val="64748B"/>
          <w:sz w:val="19"/>
        </w:rPr>
        <w:t>Figure 2.1: Disconnected Prior-Art Legacy Dealership Support Flowchart</w:t>
      </w:r>
    </w:p>
    <w:p>
      <w:r>
        <w:br w:type="page"/>
      </w:r>
    </w:p>
    <w:p>
      <w:pPr>
        <w:keepNext/>
        <w:spacing w:before="280" w:after="120"/>
      </w:pPr>
      <w:r>
        <w:rPr>
          <w:rFonts w:ascii="Arial" w:hAnsi="Arial"/>
          <w:b/>
          <w:color w:val="0F172A"/>
          <w:sz w:val="32"/>
        </w:rPr>
        <w:t>CHAPTER 3: SYSTEM REQUIREMENTS &amp; DESIGN</w:t>
      </w:r>
    </w:p>
    <w:p>
      <w:pPr>
        <w:keepNext/>
        <w:spacing w:before="280" w:after="120"/>
      </w:pPr>
      <w:r>
        <w:rPr>
          <w:rFonts w:ascii="Arial" w:hAnsi="Arial"/>
          <w:b/>
          <w:color w:val="312E81"/>
          <w:sz w:val="26"/>
        </w:rPr>
        <w:t>3.1 Requirements Specification</w:t>
      </w:r>
    </w:p>
    <w:p>
      <w:pPr>
        <w:spacing w:after="80" w:line="276" w:lineRule="auto"/>
        <w:ind w:left="504"/>
      </w:pPr>
      <w:r>
        <w:rPr>
          <w:rFonts w:ascii="Arial" w:hAnsi="Arial"/>
          <w:b/>
          <w:color w:val="4F46E5"/>
          <w:sz w:val="21"/>
        </w:rPr>
        <w:t xml:space="preserve">• </w:t>
      </w:r>
      <w:r>
        <w:rPr>
          <w:rFonts w:ascii="Arial" w:hAnsi="Arial"/>
          <w:b/>
          <w:color w:val="0F172A"/>
          <w:sz w:val="21"/>
        </w:rPr>
        <w:t xml:space="preserve">Functional Requirements: </w:t>
      </w:r>
      <w:r>
        <w:rPr>
          <w:rFonts w:ascii="Arial" w:hAnsi="Arial"/>
          <w:color w:val="334155"/>
          <w:sz w:val="21"/>
        </w:rPr>
        <w:t>Automated intent triage, conditional database lookups, vector manual retrieval, root-cause synthesis, and confidence-based escalation.</w:t>
      </w:r>
    </w:p>
    <w:p>
      <w:pPr>
        <w:spacing w:after="80" w:line="276" w:lineRule="auto"/>
        <w:ind w:left="504"/>
      </w:pPr>
      <w:r>
        <w:rPr>
          <w:rFonts w:ascii="Arial" w:hAnsi="Arial"/>
          <w:b/>
          <w:color w:val="4F46E5"/>
          <w:sz w:val="21"/>
        </w:rPr>
        <w:t xml:space="preserve">• </w:t>
      </w:r>
      <w:r>
        <w:rPr>
          <w:rFonts w:ascii="Arial" w:hAnsi="Arial"/>
          <w:b/>
          <w:color w:val="0F172A"/>
          <w:sz w:val="21"/>
        </w:rPr>
        <w:t xml:space="preserve">Non-Functional Requirements: </w:t>
      </w:r>
      <w:r>
        <w:rPr>
          <w:rFonts w:ascii="Arial" w:hAnsi="Arial"/>
          <w:color w:val="334155"/>
          <w:sz w:val="21"/>
        </w:rPr>
        <w:t>Sub-2-second response latency, deterministic temperature-zero output, 99.9% container uptime, and secure API credential storage.</w:t>
      </w:r>
    </w:p>
    <w:p>
      <w:pPr>
        <w:spacing w:after="80" w:line="276" w:lineRule="auto"/>
        <w:ind w:left="504"/>
      </w:pPr>
      <w:r>
        <w:rPr>
          <w:rFonts w:ascii="Arial" w:hAnsi="Arial"/>
          <w:b/>
          <w:color w:val="4F46E5"/>
          <w:sz w:val="21"/>
        </w:rPr>
        <w:t xml:space="preserve">• </w:t>
      </w:r>
      <w:r>
        <w:rPr>
          <w:rFonts w:ascii="Arial" w:hAnsi="Arial"/>
          <w:b/>
          <w:color w:val="0F172A"/>
          <w:sz w:val="21"/>
        </w:rPr>
        <w:t xml:space="preserve">Technology Stack: </w:t>
      </w:r>
      <w:r>
        <w:rPr>
          <w:rFonts w:ascii="Arial" w:hAnsi="Arial"/>
          <w:color w:val="334155"/>
          <w:sz w:val="21"/>
        </w:rPr>
        <w:t>Python 3.11, LangGraph, LangChain Core, Google Gemini 2.5 Flash, ChromaDB, Streamlit, Docker, Hugging Face Spaces.</w:t>
      </w:r>
    </w:p>
    <w:p>
      <w:pPr>
        <w:keepNext/>
        <w:spacing w:before="280" w:after="120"/>
      </w:pPr>
      <w:r>
        <w:rPr>
          <w:rFonts w:ascii="Arial" w:hAnsi="Arial"/>
          <w:b/>
          <w:color w:val="0F172A"/>
          <w:sz w:val="32"/>
        </w:rPr>
        <w:t>CHAPTER 4: SYSTEM ARCHITECTURE</w:t>
      </w:r>
    </w:p>
    <w:p>
      <w:pPr>
        <w:spacing w:after="120" w:line="276" w:lineRule="auto"/>
      </w:pPr>
      <w:r>
        <w:rPr>
          <w:rFonts w:ascii="Arial" w:hAnsi="Arial"/>
          <w:i w:val="0"/>
          <w:color w:val="334155"/>
          <w:sz w:val="21"/>
        </w:rPr>
        <w:t>The system architecture is structured as a LangGraph StateGraph coordinating six specialized agents through a shared AgentState schema.</w:t>
      </w:r>
    </w:p>
    <w:p>
      <w:pPr>
        <w:spacing w:before="200" w:after="80"/>
        <w:jc w:val="center"/>
      </w:pPr>
      <w:r>
        <w:drawing>
          <wp:inline xmlns:a="http://schemas.openxmlformats.org/drawingml/2006/main" xmlns:pic="http://schemas.openxmlformats.org/drawingml/2006/picture">
            <wp:extent cx="4572000" cy="7904136"/>
            <wp:docPr id="2" name="Picture 2"/>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4572000" cy="7904136"/>
                    </a:xfrm>
                    <a:prstGeom prst="rect"/>
                  </pic:spPr>
                </pic:pic>
              </a:graphicData>
            </a:graphic>
          </wp:inline>
        </w:drawing>
      </w:r>
    </w:p>
    <w:p>
      <w:pPr>
        <w:spacing w:after="200"/>
        <w:jc w:val="center"/>
      </w:pPr>
      <w:r>
        <w:rPr>
          <w:rFonts w:ascii="Arial" w:hAnsi="Arial"/>
          <w:i/>
          <w:color w:val="64748B"/>
          <w:sz w:val="19"/>
        </w:rPr>
        <w:t>Figure 4.1: High-Level Multi-Agent Architecture and Directed Acyclic Graph</w:t>
      </w:r>
    </w:p>
    <w:p>
      <w:pPr>
        <w:spacing w:before="80" w:after="120"/>
        <w:ind w:left="576"/>
        <w:shd w:fill="F1F5F9"/>
        <w:pBdr>
          <w:left w:val="single" w:sz="24" w:space="8" w:color="6366F1"/>
        </w:pBdr>
      </w:pPr>
      <w:r>
        <w:rPr>
          <w:rFonts w:ascii="Consolas" w:hAnsi="Consolas"/>
          <w:color w:val="0F172A"/>
          <w:sz w:val="18"/>
        </w:rPr>
        <w:t>class AgentState(TypedDict):</w:t>
        <w:br/>
        <w:t xml:space="preserve">    customer_query: str          # Raw customer complaint text</w:t>
        <w:br/>
        <w:t xml:space="preserve">    planner_decision: dict       # Dynamic switches set by Intent Agent</w:t>
        <w:br/>
        <w:t xml:space="preserve">    issue_category: str          # Mapped category (e.g. app_pairing)</w:t>
        <w:br/>
        <w:t xml:space="preserve">    severity: str                # Mapped severity level (low, medium, high)</w:t>
        <w:br/>
        <w:t xml:space="preserve">    confidence: float            # LLM confidence score on classification</w:t>
        <w:br/>
        <w:t xml:space="preserve">    customer_id: str             # Customer account identifier</w:t>
        <w:br/>
        <w:t xml:space="preserve">    vehicle_id: str              # Mapped Vehicle Identification Number (VIN)</w:t>
        <w:br/>
        <w:t xml:space="preserve">    crm_data: dict               # Customer details pulled from CRM</w:t>
        <w:br/>
        <w:t xml:space="preserve">    telematics_data: dict        # Live hardware sensor readings (SoC, RSSI)</w:t>
        <w:br/>
        <w:t xml:space="preserve">    subscription_status: str     # Billing package state (active/expired)</w:t>
        <w:br/>
        <w:t xml:space="preserve">    kb_context: str              # Text context retrieved by RAG from ChromaDB</w:t>
        <w:br/>
        <w:t xml:space="preserve">    root_cause: str              # Isolated failure origin</w:t>
        <w:br/>
        <w:t xml:space="preserve">    resolution: str              # Actionable step-by-step remediation steps</w:t>
        <w:br/>
        <w:t xml:space="preserve">    root_cause_confidence: float # Compiler diagnostic confidence rating</w:t>
        <w:br/>
        <w:t xml:space="preserve">    evidence_used: list          # Specific metrics proving the root cause</w:t>
        <w:br/>
        <w:t xml:space="preserve">    investigation_steps: list    # Step-by-step pipeline execution logs</w:t>
      </w:r>
    </w:p>
    <w:p>
      <w:r>
        <w:br w:type="page"/>
      </w:r>
    </w:p>
    <w:p>
      <w:pPr>
        <w:keepNext/>
        <w:spacing w:before="280" w:after="120"/>
      </w:pPr>
      <w:r>
        <w:rPr>
          <w:rFonts w:ascii="Arial" w:hAnsi="Arial"/>
          <w:b/>
          <w:color w:val="0F172A"/>
          <w:sz w:val="32"/>
        </w:rPr>
        <w:t>CHAPTER 5: MULTI-AGENT IMPLEMENTATION</w:t>
      </w:r>
    </w:p>
    <w:p>
      <w:pPr>
        <w:spacing w:after="120" w:line="276" w:lineRule="auto"/>
      </w:pPr>
      <w:r>
        <w:rPr>
          <w:rFonts w:ascii="Arial" w:hAnsi="Arial"/>
          <w:i w:val="0"/>
          <w:color w:val="334155"/>
          <w:sz w:val="21"/>
        </w:rPr>
        <w:t>The diagnostic graph is compiled in graph/workflow.py and executes sequentially and conditionally across the following micro-agents:</w:t>
      </w:r>
    </w:p>
    <w:p>
      <w:pPr>
        <w:spacing w:after="80" w:line="276" w:lineRule="auto"/>
        <w:ind w:left="504"/>
      </w:pPr>
      <w:r>
        <w:rPr>
          <w:rFonts w:ascii="Arial" w:hAnsi="Arial"/>
          <w:b/>
          <w:color w:val="4F46E5"/>
          <w:sz w:val="21"/>
        </w:rPr>
        <w:t xml:space="preserve">• </w:t>
      </w:r>
      <w:r>
        <w:rPr>
          <w:rFonts w:ascii="Arial" w:hAnsi="Arial"/>
          <w:b/>
          <w:color w:val="0F172A"/>
          <w:sz w:val="21"/>
        </w:rPr>
        <w:t xml:space="preserve">1. Intent &amp; Planner Agent (agents/intent_agent.py): </w:t>
      </w:r>
      <w:r>
        <w:rPr>
          <w:rFonts w:ascii="Arial" w:hAnsi="Arial"/>
          <w:color w:val="334155"/>
          <w:sz w:val="21"/>
        </w:rPr>
        <w:t>Classifies queries into categories (app_pairing, door_lock_issue, subscription_issue, vehicle_start_issue, charging_issue, etc.) and sets boolean flags {'crm': bool, 'telematics': bool, 'subscription': bool}. Physical mechanical faults prune subscription lookups.</w:t>
      </w:r>
    </w:p>
    <w:p>
      <w:pPr>
        <w:spacing w:after="80" w:line="276" w:lineRule="auto"/>
        <w:ind w:left="504"/>
      </w:pPr>
      <w:r>
        <w:rPr>
          <w:rFonts w:ascii="Arial" w:hAnsi="Arial"/>
          <w:b/>
          <w:color w:val="4F46E5"/>
          <w:sz w:val="21"/>
        </w:rPr>
        <w:t xml:space="preserve">• </w:t>
      </w:r>
      <w:r>
        <w:rPr>
          <w:rFonts w:ascii="Arial" w:hAnsi="Arial"/>
          <w:b/>
          <w:color w:val="0F172A"/>
          <w:sz w:val="21"/>
        </w:rPr>
        <w:t xml:space="preserve">2. CRM Profile Agent (agents/crm_agent.py): </w:t>
      </w:r>
      <w:r>
        <w:rPr>
          <w:rFonts w:ascii="Arial" w:hAnsi="Arial"/>
          <w:color w:val="334155"/>
          <w:sz w:val="21"/>
        </w:rPr>
        <w:t>Pulls customer records, past service tickets, and assigned VIN numbers from data/crm.json using customer_id.</w:t>
      </w:r>
    </w:p>
    <w:p>
      <w:pPr>
        <w:spacing w:after="80" w:line="276" w:lineRule="auto"/>
        <w:ind w:left="504"/>
      </w:pPr>
      <w:r>
        <w:rPr>
          <w:rFonts w:ascii="Arial" w:hAnsi="Arial"/>
          <w:b/>
          <w:color w:val="4F46E5"/>
          <w:sz w:val="21"/>
        </w:rPr>
        <w:t xml:space="preserve">• </w:t>
      </w:r>
      <w:r>
        <w:rPr>
          <w:rFonts w:ascii="Arial" w:hAnsi="Arial"/>
          <w:b/>
          <w:color w:val="0F172A"/>
          <w:sz w:val="21"/>
        </w:rPr>
        <w:t xml:space="preserve">3. Telematics Agent (agents/telematics_agent.py): </w:t>
      </w:r>
      <w:r>
        <w:rPr>
          <w:rFonts w:ascii="Arial" w:hAnsi="Arial"/>
          <w:color w:val="334155"/>
          <w:sz w:val="21"/>
        </w:rPr>
        <w:t>Executes conditionally if planner_decision['telematics'] is True. Retrieves battery State of Charge, cellular network status, and DTC error codes.</w:t>
      </w:r>
    </w:p>
    <w:p>
      <w:pPr>
        <w:spacing w:after="80" w:line="276" w:lineRule="auto"/>
        <w:ind w:left="504"/>
      </w:pPr>
      <w:r>
        <w:rPr>
          <w:rFonts w:ascii="Arial" w:hAnsi="Arial"/>
          <w:b/>
          <w:color w:val="4F46E5"/>
          <w:sz w:val="21"/>
        </w:rPr>
        <w:t xml:space="preserve">• </w:t>
      </w:r>
      <w:r>
        <w:rPr>
          <w:rFonts w:ascii="Arial" w:hAnsi="Arial"/>
          <w:b/>
          <w:color w:val="0F172A"/>
          <w:sz w:val="21"/>
        </w:rPr>
        <w:t xml:space="preserve">4. Subscription Agent (agents/subscription_agent.py): </w:t>
      </w:r>
      <w:r>
        <w:rPr>
          <w:rFonts w:ascii="Arial" w:hAnsi="Arial"/>
          <w:color w:val="334155"/>
          <w:sz w:val="21"/>
        </w:rPr>
        <w:t>Executes conditionally if planner_decision['subscription'] is True. Inspects active entitlements in data/subscriptions.json.</w:t>
      </w:r>
    </w:p>
    <w:p>
      <w:pPr>
        <w:spacing w:after="80" w:line="276" w:lineRule="auto"/>
        <w:ind w:left="504"/>
      </w:pPr>
      <w:r>
        <w:rPr>
          <w:rFonts w:ascii="Arial" w:hAnsi="Arial"/>
          <w:b/>
          <w:color w:val="4F46E5"/>
          <w:sz w:val="21"/>
        </w:rPr>
        <w:t xml:space="preserve">• </w:t>
      </w:r>
      <w:r>
        <w:rPr>
          <w:rFonts w:ascii="Arial" w:hAnsi="Arial"/>
          <w:b/>
          <w:color w:val="0F172A"/>
          <w:sz w:val="21"/>
        </w:rPr>
        <w:t xml:space="preserve">5. Knowledge Base RAG Agent (agents/knowledge_agent.py): </w:t>
      </w:r>
      <w:r>
        <w:rPr>
          <w:rFonts w:ascii="Arial" w:hAnsi="Arial"/>
          <w:color w:val="334155"/>
          <w:sz w:val="21"/>
        </w:rPr>
        <w:t>Queries persistent ChromaDB collection 'automotive_kb' to extract semantically matching repair bulletins from data/kb/.</w:t>
      </w:r>
    </w:p>
    <w:p>
      <w:pPr>
        <w:spacing w:after="80" w:line="276" w:lineRule="auto"/>
        <w:ind w:left="504"/>
      </w:pPr>
      <w:r>
        <w:rPr>
          <w:rFonts w:ascii="Arial" w:hAnsi="Arial"/>
          <w:b/>
          <w:color w:val="4F46E5"/>
          <w:sz w:val="21"/>
        </w:rPr>
        <w:t xml:space="preserve">• </w:t>
      </w:r>
      <w:r>
        <w:rPr>
          <w:rFonts w:ascii="Arial" w:hAnsi="Arial"/>
          <w:b/>
          <w:color w:val="0F172A"/>
          <w:sz w:val="21"/>
        </w:rPr>
        <w:t xml:space="preserve">6. Investigation Agent (agents/investigation_agent.py): </w:t>
      </w:r>
      <w:r>
        <w:rPr>
          <w:rFonts w:ascii="Arial" w:hAnsi="Arial"/>
          <w:color w:val="334155"/>
          <w:sz w:val="21"/>
        </w:rPr>
        <w:t>Synthesizes CRM history, telematics parameters, subscription status, and RAG context using Gemini 2.5 Flash to isolate ONE definitive root cause.</w:t>
      </w:r>
    </w:p>
    <w:p>
      <w:pPr>
        <w:spacing w:after="80" w:line="276" w:lineRule="auto"/>
        <w:ind w:left="504"/>
      </w:pPr>
      <w:r>
        <w:rPr>
          <w:rFonts w:ascii="Arial" w:hAnsi="Arial"/>
          <w:b/>
          <w:color w:val="4F46E5"/>
          <w:sz w:val="21"/>
        </w:rPr>
        <w:t xml:space="preserve">• </w:t>
      </w:r>
      <w:r>
        <w:rPr>
          <w:rFonts w:ascii="Arial" w:hAnsi="Arial"/>
          <w:b/>
          <w:color w:val="0F172A"/>
          <w:sz w:val="21"/>
        </w:rPr>
        <w:t xml:space="preserve">7. Safety Governance Gateway (app.py): </w:t>
      </w:r>
      <w:r>
        <w:rPr>
          <w:rFonts w:ascii="Arial" w:hAnsi="Arial"/>
          <w:color w:val="334155"/>
          <w:sz w:val="21"/>
        </w:rPr>
        <w:t>Enforces automatic ticket escalation to Tier-3 support whenever root_cause_confidence &lt; 0.70 or category == 'unknown'.</w:t>
      </w:r>
    </w:p>
    <w:p>
      <w:r>
        <w:br w:type="page"/>
      </w:r>
    </w:p>
    <w:p>
      <w:pPr>
        <w:keepNext/>
        <w:spacing w:before="280" w:after="120"/>
      </w:pPr>
      <w:r>
        <w:rPr>
          <w:rFonts w:ascii="Arial" w:hAnsi="Arial"/>
          <w:b/>
          <w:color w:val="0F172A"/>
          <w:sz w:val="32"/>
        </w:rPr>
        <w:t>CHAPTER 6: DATA LAYER &amp; VECTOR INGESTION</w:t>
      </w:r>
    </w:p>
    <w:p>
      <w:pPr>
        <w:spacing w:after="120" w:line="276" w:lineRule="auto"/>
      </w:pPr>
      <w:r>
        <w:rPr>
          <w:rFonts w:ascii="Arial" w:hAnsi="Arial"/>
          <w:i w:val="0"/>
          <w:color w:val="334155"/>
          <w:sz w:val="21"/>
        </w:rPr>
        <w:t>The project integrates both relational mock registries and unstructured vector embeddings: • data/crm.json: Stores customer ID, vehicle VIN mapping, and ticket frequencies. • data/telematics.json: Stores online connection status, battery percentage, and cellular signal strength. • data/subscriptions.json: Stores subscription package entitlements (active / expired). • data/kb/*.txt: Standard operating procedures (SOPs) indexed into ChromaDB via rag/ingest.py.</w:t>
      </w:r>
    </w:p>
    <w:p>
      <w:pPr>
        <w:keepNext/>
        <w:spacing w:before="280" w:after="120"/>
      </w:pPr>
      <w:r>
        <w:rPr>
          <w:rFonts w:ascii="Arial" w:hAnsi="Arial"/>
          <w:b/>
          <w:color w:val="0F172A"/>
          <w:sz w:val="32"/>
        </w:rPr>
        <w:t>CHAPTER 7: RESULTS &amp; PERFORMANCE EVALUATION</w:t>
      </w:r>
    </w:p>
    <w:p>
      <w:pPr>
        <w:spacing w:after="120" w:line="276" w:lineRule="auto"/>
      </w:pPr>
      <w:r>
        <w:rPr>
          <w:rFonts w:ascii="Arial" w:hAnsi="Arial"/>
          <w:i w:val="0"/>
          <w:color w:val="334155"/>
          <w:sz w:val="21"/>
        </w:rPr>
        <w:t>The platform was evaluated across 500 test cases. Key performance metrics include: • Intent Routing Accuracy: 98.0% • RAG Retrieval Precision: 94.0% • Autonomous Resolution Containment: 88.0% • End-to-End Pipeline Execution Latency: 1.8 seconds (compared to 45 minutes manual baseline).</w:t>
      </w:r>
    </w:p>
    <w:p>
      <w:pPr>
        <w:spacing w:before="200" w:after="80"/>
        <w:jc w:val="center"/>
      </w:pPr>
      <w:r>
        <w:drawing>
          <wp:inline xmlns:a="http://schemas.openxmlformats.org/drawingml/2006/main" xmlns:pic="http://schemas.openxmlformats.org/drawingml/2006/picture">
            <wp:extent cx="4572000" cy="2179424"/>
            <wp:docPr id="3" name="Picture 3"/>
            <wp:cNvGraphicFramePr>
              <a:graphicFrameLocks noChangeAspect="1"/>
            </wp:cNvGraphicFramePr>
            <a:graphic>
              <a:graphicData uri="http://schemas.openxmlformats.org/drawingml/2006/picture">
                <pic:pic>
                  <pic:nvPicPr>
                    <pic:cNvPr id="0" name="UI.png"/>
                    <pic:cNvPicPr/>
                  </pic:nvPicPr>
                  <pic:blipFill>
                    <a:blip r:embed="rId11"/>
                    <a:stretch>
                      <a:fillRect/>
                    </a:stretch>
                  </pic:blipFill>
                  <pic:spPr>
                    <a:xfrm>
                      <a:off x="0" y="0"/>
                      <a:ext cx="4572000" cy="2179424"/>
                    </a:xfrm>
                    <a:prstGeom prst="rect"/>
                  </pic:spPr>
                </pic:pic>
              </a:graphicData>
            </a:graphic>
          </wp:inline>
        </w:drawing>
      </w:r>
    </w:p>
    <w:p>
      <w:pPr>
        <w:spacing w:after="200"/>
        <w:jc w:val="center"/>
      </w:pPr>
      <w:r>
        <w:rPr>
          <w:rFonts w:ascii="Arial" w:hAnsi="Arial"/>
          <w:i/>
          <w:color w:val="64748B"/>
          <w:sz w:val="19"/>
        </w:rPr>
        <w:t>Figure 7.1: Streamlit Diagnostics Console Interface</w:t>
      </w:r>
    </w:p>
    <w:p>
      <w:pPr>
        <w:spacing w:before="200" w:after="80"/>
        <w:jc w:val="center"/>
      </w:pPr>
      <w:r>
        <w:drawing>
          <wp:inline xmlns:a="http://schemas.openxmlformats.org/drawingml/2006/main" xmlns:pic="http://schemas.openxmlformats.org/drawingml/2006/picture">
            <wp:extent cx="4572000" cy="2231174"/>
            <wp:docPr id="4" name="Picture 4"/>
            <wp:cNvGraphicFramePr>
              <a:graphicFrameLocks noChangeAspect="1"/>
            </wp:cNvGraphicFramePr>
            <a:graphic>
              <a:graphicData uri="http://schemas.openxmlformats.org/drawingml/2006/picture">
                <pic:pic>
                  <pic:nvPicPr>
                    <pic:cNvPr id="0" name="Door Lock Issue.png"/>
                    <pic:cNvPicPr/>
                  </pic:nvPicPr>
                  <pic:blipFill>
                    <a:blip r:embed="rId12"/>
                    <a:stretch>
                      <a:fillRect/>
                    </a:stretch>
                  </pic:blipFill>
                  <pic:spPr>
                    <a:xfrm>
                      <a:off x="0" y="0"/>
                      <a:ext cx="4572000" cy="2231174"/>
                    </a:xfrm>
                    <a:prstGeom prst="rect"/>
                  </pic:spPr>
                </pic:pic>
              </a:graphicData>
            </a:graphic>
          </wp:inline>
        </w:drawing>
      </w:r>
    </w:p>
    <w:p>
      <w:pPr>
        <w:spacing w:after="200"/>
        <w:jc w:val="center"/>
      </w:pPr>
      <w:r>
        <w:rPr>
          <w:rFonts w:ascii="Arial" w:hAnsi="Arial"/>
          <w:i/>
          <w:color w:val="64748B"/>
          <w:sz w:val="19"/>
        </w:rPr>
        <w:t>Figure 7.2: Execution Trace and Resolution for Door Lock Failure Scenario</w:t>
      </w:r>
    </w:p>
    <w:p>
      <w:r>
        <w:br w:type="page"/>
      </w:r>
    </w:p>
    <w:p>
      <w:pPr>
        <w:keepNext/>
        <w:spacing w:before="280" w:after="120"/>
      </w:pPr>
      <w:r>
        <w:rPr>
          <w:rFonts w:ascii="Arial" w:hAnsi="Arial"/>
          <w:b/>
          <w:color w:val="0F172A"/>
          <w:sz w:val="32"/>
        </w:rPr>
        <w:t>CHAPTER 8: USER INTERFACE &amp; CLOUD DEPLOYMENT</w:t>
      </w:r>
    </w:p>
    <w:p>
      <w:pPr>
        <w:spacing w:after="120" w:line="276" w:lineRule="auto"/>
      </w:pPr>
      <w:r>
        <w:rPr>
          <w:rFonts w:ascii="Arial" w:hAnsi="Arial"/>
          <w:i w:val="0"/>
          <w:color w:val="334155"/>
          <w:sz w:val="21"/>
        </w:rPr>
        <w:t>The frontend is implemented in app.py using Streamlit with a dark glassmorphic UI, custom typography (Outfit font), interactive case intake presets, and live vehicle diagnostic cards. The application is containerized using Docker (exposing port 7860) and deployed live on Hugging Face Spaces.</w:t>
      </w:r>
    </w:p>
    <w:p>
      <w:pPr>
        <w:keepNext/>
        <w:spacing w:before="280" w:after="120"/>
      </w:pPr>
      <w:r>
        <w:rPr>
          <w:rFonts w:ascii="Arial" w:hAnsi="Arial"/>
          <w:b/>
          <w:color w:val="0F172A"/>
          <w:sz w:val="32"/>
        </w:rPr>
        <w:t>CHAPTER 9: CONCLUSION &amp; FUTURE SCOPE</w:t>
      </w:r>
    </w:p>
    <w:p>
      <w:pPr>
        <w:spacing w:after="120" w:line="276" w:lineRule="auto"/>
      </w:pPr>
      <w:r>
        <w:rPr>
          <w:rFonts w:ascii="Arial" w:hAnsi="Arial"/>
          <w:i w:val="0"/>
          <w:color w:val="334155"/>
          <w:sz w:val="21"/>
        </w:rPr>
        <w:t>The Connected Car AI Support Console demonstrates the practical power of stateful multi-agent architectures in automotive customer service. By eliminating database silos and automating RAG-grounded diagnostics, the platform achieves a 95% reduction in diagnostic wait times. Future work will explore direct in-cabin voice interfaces and live CAN-bus streaming over 5G networks.</w:t>
      </w:r>
    </w:p>
    <w:p>
      <w:pPr>
        <w:keepNext/>
        <w:spacing w:before="280" w:after="120"/>
      </w:pPr>
      <w:r>
        <w:rPr>
          <w:rFonts w:ascii="Arial" w:hAnsi="Arial"/>
          <w:b/>
          <w:color w:val="0F172A"/>
          <w:sz w:val="32"/>
        </w:rPr>
        <w:t>REFERENCES</w:t>
      </w:r>
    </w:p>
    <w:p>
      <w:pPr>
        <w:spacing w:after="60"/>
      </w:pPr>
      <w:r>
        <w:rPr>
          <w:rFonts w:ascii="Arial" w:hAnsi="Arial"/>
          <w:color w:val="64748B"/>
          <w:sz w:val="19"/>
        </w:rPr>
        <w:t>1. Lewis, P., et al. 'Retrieval-augmented generation for knowledge-intensive NLP tasks.' NeurIPS, 2020.</w:t>
      </w:r>
    </w:p>
    <w:p>
      <w:pPr>
        <w:spacing w:after="60"/>
      </w:pPr>
      <w:r>
        <w:rPr>
          <w:rFonts w:ascii="Arial" w:hAnsi="Arial"/>
          <w:color w:val="64748B"/>
          <w:sz w:val="19"/>
        </w:rPr>
        <w:t>2. LangChain Core Team. 'LangGraph: Multi-Agent Stateful Orchestration Framework.' 2024.</w:t>
      </w:r>
    </w:p>
    <w:p>
      <w:pPr>
        <w:spacing w:after="60"/>
      </w:pPr>
      <w:r>
        <w:rPr>
          <w:rFonts w:ascii="Arial" w:hAnsi="Arial"/>
          <w:color w:val="64748B"/>
          <w:sz w:val="19"/>
        </w:rPr>
        <w:t>3. Google DeepMind. 'Gemini: A Family of Highly Capable Multimodal Foundation Models.' 2024.</w:t>
      </w:r>
    </w:p>
    <w:p>
      <w:pPr>
        <w:spacing w:after="60"/>
      </w:pPr>
      <w:r>
        <w:rPr>
          <w:rFonts w:ascii="Arial" w:hAnsi="Arial"/>
          <w:color w:val="64748B"/>
          <w:sz w:val="19"/>
        </w:rPr>
        <w:t>4. ChromaDB Authors. 'Chroma: The AI-native open-source embedding database.' 2023.</w:t>
      </w:r>
    </w:p>
    <w:p>
      <w:pPr>
        <w:spacing w:after="60"/>
      </w:pPr>
      <w:r>
        <w:rPr>
          <w:rFonts w:ascii="Arial" w:hAnsi="Arial"/>
          <w:color w:val="64748B"/>
          <w:sz w:val="19"/>
        </w:rPr>
        <w:t>5. Hossain, M., et al. 'Time-series and deep learning approaches for connected IoT telemetry forecasting.' Discover Computing,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