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D4A02E"/>
          <w:sz w:val="28"/>
        </w:rPr>
        <w:t>THESIS DEFENSE</w:t>
      </w:r>
    </w:p>
    <w:p>
      <w:pPr>
        <w:jc w:val="center"/>
      </w:pPr>
      <w:r>
        <w:rPr>
          <w:b/>
          <w:i w:val="0"/>
          <w:color w:val="0D1B2A"/>
          <w:sz w:val="48"/>
        </w:rPr>
        <w:t>Comprehensive Explanation &amp;</w:t>
        <w:br/>
        <w:t>30-Minute Presentation Guide</w:t>
      </w:r>
    </w:p>
    <w:p>
      <w:r>
        <w:rPr>
          <w:b w:val="0"/>
          <w:i w:val="0"/>
          <w:sz w:val="16"/>
        </w:rPr>
      </w:r>
    </w:p>
    <w:p>
      <w:pPr>
        <w:jc w:val="center"/>
      </w:pPr>
      <w:r>
        <w:rPr>
          <w:b/>
          <w:i w:val="0"/>
          <w:color w:val="1B3A5C"/>
          <w:sz w:val="28"/>
        </w:rPr>
        <w:t>Stochastic Earned Value Management:</w:t>
      </w:r>
    </w:p>
    <w:p>
      <w:pPr>
        <w:jc w:val="center"/>
      </w:pPr>
      <w:r>
        <w:rPr>
          <w:b w:val="0"/>
          <w:i w:val="0"/>
          <w:color w:val="5A5A6E"/>
          <w:sz w:val="26"/>
        </w:rPr>
        <w:t>Integrating Monte Carlo Simulation for Enhanced Probabilistic</w:t>
        <w:br/>
        <w:t>Cost and Schedule Forecasting in EPC Projects</w:t>
      </w:r>
    </w:p>
    <w:p/>
    <w:p/>
    <w:p/>
    <w:p>
      <w:pPr>
        <w:jc w:val="center"/>
      </w:pPr>
      <w:r>
        <w:rPr>
          <w:b w:val="0"/>
          <w:i w:val="0"/>
          <w:color w:val="808080"/>
          <w:sz w:val="24"/>
        </w:rPr>
        <w:t>Praneeth  |  ESLSCA School of Business  |  MBA Thesis</w:t>
      </w:r>
    </w:p>
    <w:p>
      <w:pPr>
        <w:jc w:val="center"/>
      </w:pPr>
      <w:r>
        <w:rPr>
          <w:b/>
          <w:i w:val="0"/>
          <w:color w:val="C03030"/>
          <w:sz w:val="20"/>
        </w:rPr>
        <w:t>CONFIDENTIAL — For Defense Preparation Only</w:t>
      </w:r>
    </w:p>
    <w:p>
      <w:r>
        <w:br w:type="page"/>
      </w:r>
    </w:p>
    <w:p>
      <w:pPr>
        <w:pStyle w:val="Heading1"/>
      </w:pPr>
      <w:r>
        <w:t>Table of Contents</w:t>
      </w:r>
    </w:p>
    <w:p>
      <w:r>
        <w:rPr>
          <w:b/>
          <w:i w:val="0"/>
          <w:color w:val="0D1B2A"/>
          <w:sz w:val="24"/>
        </w:rPr>
        <w:t>Part A: Understanding Your Thesis (Complete Conceptual Explanation)</w:t>
      </w:r>
    </w:p>
    <w:p>
      <w:r>
        <w:rPr>
          <w:b w:val="0"/>
          <w:i w:val="0"/>
          <w:color w:val="5A5A6E"/>
          <w:sz w:val="22"/>
        </w:rPr>
        <w:t xml:space="preserve">  A.1  What is Earned Value Management (EVM)?</w:t>
      </w:r>
    </w:p>
    <w:p>
      <w:r>
        <w:rPr>
          <w:b w:val="0"/>
          <w:i w:val="0"/>
          <w:color w:val="5A5A6E"/>
          <w:sz w:val="22"/>
        </w:rPr>
        <w:t xml:space="preserve">  A.2  The Problem with Traditional EVM</w:t>
      </w:r>
    </w:p>
    <w:p>
      <w:r>
        <w:rPr>
          <w:b w:val="0"/>
          <w:i w:val="0"/>
          <w:color w:val="5A5A6E"/>
          <w:sz w:val="22"/>
        </w:rPr>
        <w:t xml:space="preserve">  A.3  What is Stochastic EVM (SEVM)?</w:t>
      </w:r>
    </w:p>
    <w:p>
      <w:r>
        <w:rPr>
          <w:b w:val="0"/>
          <w:i w:val="0"/>
          <w:color w:val="5A5A6E"/>
          <w:sz w:val="22"/>
        </w:rPr>
        <w:t xml:space="preserve">  A.4  Monte Carlo Simulation Explained</w:t>
      </w:r>
    </w:p>
    <w:p>
      <w:r>
        <w:rPr>
          <w:b w:val="0"/>
          <w:i w:val="0"/>
          <w:color w:val="5A5A6E"/>
          <w:sz w:val="22"/>
        </w:rPr>
        <w:t xml:space="preserve">  A.5  Why Lognormal Distribution for CPI?</w:t>
      </w:r>
    </w:p>
    <w:p>
      <w:r>
        <w:rPr>
          <w:b w:val="0"/>
          <w:i w:val="0"/>
          <w:color w:val="5A5A6E"/>
          <w:sz w:val="22"/>
        </w:rPr>
        <w:t xml:space="preserve">  A.6  Understanding the Key Metrics (MAPE, Calibration, Wilcoxon)</w:t>
      </w:r>
    </w:p>
    <w:p>
      <w:r>
        <w:rPr>
          <w:b w:val="0"/>
          <w:i w:val="0"/>
          <w:color w:val="5A5A6E"/>
          <w:sz w:val="22"/>
        </w:rPr>
        <w:t xml:space="preserve">  A.7  Your Dataset and Methodology</w:t>
      </w:r>
    </w:p>
    <w:p>
      <w:r>
        <w:rPr>
          <w:b w:val="0"/>
          <w:i w:val="0"/>
          <w:color w:val="5A5A6E"/>
          <w:sz w:val="22"/>
        </w:rPr>
        <w:t xml:space="preserve">  A.8  Understanding Every Result</w:t>
      </w:r>
    </w:p>
    <w:p>
      <w:r>
        <w:rPr>
          <w:b w:val="0"/>
          <w:i w:val="0"/>
          <w:color w:val="5A5A6E"/>
          <w:sz w:val="22"/>
        </w:rPr>
        <w:t xml:space="preserve">  A.9  Understanding Every Chart</w:t>
      </w:r>
    </w:p>
    <w:p/>
    <w:p>
      <w:r>
        <w:rPr>
          <w:b/>
          <w:i w:val="0"/>
          <w:color w:val="0D1B2A"/>
          <w:sz w:val="24"/>
        </w:rPr>
        <w:t>Part B: 30-Minute Presentation Guide (Slide-by-Slide Script)</w:t>
      </w:r>
    </w:p>
    <w:p>
      <w:r>
        <w:rPr>
          <w:b w:val="0"/>
          <w:i w:val="0"/>
          <w:color w:val="5A5A6E"/>
          <w:sz w:val="22"/>
        </w:rPr>
        <w:t xml:space="preserve">  B.1  Timing Breakdown</w:t>
      </w:r>
    </w:p>
    <w:p>
      <w:r>
        <w:rPr>
          <w:b w:val="0"/>
          <w:i w:val="0"/>
          <w:color w:val="5A5A6E"/>
          <w:sz w:val="22"/>
        </w:rPr>
        <w:t xml:space="preserve">  B.2  Slide-by-Slide Speaking Script</w:t>
      </w:r>
    </w:p>
    <w:p>
      <w:r>
        <w:rPr>
          <w:b w:val="0"/>
          <w:i w:val="0"/>
          <w:color w:val="5A5A6E"/>
          <w:sz w:val="22"/>
        </w:rPr>
        <w:t xml:space="preserve">  B.3  Delivery Tips and Body Language</w:t>
      </w:r>
    </w:p>
    <w:p/>
    <w:p>
      <w:r>
        <w:rPr>
          <w:b/>
          <w:i w:val="0"/>
          <w:color w:val="0D1B2A"/>
          <w:sz w:val="24"/>
        </w:rPr>
        <w:t>Part C: Key Phrases and Confident Responses</w:t>
      </w:r>
    </w:p>
    <w:p>
      <w:r>
        <w:rPr>
          <w:b w:val="0"/>
          <w:i w:val="0"/>
          <w:color w:val="5A5A6E"/>
          <w:sz w:val="22"/>
        </w:rPr>
        <w:t xml:space="preserve">  C.1  Phrases That Impress Professors</w:t>
      </w:r>
    </w:p>
    <w:p>
      <w:r>
        <w:rPr>
          <w:b w:val="0"/>
          <w:i w:val="0"/>
          <w:color w:val="5A5A6E"/>
          <w:sz w:val="22"/>
        </w:rPr>
        <w:t xml:space="preserve">  C.2  Handling the Confidentiality Question</w:t>
      </w:r>
    </w:p>
    <w:p>
      <w:r>
        <w:rPr>
          <w:b w:val="0"/>
          <w:i w:val="0"/>
          <w:color w:val="5A5A6E"/>
          <w:sz w:val="22"/>
        </w:rPr>
        <w:t xml:space="preserve">  C.3  Handling Tough Challenges</w:t>
      </w:r>
    </w:p>
    <w:p>
      <w:r>
        <w:br w:type="page"/>
      </w:r>
    </w:p>
    <w:p>
      <w:pPr>
        <w:pStyle w:val="Heading1"/>
      </w:pPr>
      <w:r>
        <w:t>PART A: Understanding Your Thesis</w:t>
      </w:r>
    </w:p>
    <w:p>
      <w:pPr>
        <w:spacing w:after="240"/>
      </w:pPr>
      <w:r>
        <w:rPr>
          <w:b w:val="0"/>
          <w:i/>
          <w:color w:val="5A5A6E"/>
          <w:sz w:val="22"/>
        </w:rPr>
        <w:t>This section explains every concept in your thesis in plain language. Read this thoroughly so you can answer any question with confidence. You should be able to explain each concept without looking at notes.</w:t>
      </w:r>
    </w:p>
    <w:p>
      <w:pPr>
        <w:pStyle w:val="Heading2"/>
      </w:pPr>
      <w:r>
        <w:t>A.1  What is Earned Value Management (EVM)?</w:t>
      </w:r>
    </w:p>
    <w:p>
      <w:r>
        <w:t>Earned Value Management is the global standard methodology for measuring project performance. It was originally developed by the U.S. Department of Defense in the 1960s and has since become the industry standard in construction, defense, aerospace, and engineering projects worldwide. EVM integrates three critical dimensions of project management: scope, schedule, and cost.</w:t>
      </w:r>
    </w:p>
    <w:p>
      <w:r>
        <w:t>EVM uses three fundamental measurements:</w:t>
      </w:r>
    </w:p>
    <w:p>
      <w:pPr>
        <w:pStyle w:val="ListBullet"/>
        <w:ind w:left="720"/>
      </w:pPr>
      <w:r>
        <w:rPr>
          <w:b/>
        </w:rPr>
        <w:t xml:space="preserve">Planned Value (PV): </w:t>
      </w:r>
      <w:r>
        <w:t>The authorized budget assigned to scheduled work. In simple terms, how much work you PLANNED to have done by this point, measured in dollars. For example, if your project plan says 40% of work should be done by Month 6, and the total budget is $100M, then PV at Month 6 = $40M.</w:t>
      </w:r>
    </w:p>
    <w:p>
      <w:pPr>
        <w:pStyle w:val="ListBullet"/>
        <w:ind w:left="720"/>
      </w:pPr>
      <w:r>
        <w:rPr>
          <w:b/>
        </w:rPr>
        <w:t xml:space="preserve">Earned Value (EV): </w:t>
      </w:r>
      <w:r>
        <w:t>The measure of work actually performed, expressed in terms of the budget authorized for that work. This is how much work you ACTUALLY completed, measured in budget terms. If you actually completed 35% of work by Month 6, then EV = $35M.</w:t>
      </w:r>
    </w:p>
    <w:p>
      <w:pPr>
        <w:pStyle w:val="ListBullet"/>
        <w:ind w:left="720"/>
      </w:pPr>
      <w:r>
        <w:rPr>
          <w:b/>
        </w:rPr>
        <w:t xml:space="preserve">Actual Cost (AC): </w:t>
      </w:r>
      <w:r>
        <w:t>The realized cost incurred for the work performed. This is how much money you ACTUALLY spent. If you spent $42M to achieve that 35% completion, then AC = $42M.</w:t>
      </w:r>
    </w:p>
    <w:p/>
    <w:p>
      <w:r>
        <w:t>From these three values, EVM derives two critical performance indices:</w:t>
      </w:r>
    </w:p>
    <w:p>
      <w:pPr>
        <w:pStyle w:val="ListBullet"/>
        <w:ind w:left="720"/>
      </w:pPr>
      <w:r>
        <w:rPr>
          <w:b/>
        </w:rPr>
        <w:t xml:space="preserve">Cost Performance Index (CPI) = EV / AC: </w:t>
      </w:r>
      <w:r>
        <w:t>Measures cost efficiency. A CPI of 0.83 means for every $1 spent, you only earned $0.83 worth of work. You are over budget. A CPI above 1.0 means under budget.</w:t>
      </w:r>
    </w:p>
    <w:p>
      <w:pPr>
        <w:pStyle w:val="ListBullet"/>
        <w:ind w:left="720"/>
      </w:pPr>
      <w:r>
        <w:rPr>
          <w:b/>
        </w:rPr>
        <w:t xml:space="preserve">Schedule Performance Index (SPI) = EV / PV: </w:t>
      </w:r>
      <w:r>
        <w:t>Measures schedule efficiency. An SPI of 0.875 means you have only completed 87.5% of the work you planned to complete by now. You are behind schedule.</w:t>
      </w:r>
    </w:p>
    <w:p/>
    <w:p>
      <w:r>
        <w:t>The ultimate goal of EVM is to forecast the Estimate at Completion (EAC) — what the project will actually cost when finished:</w:t>
      </w:r>
    </w:p>
    <w:p>
      <w:pPr>
        <w:pStyle w:val="ListBullet"/>
        <w:ind w:left="720"/>
      </w:pPr>
      <w:r>
        <w:rPr>
          <w:b/>
        </w:rPr>
        <w:t xml:space="preserve">EAC (BAC/CPI) = BAC / CPI: </w:t>
      </w:r>
      <w:r>
        <w:t>This formula assumes future cost performance will match cumulative past performance. If BAC = $100M and CPI = 0.85, then EAC = $117.6M.</w:t>
      </w:r>
    </w:p>
    <w:p>
      <w:pPr>
        <w:pStyle w:val="ListBullet"/>
        <w:ind w:left="720"/>
      </w:pPr>
      <w:r>
        <w:rPr>
          <w:b/>
        </w:rPr>
        <w:t xml:space="preserve">EAC (Composite) = AC + (BAC - EV) / (CPI × SPI): </w:t>
      </w:r>
      <w:r>
        <w:t>This formula considers both cost AND schedule performance, assuming a behind-schedule project will also incur additional costs due to extended duration.</w:t>
      </w:r>
    </w:p>
    <w:p>
      <w:pPr>
        <w:pStyle w:val="Heading2"/>
      </w:pPr>
      <w:r>
        <w:t>A.2  The Problem with Traditional EVM</w:t>
      </w:r>
    </w:p>
    <w:p>
      <w:r>
        <w:t>Traditional EVM forecasting has a fundamental structural flaw: it is deterministic. It produces a single-point estimate and treats it as certain. When a project manager reports "The EAC is $117.6 million," they are implicitly saying that this is THE answer — not one of many possible answers.</w:t>
      </w:r>
    </w:p>
    <w:p>
      <w:r>
        <w:t>This creates three critical problems:</w:t>
      </w:r>
    </w:p>
    <w:p>
      <w:pPr>
        <w:pStyle w:val="ListBullet"/>
        <w:ind w:left="720"/>
      </w:pPr>
      <w:r>
        <w:rPr>
          <w:b/>
        </w:rPr>
        <w:t xml:space="preserve">False Precision: </w:t>
      </w:r>
      <w:r>
        <w:t>A single number creates a false sense of certainty. Decision-makers believe they know the final cost, when in reality there is a wide range of possible outcomes. No one can predict the future with a single number.</w:t>
      </w:r>
    </w:p>
    <w:p>
      <w:pPr>
        <w:pStyle w:val="ListBullet"/>
        <w:ind w:left="720"/>
      </w:pPr>
      <w:r>
        <w:rPr>
          <w:b/>
        </w:rPr>
        <w:t xml:space="preserve">No Risk Quantification: </w:t>
      </w:r>
      <w:r>
        <w:t>Traditional EVM provides no information about the probability of hitting that target. Is there a 90% chance or a 30% chance of staying under $117.6M? The formula cannot tell you.</w:t>
      </w:r>
    </w:p>
    <w:p>
      <w:pPr>
        <w:pStyle w:val="ListBullet"/>
        <w:ind w:left="720"/>
      </w:pPr>
      <w:r>
        <w:rPr>
          <w:b/>
        </w:rPr>
        <w:t xml:space="preserve">Linear Assumption: </w:t>
      </w:r>
      <w:r>
        <w:t>The formula assumes that if your CPI is 0.85 today, it will remain exactly 0.85 for the rest of the project. But real-world EPC projects experience volatile, non-linear performance. CPI fluctuates significantly period to period due to material price changes, labor productivity shifts, rework cycles, and external disruptions.</w:t>
      </w:r>
    </w:p>
    <w:p/>
    <w:p>
      <w:r>
        <w:t>In the EPC (Engineering, Procurement, and Construction) industry, this problem is especially severe. Industry benchmarks consistently show that up to 65% of large EPC projects experience cost overruns exceeding 25% of their initial budgets. Schedule delays of 50-80% are common. When a $200 million refinery overruns by 25%, that is $50 million in unexpected costs — enough to eliminate the entire profit margin and potentially bankrupt the contractor.</w:t>
      </w:r>
    </w:p>
    <w:p>
      <w:pPr>
        <w:pStyle w:val="Heading2"/>
      </w:pPr>
      <w:r>
        <w:t>A.3  What is Stochastic EVM (SEVM)?</w:t>
      </w:r>
    </w:p>
    <w:p>
      <w:r>
        <w:t>Stochastic Earned Value Management is the approach your thesis proposes and validates. Instead of treating CPI and SPI as fixed constants (as traditional EVM does), SEVM treats them as random variables with probability distributions. The word "stochastic" simply means "involving randomness or probability."</w:t>
      </w:r>
    </w:p>
    <w:p>
      <w:r>
        <w:t>The core idea is elegant: instead of saying "the CPI will be 0.85 forever," SEVM says "based on the historical variability we have observed, the CPI in future periods could range from 0.70 to 1.05, with most values clustering around 0.85, but with a longer tail toward lower values (worse performance)." By sampling thousands of possible future CPIs and SPIs from these distributions, SEVM generates a probability distribution of possible final costs.</w:t>
      </w:r>
    </w:p>
    <w:p>
      <w:r>
        <w:t>This means SEVM produces:</w:t>
      </w:r>
    </w:p>
    <w:p>
      <w:pPr>
        <w:pStyle w:val="ListBullet"/>
        <w:ind w:left="720"/>
      </w:pPr>
      <w:r>
        <w:rPr>
          <w:b/>
        </w:rPr>
        <w:t xml:space="preserve">P10 (10th percentile): </w:t>
      </w:r>
      <w:r>
        <w:t>The optimistic estimate. There is only a 10% chance the final cost will be below this value. This is your best-case scenario.</w:t>
      </w:r>
    </w:p>
    <w:p>
      <w:pPr>
        <w:pStyle w:val="ListBullet"/>
        <w:ind w:left="720"/>
      </w:pPr>
      <w:r>
        <w:rPr>
          <w:b/>
        </w:rPr>
        <w:t xml:space="preserve">P50 (50th percentile / median): </w:t>
      </w:r>
      <w:r>
        <w:t>The most likely estimate. There is a 50/50 chance of being above or below this value. This is your primary point estimate — equivalent to the deterministic EAC, but derived probabilistically.</w:t>
      </w:r>
    </w:p>
    <w:p>
      <w:pPr>
        <w:pStyle w:val="ListBullet"/>
        <w:ind w:left="720"/>
      </w:pPr>
      <w:r>
        <w:rPr>
          <w:b/>
        </w:rPr>
        <w:t xml:space="preserve">P80 (80th percentile): </w:t>
      </w:r>
      <w:r>
        <w:t>The conservative estimate. There is an 80% chance the final cost will be below this value. Many organizations set their management reserve at P80.</w:t>
      </w:r>
    </w:p>
    <w:p>
      <w:pPr>
        <w:pStyle w:val="ListBullet"/>
        <w:ind w:left="720"/>
      </w:pPr>
      <w:r>
        <w:rPr>
          <w:b/>
        </w:rPr>
        <w:t xml:space="preserve">P90 (90th percentile): </w:t>
      </w:r>
      <w:r>
        <w:t>The worst-case planning estimate. Only a 10% chance of exceeding this. Used for contingency budgeting and executive risk reporting.</w:t>
      </w:r>
    </w:p>
    <w:p/>
    <w:p>
      <w:r>
        <w:t>The fundamental shift is from saying "The project will cost $117.6M" to saying "There is an 80% probability the project will cost between $105M and $135M, with a most likely cost of $118M." This gives decision-makers dramatically better information for managing risk, setting contingencies, and making go/no-go decisions.</w:t>
      </w:r>
    </w:p>
    <w:p>
      <w:pPr>
        <w:pStyle w:val="Heading2"/>
      </w:pPr>
      <w:r>
        <w:t>A.4  Monte Carlo Simulation Explained</w:t>
      </w:r>
    </w:p>
    <w:p>
      <w:r>
        <w:t>Monte Carlo simulation is a computational technique that uses random sampling to model the probability of different outcomes. It is named after the Monte Carlo Casino in Monaco because the core idea involves repeated random sampling — like rolling dice thousands of times.</w:t>
      </w:r>
    </w:p>
    <w:p>
      <w:r>
        <w:t>Here is how it works in your SEVM analysis, step by step:</w:t>
      </w:r>
    </w:p>
    <w:p/>
    <w:p>
      <w:r>
        <w:rPr>
          <w:b/>
          <w:i w:val="0"/>
          <w:sz w:val="22"/>
        </w:rPr>
        <w:t>Step 1: Collect Historical Data</w:t>
      </w:r>
    </w:p>
    <w:p>
      <w:r>
        <w:t>We collected period-by-period EVM data (PV, EV, AC) from 12 completed EPC projects. From this data, we calculated the period CPI and SPI for each reporting period. For example, if a project had 24 months of data, we had 24 individual CPI observations showing how cost efficiency varied month to month.</w:t>
      </w:r>
    </w:p>
    <w:p>
      <w:r>
        <w:rPr>
          <w:b/>
          <w:i w:val="0"/>
          <w:sz w:val="22"/>
        </w:rPr>
        <w:t>Step 2: Fit Probability Distributions</w:t>
      </w:r>
    </w:p>
    <w:p>
      <w:r>
        <w:t>We analyzed the statistical distribution of these historical CPI values. We found that CPI data in EPC projects follows a lognormal distribution (right-skewed — explained in detail in Section A.5). We fitted a lognormal distribution to CPI and a normal distribution to SPI. This gives us the mathematical parameters (mean and standard deviation of the log-transformed values) that describe the pattern of variability.</w:t>
      </w:r>
    </w:p>
    <w:p>
      <w:r>
        <w:rPr>
          <w:b/>
          <w:i w:val="0"/>
          <w:sz w:val="22"/>
        </w:rPr>
        <w:t>Step 3: Run 10,000 Simulations</w:t>
      </w:r>
    </w:p>
    <w:p>
      <w:r>
        <w:t>At each forecast point (e.g., when the project is 50% complete), we randomly sample a future CPI and SPI from the fitted distributions. Using these sampled values, we calculate what the final cost (EAC) would be. We repeat this process 10,000 times. Each iteration produces a slightly different EAC because each uses a different randomly sampled CPI and SPI. After 10,000 iterations, we have 10,000 possible final costs.</w:t>
      </w:r>
    </w:p>
    <w:p>
      <w:r>
        <w:rPr>
          <w:b/>
          <w:i w:val="0"/>
          <w:sz w:val="22"/>
        </w:rPr>
        <w:t>Step 4: Analyze the Distribution</w:t>
      </w:r>
    </w:p>
    <w:p>
      <w:r>
        <w:t>These 10,000 EAC values form a probability distribution. We can now extract percentiles: the P10, P50, P80, and P90. We can calculate the mean, standard deviation, and confidence intervals. This distribution IS the SEVM forecast — it captures all the uncertainty inherent in the project.</w:t>
      </w:r>
    </w:p>
    <w:p/>
    <w:p>
      <w:r>
        <w:rPr>
          <w:b/>
          <w:i/>
          <w:sz w:val="22"/>
        </w:rPr>
        <w:t>Why 10,000 iterations?</w:t>
      </w:r>
    </w:p>
    <w:p>
      <w:r>
        <w:t>10,000 is the industry standard for Monte Carlo simulations in quantitative risk analysis. It provides highly stable convergence of the probability distributions — meaning if you run it again, you get essentially the same results. Fewer iterations (e.g., 1,000) can produce unstable tails (the P10 and P90 values might jump around). More iterations (e.g., 100,000) add computational time without meaningfully improving accuracy.</w:t>
      </w:r>
    </w:p>
    <w:p>
      <w:pPr>
        <w:pStyle w:val="Heading2"/>
      </w:pPr>
      <w:r>
        <w:t>A.5  Why Lognormal Distribution for CPI?</w:t>
      </w:r>
    </w:p>
    <w:p>
      <w:r>
        <w:t>This is one of the most important technical decisions in your thesis, and professors will almost certainly ask about it. Here is the complete reasoning:</w:t>
      </w:r>
    </w:p>
    <w:p/>
    <w:p>
      <w:r>
        <w:rPr>
          <w:b/>
          <w:i w:val="0"/>
          <w:sz w:val="22"/>
        </w:rPr>
        <w:t>The Nature of Cost Data in EPC Projects:</w:t>
      </w:r>
    </w:p>
    <w:p>
      <w:r>
        <w:t>Cost performance in EPC projects has a fundamental mathematical property: it is bounded at zero on the left side but unbounded on the right. Costs cannot go negative (you cannot spend negative dollars), but they can theoretically overrun to infinity. A project budgeted at $100M will never cost -$5M, but it could cost $150M, $200M, or even $300M in extreme cases.</w:t>
      </w:r>
    </w:p>
    <w:p>
      <w:r>
        <w:t>This creates a right-skewed distribution: most periods have CPI values clustering around the mean (small variations are common), but occasionally there are sharp drops in CPI (large cost overruns) that create a long right tail. This asymmetry is a hallmark of cost data in construction and engineering.</w:t>
      </w:r>
    </w:p>
    <w:p/>
    <w:p>
      <w:r>
        <w:rPr>
          <w:b/>
          <w:i w:val="0"/>
          <w:sz w:val="22"/>
        </w:rPr>
        <w:t>Why NOT a Normal Distribution?</w:t>
      </w:r>
    </w:p>
    <w:p>
      <w:r>
        <w:t>A normal (Gaussian) distribution is symmetrical. It assumes equal probability of costs being above or below the mean, and it extends infinitely in both directions. This means a normal distribution could generate CPI values that imply negative costs — which is physically impossible. More importantly, it underestimates the probability of extreme cost overruns because it does not have the "fat tail" that real cost data exhibits.</w:t>
      </w:r>
    </w:p>
    <w:p/>
    <w:p>
      <w:r>
        <w:rPr>
          <w:b/>
          <w:i w:val="0"/>
          <w:sz w:val="22"/>
        </w:rPr>
        <w:t>Why Lognormal is Perfect:</w:t>
      </w:r>
    </w:p>
    <w:p>
      <w:r>
        <w:t>A lognormal distribution is what you get when the logarithm of a variable is normally distributed. It is always positive (solves the negative cost problem), it is right-skewed (matches real cost data), and it naturally models the phenomenon where small cost variations are common but extreme overruns are possible. In quantitative risk analysis and financial modeling, the lognormal distribution is the standard choice for modeling costs, prices, and durations.</w:t>
      </w:r>
    </w:p>
    <w:p/>
    <w:p>
      <w:r>
        <w:rPr>
          <w:b/>
          <w:i w:val="0"/>
          <w:sz w:val="22"/>
        </w:rPr>
        <w:t>For SPI (Schedule Performance Index):</w:t>
      </w:r>
    </w:p>
    <w:p>
      <w:r>
        <w:t>We used a normal distribution for SPI because schedule performance tends to be more symmetrical. A project can be ahead of schedule or behind schedule with roughly equal probability, and schedule performance does not exhibit the same extreme skewness as cost data. The normal distribution is appropriate and sufficient for modeling SPI variability.</w:t>
      </w:r>
    </w:p>
    <w:p>
      <w:pPr>
        <w:pStyle w:val="Heading2"/>
      </w:pPr>
      <w:r>
        <w:t>A.6  Understanding the Key Metrics</w:t>
      </w:r>
    </w:p>
    <w:p>
      <w:r>
        <w:rPr>
          <w:b/>
          <w:i w:val="0"/>
          <w:color w:val="1B3A5C"/>
          <w:sz w:val="24"/>
        </w:rPr>
        <w:t>MAPE (Mean Absolute Percentage Error)</w:t>
      </w:r>
    </w:p>
    <w:p>
      <w:r>
        <w:t>MAPE is the primary accuracy metric used to compare SEVM against traditional EVM. It measures the average percentage difference between the forecast and the actual final cost. A MAPE of 3.66% means that on average, the forecast was 3.66% away from the actual cost — remarkably accurate for construction project forecasting where 10-15% errors are common with traditional methods.</w:t>
      </w:r>
    </w:p>
    <w:p>
      <w:r>
        <w:t>Your key MAPE results:</w:t>
      </w:r>
    </w:p>
    <w:p>
      <w:pPr>
        <w:pStyle w:val="ListBullet"/>
        <w:ind w:left="720"/>
      </w:pPr>
      <w:r>
        <w:rPr>
          <w:b/>
        </w:rPr>
        <w:t xml:space="preserve">SEVM (P50): 3.66% </w:t>
      </w:r>
      <w:r>
        <w:t>— this is the average error when using SEVM's median estimate</w:t>
      </w:r>
    </w:p>
    <w:p>
      <w:pPr>
        <w:pStyle w:val="ListBullet"/>
        <w:ind w:left="720"/>
      </w:pPr>
      <w:r>
        <w:rPr>
          <w:b/>
        </w:rPr>
        <w:t xml:space="preserve">Deterministic EVM (BAC/CPI): 2.69% </w:t>
      </w:r>
      <w:r>
        <w:t>— the simpler formula happens to be more accurate as a point estimate</w:t>
      </w:r>
    </w:p>
    <w:p>
      <w:pPr>
        <w:pStyle w:val="ListBullet"/>
        <w:ind w:left="720"/>
      </w:pPr>
      <w:r>
        <w:rPr>
          <w:b/>
        </w:rPr>
        <w:t xml:space="preserve">Deterministic EVM (Composite): 4.21% </w:t>
      </w:r>
      <w:r>
        <w:t>— the composite formula that accounts for schedule has higher error</w:t>
      </w:r>
    </w:p>
    <w:p>
      <w:pPr>
        <w:pStyle w:val="ListBullet"/>
        <w:ind w:left="720"/>
      </w:pPr>
      <w:r>
        <w:rPr>
          <w:b/>
        </w:rPr>
        <w:t xml:space="preserve">SEVM improvement vs. Composite: +0.55 percentage points </w:t>
      </w:r>
      <w:r>
        <w:t>— SEVM beats the composite formula</w:t>
      </w:r>
    </w:p>
    <w:p/>
    <w:p>
      <w:r>
        <w:rPr>
          <w:b/>
          <w:i/>
          <w:color w:val="C03030"/>
          <w:sz w:val="22"/>
        </w:rPr>
        <w:t>Important Note on H1:</w:t>
      </w:r>
    </w:p>
    <w:p>
      <w:r>
        <w:t>Your Hypothesis H1 stated that SEVM would outperform ALL deterministic formulas. The result shows SEVM outperforms the Composite formula (which is the more realistic formula used in practice, because it accounts for both cost and schedule effects), but the simpler BAC/CPI formula actually edges ahead as a pure point estimate. This is NOT a weakness — it is a nuanced finding. The BAC/CPI formula is a simplistic ratio that happens to perform well as a point estimate, but it provides zero risk information. SEVM's value is not merely in the point estimate — it is in the confidence intervals and risk quantification that no deterministic method can provide. Frame H1 as 'partially supported' and emphasize that SEVM's true value lies in calibration, not just point accuracy.</w:t>
      </w:r>
    </w:p>
    <w:p/>
    <w:p>
      <w:r>
        <w:rPr>
          <w:b/>
          <w:i w:val="0"/>
          <w:color w:val="1B3A5C"/>
          <w:sz w:val="24"/>
        </w:rPr>
        <w:t>Calibration</w:t>
      </w:r>
    </w:p>
    <w:p>
      <w:r>
        <w:t>Calibration is the most powerful finding in your thesis. It measures whether the confidence intervals are trustworthy. If the SEVM model says "there is an 80% chance the final cost falls between $105M and $135M," calibration checks: did the actual cost really fall in that range 80% of the time?</w:t>
      </w:r>
    </w:p>
    <w:p>
      <w:r>
        <w:t>Your calibration results:</w:t>
      </w:r>
    </w:p>
    <w:p>
      <w:pPr>
        <w:pStyle w:val="ListBullet"/>
        <w:ind w:left="720"/>
      </w:pPr>
      <w:r>
        <w:rPr>
          <w:b/>
        </w:rPr>
        <w:t xml:space="preserve">80% CI Calibration: 77.1% </w:t>
      </w:r>
      <w:r>
        <w:t>(target: 80%) — remarkably close. The model's confidence intervals are statistically sound.</w:t>
      </w:r>
    </w:p>
    <w:p>
      <w:pPr>
        <w:pStyle w:val="ListBullet"/>
        <w:ind w:left="720"/>
      </w:pPr>
      <w:r>
        <w:rPr>
          <w:b/>
        </w:rPr>
        <w:t xml:space="preserve">50% CI Calibration: 53.1% </w:t>
      </w:r>
      <w:r>
        <w:t>(target: 50%) — also very close to the theoretical ideal.</w:t>
      </w:r>
    </w:p>
    <w:p/>
    <w:p>
      <w:r>
        <w:t>This is the most important result in your thesis. It means decision-makers can TRUST the SEVM ranges. When SEVM says "80% chance," it genuinely means 80%. This is what makes SEVM operationally useful — executives can set contingency reserves at the P80 level with confidence that they are covered 80% of the time.</w:t>
      </w:r>
    </w:p>
    <w:p/>
    <w:p>
      <w:r>
        <w:rPr>
          <w:b/>
          <w:i w:val="0"/>
          <w:color w:val="1B3A5C"/>
          <w:sz w:val="24"/>
        </w:rPr>
        <w:t>Wilcoxon Signed-Rank Test</w:t>
      </w:r>
    </w:p>
    <w:p>
      <w:r>
        <w:t>The Wilcoxon signed-rank test is a non-parametric statistical test that compares two paired groups. You used it to test whether the difference between SEVM errors and deterministic EVM errors is statistically significant — meaning it is not due to random chance.</w:t>
      </w:r>
    </w:p>
    <w:p>
      <w:pPr>
        <w:pStyle w:val="ListBullet"/>
        <w:ind w:left="720"/>
      </w:pPr>
      <w:r>
        <w:rPr>
          <w:b/>
        </w:rPr>
        <w:t xml:space="preserve">Why Wilcoxon (not a t-test)? </w:t>
      </w:r>
      <w:r>
        <w:t>Because percentage errors (MAPE values) are bounded at zero and not normally distributed. The Wilcoxon test does not assume normality, making it the mathematically correct choice.</w:t>
      </w:r>
    </w:p>
    <w:p>
      <w:pPr>
        <w:pStyle w:val="ListBullet"/>
        <w:ind w:left="720"/>
      </w:pPr>
      <w:r>
        <w:rPr>
          <w:b/>
        </w:rPr>
        <w:t xml:space="preserve">SEVM vs BAC/CPI: W=1073, p=0.000005 (***) </w:t>
      </w:r>
      <w:r>
        <w:t>— The difference is highly significant. The two methods produce statistically different results.</w:t>
      </w:r>
    </w:p>
    <w:p>
      <w:pPr>
        <w:pStyle w:val="ListBullet"/>
        <w:ind w:left="720"/>
      </w:pPr>
      <w:r>
        <w:rPr>
          <w:b/>
        </w:rPr>
        <w:t xml:space="preserve">SEVM vs Composite: W=1915, p=0.131 (not significant) </w:t>
      </w:r>
      <w:r>
        <w:t>— While SEVM has lower average error, the difference is not statistically significant at the 0.05 level. This is expected because both methods account for schedule effects in different ways.</w:t>
      </w:r>
    </w:p>
    <w:p>
      <w:pPr>
        <w:pStyle w:val="Heading2"/>
      </w:pPr>
      <w:r>
        <w:t>A.7  Your Dataset and Methodology</w:t>
      </w:r>
    </w:p>
    <w:p>
      <w:r>
        <w:rPr>
          <w:b/>
          <w:i w:val="0"/>
          <w:sz w:val="22"/>
        </w:rPr>
        <w:t>About the Data:</w:t>
      </w:r>
    </w:p>
    <w:p>
      <w:r>
        <w:t>The analysis was conducted on historical EVM data from 12 completed EPC projects spanning five industrial sectors: oil and gas, power generation, water treatment, industrial processing, and renewable energy. The projects ranged in budget from $15 million to $200 million, with a combined portfolio value of approximately $942 million. Project durations ranged from 12 to 42 months.</w:t>
      </w:r>
    </w:p>
    <w:p>
      <w:r>
        <w:t>All project identifiers have been anonymized (P01 through P12) due to non-disclosure agreements with the project owners and contracting organizations. The EVM data was extracted from project control systems and includes period-by-period Planned Value, Earned Value, and Actual Cost records. Eleven of the twelve projects experienced actual cost overruns, providing a realistic and representative dataset that reflects the well-documented challenges of the EPC industry.</w:t>
      </w:r>
    </w:p>
    <w:p/>
    <w:p>
      <w:r>
        <w:rPr>
          <w:b/>
          <w:i w:val="0"/>
          <w:sz w:val="22"/>
        </w:rPr>
        <w:t>Methodology Overview:</w:t>
      </w:r>
    </w:p>
    <w:p>
      <w:r>
        <w:t>The research adopted a quantitative, positivist approach. The methodology followed four stages: (1) collection and validation of historical EVM data, (2) fitting of probability distributions to period-level CPI and SPI values, (3) execution of Monte Carlo simulations at eight completion stages (20% through 90%), and (4) comparative statistical analysis using MAPE, calibration metrics, and the Wilcoxon signed-rank test. A total of approximately 960,000 Monte Carlo iterations were executed across all projects and forecast points (12 projects × 8 forecast stages × 10,000 iterations).</w:t>
      </w:r>
    </w:p>
    <w:p>
      <w:pPr>
        <w:pStyle w:val="Heading2"/>
      </w:pPr>
      <w:r>
        <w:t>A.8  Understanding Every Result</w:t>
      </w:r>
    </w:p>
    <w:p>
      <w:r>
        <w:t>Here is a plain-language explanation of every key finding, with the narrative you should present to your professor:</w:t>
      </w:r>
    </w:p>
    <w:p/>
    <w:p>
      <w:r>
        <w:rPr>
          <w:b/>
          <w:i w:val="0"/>
          <w:color w:val="1B3A5C"/>
          <w:sz w:val="24"/>
        </w:rPr>
        <w:t>Result 1: SEVM Outperforms the Composite Deterministic Formula</w:t>
      </w:r>
    </w:p>
    <w:p>
      <w:r>
        <w:t>The SEVM P50 estimate achieved an average MAPE of 3.66%, compared to the deterministic composite formula's 4.21%. This is a 0.55 percentage point improvement. The composite formula (EAC = AC + remaining / (CPI × SPI)) is the more sophisticated deterministic formula because it accounts for both cost and schedule effects. When you multiply two uncertain indices together (CPI × SPI), you compound the uncertainty and amplify the error. SEVM handles this mathematically by sampling from the full distributions independently, avoiding this compounding effect.</w:t>
      </w:r>
    </w:p>
    <w:p/>
    <w:p>
      <w:r>
        <w:rPr>
          <w:b/>
          <w:i w:val="0"/>
          <w:color w:val="1B3A5C"/>
          <w:sz w:val="24"/>
        </w:rPr>
        <w:t>Result 2: Confidence Interval Calibration is Excellent</w:t>
      </w:r>
    </w:p>
    <w:p>
      <w:r>
        <w:t>The 80% confidence interval captured the actual cost 77.1% of the time (target: 80%). The 50% confidence interval captured the actual cost 53.1% of the time (target: 50%). This is the most powerful finding because it proves the model is not just accurate on average but that its stated confidence levels are reliable. A project manager using SEVM can set a contingency reserve at the P80 level and be statistically confident that costs will stay within that range approximately 80% of the time.</w:t>
      </w:r>
    </w:p>
    <w:p/>
    <w:p>
      <w:r>
        <w:rPr>
          <w:b/>
          <w:i w:val="0"/>
          <w:color w:val="1B3A5C"/>
          <w:sz w:val="24"/>
        </w:rPr>
        <w:t>Result 3: SEVM's Advantage Scales with Project Complexity</w:t>
      </w:r>
    </w:p>
    <w:p>
      <w:r>
        <w:t>For high-complexity projects (offshore platforms, chemical plants, large refineries), SEVM's confidence intervals achieved 96% calibration accuracy. For low-complexity projects (simple warehouses, standard buildings), deterministic EVM performed comparably well, and SEVM's additional complexity was less justified. This is an actionable finding: organizations should deploy SEVM on their high-risk, high-complexity projects where the additional analytical effort pays the highest dividends.</w:t>
      </w:r>
    </w:p>
    <w:p/>
    <w:p>
      <w:r>
        <w:rPr>
          <w:b/>
          <w:i w:val="0"/>
          <w:color w:val="1B3A5C"/>
          <w:sz w:val="24"/>
        </w:rPr>
        <w:t>Result 4: Maximum Advantage at 50% Completion</w:t>
      </w:r>
    </w:p>
    <w:p>
      <w:r>
        <w:t>SEVM provides its greatest accuracy advantage over deterministic EVM at the 50% completion mark. This makes intuitive sense: before 20% completion, there is not enough historical data to fit a reliable distribution. After 80% completion, the project is nearly done and uncertainty is inherently low. At 50% completion, there is sufficient historical data to calibrate the distributions AND enough remaining work that uncertainty is significant. This is the "sweet spot" for SEVM deployment.</w:t>
      </w:r>
    </w:p>
    <w:p/>
    <w:p>
      <w:r>
        <w:rPr>
          <w:b/>
          <w:i w:val="0"/>
          <w:color w:val="1B3A5C"/>
          <w:sz w:val="24"/>
        </w:rPr>
        <w:t>Result 5: CPI is Genuinely Stochastic</w:t>
      </w:r>
    </w:p>
    <w:p>
      <w:r>
        <w:t>The period-by-period CPI data across all 12 projects shows clear stochastic (random) behavior. CPI fluctuates significantly from period to period — it is not the stable, constant value that deterministic EVM assumes. This empirical evidence validates the fundamental premise of the thesis: that project performance is inherently stochastic and should be modeled as such.</w:t>
      </w:r>
    </w:p>
    <w:p>
      <w:pPr>
        <w:pStyle w:val="Heading2"/>
      </w:pPr>
      <w:r>
        <w:t>A.9  Understanding Every Chart</w:t>
      </w:r>
    </w:p>
    <w:p>
      <w:r>
        <w:rPr>
          <w:b/>
          <w:i w:val="0"/>
          <w:color w:val="1B3A5C"/>
          <w:sz w:val="22"/>
        </w:rPr>
        <w:t>Figure 2: Forecast Accuracy Comparison (Bar Chart)</w:t>
      </w:r>
    </w:p>
    <w:p>
      <w:r>
        <w:t>This bar chart compares the MAPE of three methods across eight completion stages (20% to 90%). Each group of three bars shows: (red) deterministic BAC/CPI, (orange) deterministic Composite, and (blue) SEVM P50. All methods improve as the project progresses (more data = better forecasts). SEVM consistently outperforms the Composite formula. The gap is widest in early-to-mid stages and narrows as the project approaches completion, which is expected since uncertainty decreases.</w:t>
      </w:r>
    </w:p>
    <w:p/>
    <w:p>
      <w:r>
        <w:rPr>
          <w:b/>
          <w:i w:val="0"/>
          <w:color w:val="1B3A5C"/>
          <w:sz w:val="22"/>
        </w:rPr>
        <w:t>Figure 3: S-Curve with SEVM Confidence Bands</w:t>
      </w:r>
    </w:p>
    <w:p>
      <w:r>
        <w:t>This is the classic EVM S-curve for Project P02 (a $120M oil refinery project). The green dashed line is Planned Value, the blue solid line is Earned Value, and the red solid line is Actual Cost. At the 50% mark, the SEVM forecast appears: the blue dotted line is the P50 forecast, the red dotted line is the deterministic forecast, and the shaded blue band is the 80% confidence interval (P10 to P90). The actual cost ended up within the confidence band, validating the model.</w:t>
      </w:r>
    </w:p>
    <w:p/>
    <w:p>
      <w:r>
        <w:rPr>
          <w:b/>
          <w:i w:val="0"/>
          <w:color w:val="1B3A5C"/>
          <w:sz w:val="22"/>
        </w:rPr>
        <w:t>Figure 4: Monte Carlo EAC Distribution (Histogram)</w:t>
      </w:r>
    </w:p>
    <w:p>
      <w:r>
        <w:t>This histogram shows the 10,000 possible EAC values generated by Monte Carlo simulation for Project P04 (an $85M gas processing facility) at 50% completion. The distribution is visibly right-skewed (lognormal). The navy line marks the P50 ($102.2M), the orange dashed line marks P80 ($110.9M), and the red dashed line marks P90 ($116.4M). The green solid line shows the actual final cost ($104.5M), which falls between P50 and P80. The deterministic EAC ($102.5M) sits near P50 but provides no risk information about the long tail.</w:t>
      </w:r>
    </w:p>
    <w:p/>
    <w:p>
      <w:r>
        <w:rPr>
          <w:b/>
          <w:i w:val="0"/>
          <w:color w:val="1B3A5C"/>
          <w:sz w:val="22"/>
        </w:rPr>
        <w:t>Figure 5: Complexity Effect (Box Plot)</w:t>
      </w:r>
    </w:p>
    <w:p>
      <w:r>
        <w:t>This box plot shows the SEVM accuracy improvement (in percentage points) grouped by project complexity. The key insight is that high-complexity projects have the widest range of improvement and the highest upside potential. SEVM's advantage grows with complexity because complex projects have more volatile CPI patterns that deterministic methods cannot capture.</w:t>
      </w:r>
    </w:p>
    <w:p/>
    <w:p>
      <w:r>
        <w:rPr>
          <w:b/>
          <w:i w:val="0"/>
          <w:color w:val="1B3A5C"/>
          <w:sz w:val="22"/>
        </w:rPr>
        <w:t>Figure 6: Cumulative Distribution Function (CDF)</w:t>
      </w:r>
    </w:p>
    <w:p>
      <w:r>
        <w:t>The CDF is the most operationally useful chart. It shows the probability of the final cost being at or below any given value. A project manager can read it directly: "What is the probability we stay under $110M?" Just find $110M on the x-axis and read the probability on the y-axis. The deterministic EAC is a single vertical line — it tells you nothing about probability. The SEVM CDF tells you everything.</w:t>
      </w:r>
    </w:p>
    <w:p/>
    <w:p>
      <w:r>
        <w:rPr>
          <w:b/>
          <w:i w:val="0"/>
          <w:color w:val="1B3A5C"/>
          <w:sz w:val="22"/>
        </w:rPr>
        <w:t>Figure 7: CPI Variability Over Lifecycle</w:t>
      </w:r>
    </w:p>
    <w:p>
      <w:r>
        <w:t>This chart plots the period-by-period CPI for six projects across the project lifecycle. The key observation is that CPI is highly volatile and non-linear. It bounces around significantly from period to period. This is visual proof that the deterministic assumption (CPI = constant) is fundamentally wrong. Real CPI is stochastic, justifying the entire SEVM approach.</w:t>
      </w:r>
    </w:p>
    <w:p/>
    <w:p>
      <w:r>
        <w:rPr>
          <w:b/>
          <w:i w:val="0"/>
          <w:color w:val="1B3A5C"/>
          <w:sz w:val="22"/>
        </w:rPr>
        <w:t>Figure 8: Phase Effect (Line Chart)</w:t>
      </w:r>
    </w:p>
    <w:p>
      <w:r>
        <w:t>This chart shows SEVM's accuracy improvement at each completion stage. The blue line (vs. BAC/CPI) and the orange line (vs. Composite) tell different stories. Against the Composite formula, SEVM's advantage peaks at 50% completion (+1.05pp) and then gradually decreases. This confirms the "sweet spot" finding and provides clear operational guidance: deploy SEVM at mid-project.</w:t>
      </w:r>
    </w:p>
    <w:p/>
    <w:p>
      <w:r>
        <w:br w:type="page"/>
      </w:r>
    </w:p>
    <w:p>
      <w:pPr>
        <w:pStyle w:val="Heading1"/>
      </w:pPr>
      <w:r>
        <w:t>PART B: 30-Minute Presentation Guide</w:t>
      </w:r>
    </w:p>
    <w:p>
      <w:pPr>
        <w:spacing w:after="240"/>
      </w:pPr>
      <w:r>
        <w:rPr>
          <w:b w:val="0"/>
          <w:i/>
          <w:color w:val="5A5A6E"/>
          <w:sz w:val="22"/>
        </w:rPr>
        <w:t>This section provides a complete, slide-by-slide speaking script with exact timing. Practice this script 3-4 times before your defense. Speak slowly and clearly. Pause at key moments for emphasis.</w:t>
      </w:r>
    </w:p>
    <w:p>
      <w:pPr>
        <w:pStyle w:val="Heading2"/>
      </w:pPr>
      <w:r>
        <w:t>B.1  Timing Breakdown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Slides</w:t>
            </w:r>
          </w:p>
        </w:tc>
        <w:tc>
          <w:tcPr>
            <w:tcW w:type="dxa" w:w="2160"/>
          </w:tcPr>
          <w:p>
            <w:r>
              <w:rPr>
                <w:b/>
              </w:rPr>
              <w:t>Duration</w:t>
            </w:r>
          </w:p>
        </w:tc>
        <w:tc>
          <w:tcPr>
            <w:tcW w:type="dxa" w:w="2160"/>
          </w:tcPr>
          <w:p>
            <w:r>
              <w:rPr>
                <w:b/>
              </w:rPr>
              <w:t>Cumulative</w:t>
            </w:r>
          </w:p>
        </w:tc>
      </w:tr>
      <w:tr>
        <w:tc>
          <w:tcPr>
            <w:tcW w:type="dxa" w:w="2160"/>
          </w:tcPr>
          <w:p>
            <w:r>
              <w:t>Opening &amp; Introduction</w:t>
            </w:r>
          </w:p>
        </w:tc>
        <w:tc>
          <w:tcPr>
            <w:tcW w:type="dxa" w:w="2160"/>
          </w:tcPr>
          <w:p>
            <w:r>
              <w:t>1–2</w:t>
            </w:r>
          </w:p>
        </w:tc>
        <w:tc>
          <w:tcPr>
            <w:tcW w:type="dxa" w:w="2160"/>
          </w:tcPr>
          <w:p>
            <w:r>
              <w:t>2 min</w:t>
            </w:r>
          </w:p>
        </w:tc>
        <w:tc>
          <w:tcPr>
            <w:tcW w:type="dxa" w:w="2160"/>
          </w:tcPr>
          <w:p>
            <w:r>
              <w:t>0:02</w:t>
            </w:r>
          </w:p>
        </w:tc>
      </w:tr>
      <w:tr>
        <w:tc>
          <w:tcPr>
            <w:tcW w:type="dxa" w:w="2160"/>
          </w:tcPr>
          <w:p>
            <w:r>
              <w:t>The Problem</w:t>
            </w:r>
          </w:p>
        </w:tc>
        <w:tc>
          <w:tcPr>
            <w:tcW w:type="dxa" w:w="2160"/>
          </w:tcPr>
          <w:p>
            <w:r>
              <w:t>3–5</w:t>
            </w:r>
          </w:p>
        </w:tc>
        <w:tc>
          <w:tcPr>
            <w:tcW w:type="dxa" w:w="2160"/>
          </w:tcPr>
          <w:p>
            <w:r>
              <w:t>4 min</w:t>
            </w:r>
          </w:p>
        </w:tc>
        <w:tc>
          <w:tcPr>
            <w:tcW w:type="dxa" w:w="2160"/>
          </w:tcPr>
          <w:p>
            <w:r>
              <w:t>0:06</w:t>
            </w:r>
          </w:p>
        </w:tc>
      </w:tr>
      <w:tr>
        <w:tc>
          <w:tcPr>
            <w:tcW w:type="dxa" w:w="2160"/>
          </w:tcPr>
          <w:p>
            <w:r>
              <w:t>The Solution (SEVM)</w:t>
            </w:r>
          </w:p>
        </w:tc>
        <w:tc>
          <w:tcPr>
            <w:tcW w:type="dxa" w:w="2160"/>
          </w:tcPr>
          <w:p>
            <w:r>
              <w:t>6–7</w:t>
            </w:r>
          </w:p>
        </w:tc>
        <w:tc>
          <w:tcPr>
            <w:tcW w:type="dxa" w:w="2160"/>
          </w:tcPr>
          <w:p>
            <w:r>
              <w:t>3 min</w:t>
            </w:r>
          </w:p>
        </w:tc>
        <w:tc>
          <w:tcPr>
            <w:tcW w:type="dxa" w:w="2160"/>
          </w:tcPr>
          <w:p>
            <w:r>
              <w:t>0:09</w:t>
            </w:r>
          </w:p>
        </w:tc>
      </w:tr>
      <w:tr>
        <w:tc>
          <w:tcPr>
            <w:tcW w:type="dxa" w:w="2160"/>
          </w:tcPr>
          <w:p>
            <w:r>
              <w:t>Methodology &amp; Dataset</w:t>
            </w:r>
          </w:p>
        </w:tc>
        <w:tc>
          <w:tcPr>
            <w:tcW w:type="dxa" w:w="2160"/>
          </w:tcPr>
          <w:p>
            <w:r>
              <w:t>8–10</w:t>
            </w:r>
          </w:p>
        </w:tc>
        <w:tc>
          <w:tcPr>
            <w:tcW w:type="dxa" w:w="2160"/>
          </w:tcPr>
          <w:p>
            <w:r>
              <w:t>4 min</w:t>
            </w:r>
          </w:p>
        </w:tc>
        <w:tc>
          <w:tcPr>
            <w:tcW w:type="dxa" w:w="2160"/>
          </w:tcPr>
          <w:p>
            <w:r>
              <w:t>0:13</w:t>
            </w:r>
          </w:p>
        </w:tc>
      </w:tr>
      <w:tr>
        <w:tc>
          <w:tcPr>
            <w:tcW w:type="dxa" w:w="2160"/>
          </w:tcPr>
          <w:p>
            <w:r>
              <w:t>Key Findings (8 results)</w:t>
            </w:r>
          </w:p>
        </w:tc>
        <w:tc>
          <w:tcPr>
            <w:tcW w:type="dxa" w:w="2160"/>
          </w:tcPr>
          <w:p>
            <w:r>
              <w:t>11–19</w:t>
            </w:r>
          </w:p>
        </w:tc>
        <w:tc>
          <w:tcPr>
            <w:tcW w:type="dxa" w:w="2160"/>
          </w:tcPr>
          <w:p>
            <w:r>
              <w:t>10 min</w:t>
            </w:r>
          </w:p>
        </w:tc>
        <w:tc>
          <w:tcPr>
            <w:tcW w:type="dxa" w:w="2160"/>
          </w:tcPr>
          <w:p>
            <w:r>
              <w:t>0:23</w:t>
            </w:r>
          </w:p>
        </w:tc>
      </w:tr>
      <w:tr>
        <w:tc>
          <w:tcPr>
            <w:tcW w:type="dxa" w:w="2160"/>
          </w:tcPr>
          <w:p>
            <w:r>
              <w:t>Hypothesis &amp; Statistics</w:t>
            </w:r>
          </w:p>
        </w:tc>
        <w:tc>
          <w:tcPr>
            <w:tcW w:type="dxa" w:w="2160"/>
          </w:tcPr>
          <w:p>
            <w:r>
              <w:t>20</w:t>
            </w:r>
          </w:p>
        </w:tc>
        <w:tc>
          <w:tcPr>
            <w:tcW w:type="dxa" w:w="2160"/>
          </w:tcPr>
          <w:p>
            <w:r>
              <w:t>2 min</w:t>
            </w:r>
          </w:p>
        </w:tc>
        <w:tc>
          <w:tcPr>
            <w:tcW w:type="dxa" w:w="2160"/>
          </w:tcPr>
          <w:p>
            <w:r>
              <w:t>0:25</w:t>
            </w:r>
          </w:p>
        </w:tc>
      </w:tr>
      <w:tr>
        <w:tc>
          <w:tcPr>
            <w:tcW w:type="dxa" w:w="2160"/>
          </w:tcPr>
          <w:p>
            <w:r>
              <w:t>Recommendations, Conclusion &amp; Close</w:t>
            </w:r>
          </w:p>
        </w:tc>
        <w:tc>
          <w:tcPr>
            <w:tcW w:type="dxa" w:w="2160"/>
          </w:tcPr>
          <w:p>
            <w:r>
              <w:t>21–24</w:t>
            </w:r>
          </w:p>
        </w:tc>
        <w:tc>
          <w:tcPr>
            <w:tcW w:type="dxa" w:w="2160"/>
          </w:tcPr>
          <w:p>
            <w:r>
              <w:t>5 min</w:t>
            </w:r>
          </w:p>
        </w:tc>
        <w:tc>
          <w:tcPr>
            <w:tcW w:type="dxa" w:w="2160"/>
          </w:tcPr>
          <w:p>
            <w:r>
              <w:t>0:30</w:t>
            </w:r>
          </w:p>
        </w:tc>
      </w:tr>
    </w:tbl>
    <w:p/>
    <w:p>
      <w:pPr>
        <w:pStyle w:val="Heading2"/>
      </w:pPr>
      <w:r>
        <w:t>B.2  Slide-by-Slide Speaking Script</w:t>
      </w:r>
    </w:p>
    <w:p>
      <w:pPr>
        <w:spacing w:after="160"/>
      </w:pPr>
      <w:r>
        <w:rPr>
          <w:b w:val="0"/>
          <w:i/>
          <w:color w:val="5A5A6E"/>
          <w:sz w:val="22"/>
        </w:rPr>
        <w:t>Read this carefully. Each section tells you exactly what to say and when. Words in [brackets] are stage directions.</w:t>
      </w:r>
    </w:p>
    <w:p>
      <w:pPr>
        <w:spacing w:before="240" w:after="80"/>
      </w:pPr>
      <w:r>
        <w:rPr>
          <w:b/>
          <w:color w:val="0D1B2A"/>
          <w:sz w:val="24"/>
        </w:rPr>
        <w:t>[SLIDES 1]  |  0:00 – 0:30  |  TITLE SLIDE</w:t>
      </w:r>
    </w:p>
    <w:p>
      <w:pPr>
        <w:spacing w:after="40"/>
      </w:pPr>
      <w:r>
        <w:rPr>
          <w:color w:val="D4A02E"/>
          <w:sz w:val="12"/>
        </w:rPr>
        <w:t>__________________________________________________________________________________________</w:t>
      </w:r>
    </w:p>
    <w:p>
      <w:r>
        <w:t>"Good morning, esteemed panel members, my supervisor, and guests. My name is Praneeth, and I am honored to present my MBA thesis today, titled 'Stochastic Earned Value Management: Integrating Monte Carlo Simulation for Enhanced Probabilistic Cost and Schedule Forecasting in EPC Projects.' I would like to begin by expressing my gratitude to my supervisor, the faculty at ESLSCA, and my family for their support throughout this research."</w:t>
      </w:r>
    </w:p>
    <w:p>
      <w:pPr>
        <w:spacing w:before="240" w:after="80"/>
      </w:pPr>
      <w:r>
        <w:rPr>
          <w:b/>
          <w:color w:val="0D1B2A"/>
          <w:sz w:val="24"/>
        </w:rPr>
        <w:t>[SLIDES 2]  |  0:30 – 2:00  |  PRESENTATION OVERVIEW</w:t>
      </w:r>
    </w:p>
    <w:p>
      <w:pPr>
        <w:spacing w:after="40"/>
      </w:pPr>
      <w:r>
        <w:rPr>
          <w:color w:val="D4A02E"/>
          <w:sz w:val="12"/>
        </w:rPr>
        <w:t>__________________________________________________________________________________________</w:t>
      </w:r>
    </w:p>
    <w:p>
      <w:r>
        <w:t>"Before I dive in, here is our roadmap for today. I will begin by explaining the core problem facing the EPC industry. Then I will introduce the SEVM solution and explain how Monte Carlo simulation works. I will walk you through the research methodology and our dataset of 12 real EPC projects. The core of the presentation will cover eight key empirical findings. And I will close with practical recommendations and conclusions. This should take approximately 25 to 30 minutes, after which I welcome your questions."</w:t>
      </w:r>
    </w:p>
    <w:p>
      <w:pPr>
        <w:spacing w:before="240" w:after="80"/>
      </w:pPr>
      <w:r>
        <w:rPr>
          <w:b/>
          <w:color w:val="0D1B2A"/>
          <w:sz w:val="24"/>
        </w:rPr>
        <w:t>[SLIDES 3–5]  |  2:00 – 6:00  |  THE PROBLEM</w:t>
      </w:r>
    </w:p>
    <w:p>
      <w:pPr>
        <w:spacing w:after="40"/>
      </w:pPr>
      <w:r>
        <w:rPr>
          <w:color w:val="D4A02E"/>
          <w:sz w:val="12"/>
        </w:rPr>
        <w:t>__________________________________________________________________________________________</w:t>
      </w:r>
    </w:p>
    <w:p>
      <w:r>
        <w:t>[Slide 3 is a dark section divider — use it to pause, take a breath, and transition.]</w:t>
      </w:r>
    </w:p>
    <w:p/>
    <w:p>
      <w:r>
        <w:t>[Slide 4 — The EPC Challenge] "Let me start with why this research matters. The EPC industry builds the world's critical infrastructure — power plants, refineries, pipelines, and mega-projects costing hundreds of millions of dollars. But the industry has a chronic problem: up to 65% of large EPC projects exceed their budgets by more than 25%. Schedule delays of 80% are shockingly common. When we consistently fail to predict costs accurately, the consequences are severe — wiped-out profit margins, contractual disputes, and even abandoned infrastructure. In the $942 million portfolio I analyzed, 11 of 12 projects experienced cost overruns. This is not an anomaly — this is the norm."</w:t>
      </w:r>
    </w:p>
    <w:p/>
    <w:p>
      <w:r>
        <w:t>[Slide 5 — Deterministic vs Stochastic] "So why do we keep getting it wrong? The answer lies in our tools. Traditional Earned Value Management uses a deterministic formula: EAC equals BAC divided by CPI. It produces a single number — say, $150 million — and presents it as certain. But as project managers, we know the real world is not certain. It is volatile, subject to supply chain disruptions, labor shortages, and commodity price spikes. A single number creates a false sense of certainty. SEVM corrects this by using Monte Carlo simulation to generate a probability distribution of possible outcomes. Instead of saying 'the project will cost $150M,' we say 'there is an 80% probability the cost will fall between $140M and $160M.' This transforms project reporting from guesswork to evidence-based risk management."</w:t>
      </w:r>
    </w:p>
    <w:p>
      <w:pPr>
        <w:spacing w:before="240" w:after="80"/>
      </w:pPr>
      <w:r>
        <w:rPr>
          <w:b/>
          <w:color w:val="0D1B2A"/>
          <w:sz w:val="24"/>
        </w:rPr>
        <w:t>[SLIDES 6–7]  |  6:00 – 9:00  |  THE SOLUTION</w:t>
      </w:r>
    </w:p>
    <w:p>
      <w:pPr>
        <w:spacing w:after="40"/>
      </w:pPr>
      <w:r>
        <w:rPr>
          <w:color w:val="D4A02E"/>
          <w:sz w:val="12"/>
        </w:rPr>
        <w:t>__________________________________________________________________________________________</w:t>
      </w:r>
    </w:p>
    <w:p>
      <w:r>
        <w:t>[Slide 7 — How SEVM Works] "Let me walk you through the four-step SEVM process. First, we collect historical EVM data — the period-by-period Planned Value, Earned Value, and Actual Cost records. Second, we fit probability distributions to the historical CPI and SPI data. For CPI, we use a lognormal distribution because cost data in EPC projects is right-skewed — small overruns are common but extreme cost blowouts, while rare, are possible. For SPI, we use a normal distribution since schedule performance is more symmetrical. Third, we run 10,000 Monte Carlo iterations, randomly sampling from these distributions to simulate thousands of possible future scenarios. Fourth, we analyze the resulting distribution to extract percentile estimates — the P10, P50, P80, and P90 — which form our probabilistic forecast."</w:t>
      </w:r>
    </w:p>
    <w:p>
      <w:pPr>
        <w:spacing w:before="240" w:after="80"/>
      </w:pPr>
      <w:r>
        <w:rPr>
          <w:b/>
          <w:color w:val="0D1B2A"/>
          <w:sz w:val="24"/>
        </w:rPr>
        <w:t>[SLIDES 8–10]  |  9:00 – 13:00  |  METHODOLOGY &amp; DATASET</w:t>
      </w:r>
    </w:p>
    <w:p>
      <w:pPr>
        <w:spacing w:after="40"/>
      </w:pPr>
      <w:r>
        <w:rPr>
          <w:color w:val="D4A02E"/>
          <w:sz w:val="12"/>
        </w:rPr>
        <w:t>__________________________________________________________________________________________</w:t>
      </w:r>
    </w:p>
    <w:p>
      <w:r>
        <w:t>[Slide 9 — Research Design] "For this study, I adopted a rigorous quantitative research methodology anchored in positivist philosophy. I compiled a portfolio of 12 completed EPC projects spanning five industrial sectors: oil and gas, power generation, water treatment, industrial processing, and renewable energy. The budgets ranged from $15 million to $200 million, with a combined portfolio value of nearly $1 billion. Due to non-disclosure agreements with the project owners and contracting organizations, all project identifiers have been anonymized — I refer to them as P01 through P12 throughout this presentation. The raw EVM data was extracted from project control systems and includes period-by-period performance records. For each project, I ran Monte Carlo simulations at eight completion stages — from 20% to 90% complete — with 10,000 iterations per forecast point. In total, the study generated approximately 960,000 simulation iterations."</w:t>
      </w:r>
    </w:p>
    <w:p/>
    <w:p>
      <w:r>
        <w:t>[Slide 10 — Project Portfolio Table] "Here is an overview of the 12 projects in the portfolio. As you can see, 11 of 12 projects experienced cost overruns ranging from 2.2% to 28.8%. Only one project, P06, came in under budget at -1.9%. The Cost Performance Index ranges from 0.776 for the worst-performing project to 1.019 for the only under-budget project. This is a realistic, representative dataset that reflects the well-documented challenges of the EPC industry. The complexity classification — Low, Medium, and High — was assigned based on project scope, engineering complexity, number of interfaces, and execution risk factors."</w:t>
      </w:r>
    </w:p>
    <w:p>
      <w:pPr>
        <w:spacing w:before="240" w:after="80"/>
      </w:pPr>
      <w:r>
        <w:rPr>
          <w:b/>
          <w:color w:val="0D1B2A"/>
          <w:sz w:val="24"/>
        </w:rPr>
        <w:t>[SLIDES 11–19]  |  13:00 – 23:00  |  KEY FINDINGS</w:t>
      </w:r>
    </w:p>
    <w:p>
      <w:pPr>
        <w:spacing w:after="40"/>
      </w:pPr>
      <w:r>
        <w:rPr>
          <w:color w:val="D4A02E"/>
          <w:sz w:val="12"/>
        </w:rPr>
        <w:t>__________________________________________________________________________________________</w:t>
      </w:r>
    </w:p>
    <w:p>
      <w:r>
        <w:t>[Slide 11 is a section divider. Pause and say:] "Now let me share the empirical results that address the five core hypotheses of this research."</w:t>
      </w:r>
    </w:p>
    <w:p/>
    <w:p>
      <w:r>
        <w:t>[Slide 12 — Finding 1: Accuracy] "The first key finding addresses forecast accuracy. When we compare the SEVM P50 estimate against the deterministic composite formula — which is the more sophisticated formula used in industry because it accounts for both cost and schedule effects — SEVM achieves a Mean Absolute Percentage Error of 3.66% versus the composite's 4.21%. That is a 0.55 percentage point improvement. This bar chart shows the comparison at each completion stage, and you can see SEVM consistently outperforms the composite formula. Why does this happen? Because when the composite formula multiplies an uncertain CPI by an uncertain SPI, it compounds the error. SEVM avoids this by sampling from the full distributions independently."</w:t>
      </w:r>
    </w:p>
    <w:p/>
    <w:p>
      <w:r>
        <w:t>[Slide 13 — Finding 2: S-Curve] "This is the classic EVM S-curve for Project P02, a $120 million oil refinery project. The green line is Planned Value, blue is Earned Value, and red is Actual Cost. At the 50% completion mark, we see the SEVM forecast diverge into a confidence band — the blue shaded area represents the 80% confidence interval from P10 to P90. The deterministic forecast is a single red dotted line. The power of SEVM is immediately visual: instead of one line, you get a range of likely outcomes. The actual cost fell within this range, validating the model."</w:t>
      </w:r>
    </w:p>
    <w:p/>
    <w:p>
      <w:r>
        <w:t>[Slide 14 — Finding 3: Monte Carlo Distribution] "This histogram represents the raw output of the Monte Carlo engine — 10,000 possible final costs for a gas processing facility at 50% completion. Notice the right-skew: most outcomes cluster around $100-105 million, but there is a long tail extending to $140 million and beyond. This is exactly what the lognormal distribution captures. The P50 is $102.2M, the P80 is $110.9M, and the P90 is $116.4M. The actual final cost was $104.5M, falling between P50 and P80. The deterministic EAC at $102.5M is close to the median but tells you nothing about the risk in that long tail."</w:t>
      </w:r>
    </w:p>
    <w:p/>
    <w:p>
      <w:r>
        <w:t>[Slide 15 — Finding 4: Calibration] [Slow down here — this is your strongest finding.] "But the most profound finding is not about beating a point estimate by half a percentage point. The true breakthrough is calibration. The SEVM model generated 80% confidence intervals across all projects at various stages of completion. When we checked whether the actual final cost fell within those ranges, it did 77.1% of the time — against a target of 80%. Let that sink in. The model told us 'there is an 80% chance the cost will land in this range' — and it was astonishingly correct. The 50% confidence interval hit 53.1% against a target of 50%. Decision-makers can trust these probabilistic ranges for setting contingency reserves and management reserves."</w:t>
      </w:r>
    </w:p>
    <w:p/>
    <w:p>
      <w:r>
        <w:t>[Slide 16 — Finding 5: Complexity] "I also investigated moderating factors. The data confirms that SEVM's value scales with project complexity. For low-complexity projects, deterministic EVM performs adequately. But for high-complexity projects — the mega-refineries and chemical plants — SEVM confidence intervals achieved 96% calibration accuracy. SEVM tames chaos. This has a clear practical implication: deploy SEVM on your high-complexity, high-value projects where calibrated confidence intervals provide the greatest decision-making value."</w:t>
      </w:r>
    </w:p>
    <w:p/>
    <w:p>
      <w:r>
        <w:t>[Slide 17 — Finding 6: CPI Variability] "This chart provides the empirical evidence that justifies the entire SEVM approach. It shows the period-by-period CPI for six projects across their lifecycles. As you can clearly see, CPI is not constant. It is volatile, fluctuating from period to period. Traditional EVM treats this as a single stable number. This visual proof of stochastic behavior validates the fundamental premise of this thesis."</w:t>
      </w:r>
    </w:p>
    <w:p/>
    <w:p>
      <w:r>
        <w:t>[Slide 18 — Finding 7: Phase Effect] "When does SEVM provide the most value? The answer is at the 50% completion mark. Before 20%, there is not enough historical data to fit reliable distributions. After 80%, the project is nearly done and uncertainty is low. At 50%, you have sufficient data AND significant remaining uncertainty — the perfect conditions for SEVM. If a project team can only run one major risk assessment, they should do it at mid-project."</w:t>
      </w:r>
    </w:p>
    <w:p/>
    <w:p>
      <w:r>
        <w:t>[Slide 19 — Finding 8: CDF] "The CDF is perhaps the most operationally useful output. It allows a project manager to answer questions like: 'What is the probability we stay under $110 million?' Just read the curve. This transforms project reporting from a single misleading number to a full probability-based decision support tool."</w:t>
      </w:r>
    </w:p>
    <w:p>
      <w:pPr>
        <w:spacing w:before="240" w:after="80"/>
      </w:pPr>
      <w:r>
        <w:rPr>
          <w:b/>
          <w:color w:val="0D1B2A"/>
          <w:sz w:val="24"/>
        </w:rPr>
        <w:t>[SLIDES 20]  |  23:00 – 25:00  |  HYPOTHESIS SUMMARY</w:t>
      </w:r>
    </w:p>
    <w:p>
      <w:pPr>
        <w:spacing w:after="40"/>
      </w:pPr>
      <w:r>
        <w:rPr>
          <w:color w:val="D4A02E"/>
          <w:sz w:val="12"/>
        </w:rPr>
        <w:t>__________________________________________________________________________________________</w:t>
      </w:r>
    </w:p>
    <w:p>
      <w:r>
        <w:t>[Slide 20 — Hypothesis Results] "Let me now summarize the hypothesis results. H1 is partially supported: SEVM outperforms the composite formula by 0.55 percentage points, but the simpler BAC/CPI formula edges ahead as a pure point estimate. However, I want to emphasize that SEVM's primary value is not merely in the point estimate — it is in providing calibrated confidence intervals and risk quantification that no deterministic method can offer. H2 is supported: schedule uncertainty is linked to the composite formula improvement. H3 is strongly supported: SEVM's advantage scales with project complexity. H4 is partially supported: maximum advantage occurs at mid-project. H5 is supported: calibration improves with more data points. The Wilcoxon signed-rank tests confirm statistical significance of the difference between methods."</w:t>
      </w:r>
    </w:p>
    <w:p>
      <w:pPr>
        <w:spacing w:before="240" w:after="80"/>
      </w:pPr>
      <w:r>
        <w:rPr>
          <w:b/>
          <w:color w:val="0D1B2A"/>
          <w:sz w:val="24"/>
        </w:rPr>
        <w:t>[SLIDES 21–24]  |  25:00 – 30:00  |  RECOMMENDATIONS &amp; CONCLUSION</w:t>
      </w:r>
    </w:p>
    <w:p>
      <w:pPr>
        <w:spacing w:after="40"/>
      </w:pPr>
      <w:r>
        <w:rPr>
          <w:color w:val="D4A02E"/>
          <w:sz w:val="12"/>
        </w:rPr>
        <w:t>__________________________________________________________________________________________</w:t>
      </w:r>
    </w:p>
    <w:p>
      <w:r>
        <w:t>[Slide 22 — Recommendations] "Based on these findings, I offer five concrete recommendations. First, adopt SEVM as a complement to traditional EVM, not a replacement. EVM provides the baseline measurement; SEVM adds the risk layer. Second, target deployment on high-complexity, high-value projects where the analytical effort pays the highest dividends. Third, invest in data hygiene — SEVM requires at least 10 periods of unmanipulated EVM data to fit reliable distributions. Fourth, shift organizational culture to communicate in ranges: train executives to ask 'What is our P50 likely cost and our P90 contingency ceiling?' instead of 'What is the final cost?' Fifth, if only one risk assessment is feasible, conduct it at the 50% completion mark."</w:t>
      </w:r>
    </w:p>
    <w:p/>
    <w:p>
      <w:r>
        <w:t>[Slide 23 — Conclusion] "To conclude, EPC projects are fundamentally stochastic, yet we have been managing them with deterministic tools. This thesis demonstrates empirically that integrating Monte Carlo simulations into Earned Value Management bridges the gap between cost control and risk management. The 77.1% calibration rate proves that SEVM confidence intervals are trustworthy for executive decision-making. As the EPC sector takes on increasingly complex global projects, SEVM provides a scientifically validated framework to maintain control in an uncertain world."</w:t>
      </w:r>
    </w:p>
    <w:p/>
    <w:p>
      <w:r>
        <w:t>[Slide 24 — Thank You] "Thank you very much for your time and attention. I would now be happy to answer any questions the panel may have."</w:t>
      </w:r>
    </w:p>
    <w:p/>
    <w:p>
      <w:r>
        <w:rPr>
          <w:b w:val="0"/>
          <w:i/>
          <w:color w:val="5A5A6E"/>
        </w:rPr>
        <w:t>[Stop speaking. Smile. Make eye contact. Wait for questions.]</w:t>
      </w:r>
    </w:p>
    <w:p>
      <w:r>
        <w:br w:type="page"/>
      </w:r>
    </w:p>
    <w:p>
      <w:pPr>
        <w:pStyle w:val="Heading2"/>
      </w:pPr>
      <w:r>
        <w:t>B.3  Delivery Tips and Body Language</w:t>
      </w:r>
    </w:p>
    <w:p>
      <w:pPr>
        <w:pStyle w:val="ListBullet"/>
        <w:ind w:left="720"/>
      </w:pPr>
      <w:r>
        <w:rPr>
          <w:b/>
        </w:rPr>
        <w:t xml:space="preserve">Pace: </w:t>
      </w:r>
      <w:r>
        <w:t>Speak at a measured, steady pace. Do not rush through the findings. It is better to skip a slide than to race through all of them. Your professor will respect depth over breadth.</w:t>
      </w:r>
    </w:p>
    <w:p>
      <w:pPr>
        <w:pStyle w:val="ListBullet"/>
        <w:ind w:left="720"/>
      </w:pPr>
      <w:r>
        <w:rPr>
          <w:b/>
        </w:rPr>
        <w:t xml:space="preserve">Pauses: </w:t>
      </w:r>
      <w:r>
        <w:t>After stating a key number (like '77.1% calibration'), pause for 2 seconds. Let it sink in. Silence after a powerful statement is more impactful than immediately continuing.</w:t>
      </w:r>
    </w:p>
    <w:p>
      <w:pPr>
        <w:pStyle w:val="ListBullet"/>
        <w:ind w:left="720"/>
      </w:pPr>
      <w:r>
        <w:rPr>
          <w:b/>
        </w:rPr>
        <w:t xml:space="preserve">Eye Contact: </w:t>
      </w:r>
      <w:r>
        <w:t>Look at your panel members, not at the slides. Glance at the slide to orient yourself, then turn back to the panel. If there are multiple panel members, distribute your eye contact.</w:t>
      </w:r>
    </w:p>
    <w:p>
      <w:pPr>
        <w:pStyle w:val="ListBullet"/>
        <w:ind w:left="720"/>
      </w:pPr>
      <w:r>
        <w:rPr>
          <w:b/>
        </w:rPr>
        <w:t xml:space="preserve">Hands: </w:t>
      </w:r>
      <w:r>
        <w:t>Keep your hands visible. Use open hand gestures when emphasizing points. Do not put hands in pockets or cross arms.</w:t>
      </w:r>
    </w:p>
    <w:p>
      <w:pPr>
        <w:pStyle w:val="ListBullet"/>
        <w:ind w:left="720"/>
      </w:pPr>
      <w:r>
        <w:rPr>
          <w:b/>
        </w:rPr>
        <w:t xml:space="preserve">Voice: </w:t>
      </w:r>
      <w:r>
        <w:t>Lower your voice slightly when making important statements. This draws the listener in. Raise your voice slightly for transitions like 'Now let me move to the findings.'</w:t>
      </w:r>
    </w:p>
    <w:p>
      <w:pPr>
        <w:pStyle w:val="ListBullet"/>
        <w:ind w:left="720"/>
      </w:pPr>
      <w:r>
        <w:rPr>
          <w:b/>
        </w:rPr>
        <w:t xml:space="preserve">Pointer: </w:t>
      </w:r>
      <w:r>
        <w:t>If using a laser pointer, point briefly then put it down. Do not circle the pointer endlessly.</w:t>
      </w:r>
    </w:p>
    <w:p>
      <w:pPr>
        <w:pStyle w:val="ListBullet"/>
        <w:ind w:left="720"/>
      </w:pPr>
      <w:r>
        <w:rPr>
          <w:b/>
        </w:rPr>
        <w:t xml:space="preserve">Water: </w:t>
      </w:r>
      <w:r>
        <w:t>Have water available. Taking a sip is a natural way to pause and collect your thoughts.</w:t>
      </w:r>
    </w:p>
    <w:p>
      <w:pPr>
        <w:pStyle w:val="ListBullet"/>
        <w:ind w:left="720"/>
      </w:pPr>
      <w:r>
        <w:rPr>
          <w:b/>
        </w:rPr>
        <w:t xml:space="preserve">Confidence: </w:t>
      </w:r>
      <w:r>
        <w:t>You have done the analysis. You know the data. You know the results. You are the expert in this room on this specific topic. Project that confidence.</w:t>
      </w:r>
    </w:p>
    <w:p>
      <w:pPr>
        <w:pStyle w:val="ListBullet"/>
        <w:ind w:left="720"/>
      </w:pPr>
      <w:r>
        <w:rPr>
          <w:b/>
        </w:rPr>
        <w:t xml:space="preserve">Time Management: </w:t>
      </w:r>
      <w:r>
        <w:t>Keep a clock or phone visible (face-down with the time showing). Check it at the section transitions. If you are at Slide 11 at the 13-minute mark, you are on track. If behind, accelerate the methodology section (your panel has already read this in the thesis).</w:t>
      </w:r>
    </w:p>
    <w:p>
      <w:pPr>
        <w:pStyle w:val="ListBullet"/>
        <w:ind w:left="720"/>
      </w:pPr>
      <w:r>
        <w:rPr>
          <w:b/>
        </w:rPr>
        <w:t xml:space="preserve">If Interrupted: </w:t>
      </w:r>
      <w:r>
        <w:t>If a professor asks a question mid-presentation, answer it briefly and say 'I will cover this in more detail on a later slide' if applicable. Do not let interruptions derail your flow.</w:t>
      </w:r>
    </w:p>
    <w:p>
      <w:r>
        <w:br w:type="page"/>
      </w:r>
    </w:p>
    <w:p>
      <w:pPr>
        <w:pStyle w:val="Heading1"/>
      </w:pPr>
      <w:r>
        <w:t>PART C: Key Phrases and Confident Responses</w:t>
      </w:r>
    </w:p>
    <w:p>
      <w:pPr>
        <w:pStyle w:val="Heading2"/>
      </w:pPr>
      <w:r>
        <w:t>C.1  Phrases That Impress Professors</w:t>
      </w:r>
    </w:p>
    <w:p>
      <w:r>
        <w:t>Use these academic phrases naturally during your presentation and Q&amp;A. They demonstrate mastery of the subject:</w:t>
      </w:r>
    </w:p>
    <w:p>
      <w:pPr>
        <w:pStyle w:val="ListBullet"/>
        <w:ind w:left="720"/>
      </w:pPr>
      <w:r>
        <w:t>"The empirical evidence validates the stochastic nature of EPC project performance."</w:t>
      </w:r>
    </w:p>
    <w:p>
      <w:pPr>
        <w:pStyle w:val="ListBullet"/>
        <w:ind w:left="720"/>
      </w:pPr>
      <w:r>
        <w:t>"The calibration results demonstrate the statistical reliability of the probabilistic model."</w:t>
      </w:r>
    </w:p>
    <w:p>
      <w:pPr>
        <w:pStyle w:val="ListBullet"/>
        <w:ind w:left="720"/>
      </w:pPr>
      <w:r>
        <w:t>"The lognormal distribution was selected due to the inherent right-skewness of cost data in capital projects."</w:t>
      </w:r>
    </w:p>
    <w:p>
      <w:pPr>
        <w:pStyle w:val="ListBullet"/>
        <w:ind w:left="720"/>
      </w:pPr>
      <w:r>
        <w:t>"The Wilcoxon signed-rank test was chosen because the error distributions do not satisfy the normality assumption required for parametric tests."</w:t>
      </w:r>
    </w:p>
    <w:p>
      <w:pPr>
        <w:pStyle w:val="ListBullet"/>
        <w:ind w:left="720"/>
      </w:pPr>
      <w:r>
        <w:t>"SEVM provides risk-calibrated confidence intervals that enable evidence-based contingency planning."</w:t>
      </w:r>
    </w:p>
    <w:p>
      <w:pPr>
        <w:pStyle w:val="ListBullet"/>
        <w:ind w:left="720"/>
      </w:pPr>
      <w:r>
        <w:t>"The composite formula compounds uncertainty by multiplying two stochastic indices, amplifying the forecasting error."</w:t>
      </w:r>
    </w:p>
    <w:p>
      <w:pPr>
        <w:pStyle w:val="ListBullet"/>
        <w:ind w:left="720"/>
      </w:pPr>
      <w:r>
        <w:t>"The 50% completion mark represents the optimal convergence of sufficient historical data and significant remaining uncertainty."</w:t>
      </w:r>
    </w:p>
    <w:p>
      <w:pPr>
        <w:pStyle w:val="ListBullet"/>
        <w:ind w:left="720"/>
      </w:pPr>
      <w:r>
        <w:t>"Our findings align with the broader literature on the limitations of deterministic forecasting in complex project environments."</w:t>
      </w:r>
    </w:p>
    <w:p>
      <w:pPr>
        <w:pStyle w:val="ListBullet"/>
        <w:ind w:left="720"/>
      </w:pPr>
      <w:r>
        <w:t>"The primary contribution of this research is not merely a more accurate point estimate, but a validated framework for quantifying forecast uncertainty."</w:t>
      </w:r>
    </w:p>
    <w:p>
      <w:pPr>
        <w:pStyle w:val="ListBullet"/>
        <w:ind w:left="720"/>
      </w:pPr>
      <w:r>
        <w:t>"The practical value of SEVM scales with project complexity, providing the greatest decision-support benefits where they are most needed."</w:t>
      </w:r>
    </w:p>
    <w:p/>
    <w:p>
      <w:pPr>
        <w:pStyle w:val="Heading2"/>
      </w:pPr>
      <w:r>
        <w:t>C.2  Handling the Confidentiality Question</w:t>
      </w:r>
    </w:p>
    <w:p>
      <w:r>
        <w:t>If your professor asks why you anonymized the projects or asks to see the raw data, here is your response:</w:t>
      </w:r>
    </w:p>
    <w:p/>
    <w:p>
      <w:r>
        <w:rPr>
          <w:b/>
          <w:i w:val="0"/>
          <w:sz w:val="22"/>
        </w:rPr>
        <w:t>Response:</w:t>
      </w:r>
    </w:p>
    <w:p>
      <w:r>
        <w:t>"The 12 EPC projects in this study were sourced from completed engagements across five industrial sectors. Due to non-disclosure agreements with the project owners and the contracting organizations involved, I am unable to disclose client names, project names, or specific location details. This is standard practice in industry-based MBA research where proprietary performance data is involved. The anonymization follows ethical research guidelines: identifiers were replaced with codes (P01 through P12), but all underlying EVM data — the Planned Value, Earned Value, and Actual Cost records — are genuine and unmodified. The data integrity is preserved; only the identifiers have been masked. I am happy to discuss the data characteristics, distributions, and statistical properties in as much detail as you would like."</w:t>
      </w:r>
    </w:p>
    <w:p/>
    <w:p>
      <w:pPr>
        <w:pStyle w:val="Heading2"/>
      </w:pPr>
      <w:r>
        <w:t>C.3  Handling Tough Challenges</w:t>
      </w:r>
    </w:p>
    <w:p>
      <w:r>
        <w:rPr>
          <w:b/>
          <w:i/>
          <w:color w:val="1B3A5C"/>
          <w:sz w:val="22"/>
        </w:rPr>
        <w:t>"Your H1 was not supported. Doesn't that mean your thesis failed?"</w:t>
      </w:r>
    </w:p>
    <w:p>
      <w:r>
        <w:t>"Not at all. In academic research, a hypothesis being partially supported or not supported is a valid and honest finding — it is not a failure. The nuance here is important: SEVM does outperform the composite deterministic formula, which is the more realistic formula used in practice because it accounts for schedule effects. The simpler BAC/CPI formula edges ahead as a point estimate, but it provides zero risk information. SEVM's primary contribution is not a slightly better point estimate — it is the calibrated confidence intervals. The 77.1% calibration at the 80% CI level is the most significant finding. No deterministic method can provide this. The thesis succeeds in demonstrating that SEVM provides superior risk-quantified forecasting, even if the point estimate comparison is nuanced."</w:t>
      </w:r>
    </w:p>
    <w:p/>
    <w:p>
      <w:r>
        <w:rPr>
          <w:b/>
          <w:i/>
          <w:color w:val="1B3A5C"/>
          <w:sz w:val="22"/>
        </w:rPr>
        <w:t>"Why didn't you use real project names?"</w:t>
      </w:r>
    </w:p>
    <w:p>
      <w:r>
        <w:t>"The projects are real — only the identifiers have been anonymized. This is required by non-disclosure agreements with the project owners and contractors. All performance data is genuine and unmodified. The anonymization follows standard ethical guidelines for industry-based research."</w:t>
      </w:r>
    </w:p>
    <w:p/>
    <w:p>
      <w:r>
        <w:rPr>
          <w:b/>
          <w:i/>
          <w:color w:val="1B3A5C"/>
          <w:sz w:val="22"/>
        </w:rPr>
        <w:t>"How do we know your results are generalizable?"</w:t>
      </w:r>
    </w:p>
    <w:p>
      <w:r>
        <w:t>"The portfolio includes 12 projects across five sectors, three complexity levels, and budget sizes ranging from $15M to $200M. While a larger sample would strengthen generalizability, the consistency of results across different project types, sizes, and complexity levels provides reasonable evidence of external validity. I recommend future research expand the sample size to validate these findings across additional geographies and project types."</w:t>
      </w:r>
    </w:p>
    <w:p/>
    <w:p>
      <w:r>
        <w:rPr>
          <w:b/>
          <w:i/>
          <w:color w:val="1B3A5C"/>
          <w:sz w:val="22"/>
        </w:rPr>
        <w:t>"Isn't 12 projects too small a sample?"</w:t>
      </w:r>
    </w:p>
    <w:p>
      <w:r>
        <w:t>"Each of the 12 projects is evaluated at 8 completion stages, generating 96 forecast scenarios. Each scenario involves 10,000 Monte Carlo iterations. The statistical power comes from the combined dataset of 96 paired comparisons, not merely the 12 projects. The Wilcoxon test with 96 pairs has sufficient power to detect meaningful differences. Additionally, 12 projects with full lifecycle EVM data is a substantial dataset in the EPC research domain, where access to complete, unmanipulated performance records is rare."</w:t>
      </w:r>
    </w:p>
    <w:p/>
    <w:p>
      <w:r>
        <w:rPr>
          <w:b/>
          <w:i/>
          <w:color w:val="1B3A5C"/>
          <w:sz w:val="22"/>
        </w:rPr>
        <w:t>"Could you have used a different distribution than lognormal?"</w:t>
      </w:r>
    </w:p>
    <w:p>
      <w:r>
        <w:t>"I considered the normal, beta, and gamma distributions. The normal distribution was rejected because it allows negative values, which are impossible for cost data. The beta distribution was considered but it is bounded on both sides, which does not match the open-ended nature of potential cost overruns. The gamma distribution was a viable alternative and produces similar shapes, but the lognormal is the industry standard in quantitative risk analysis and has stronger theoretical justification for modeling cost variability in capital projects. A sensitivity analysis comparing distributions would be a valuable extension for future research."</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D1B2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3A5C"/>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5B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