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FD62C" w14:textId="77777777" w:rsidR="00EF2EB6" w:rsidRPr="00950AF7" w:rsidRDefault="00EF2EB6" w:rsidP="00950AF7">
      <w:pPr>
        <w:spacing w:after="600" w:line="360" w:lineRule="auto"/>
        <w:jc w:val="center"/>
      </w:pPr>
    </w:p>
    <w:p w14:paraId="61384480" w14:textId="77777777" w:rsidR="00EF2EB6" w:rsidRPr="00950AF7" w:rsidRDefault="00000000" w:rsidP="00950AF7">
      <w:pPr>
        <w:spacing w:after="200" w:line="360" w:lineRule="auto"/>
        <w:jc w:val="center"/>
      </w:pPr>
      <w:r w:rsidRPr="00950AF7">
        <w:rPr>
          <w:b/>
          <w:bCs/>
        </w:rPr>
        <w:t>ESLSCA Business School Paris</w:t>
      </w:r>
    </w:p>
    <w:p w14:paraId="46A8DFA1" w14:textId="77777777" w:rsidR="00EF2EB6" w:rsidRPr="00950AF7" w:rsidRDefault="00000000" w:rsidP="00950AF7">
      <w:pPr>
        <w:spacing w:after="400" w:line="360" w:lineRule="auto"/>
        <w:jc w:val="center"/>
      </w:pPr>
      <w:r w:rsidRPr="00950AF7">
        <w:t>MBA Program</w:t>
      </w:r>
    </w:p>
    <w:p w14:paraId="57980A5D" w14:textId="77777777" w:rsidR="00EF2EB6" w:rsidRPr="00950AF7" w:rsidRDefault="00EF2EB6" w:rsidP="00950AF7">
      <w:pPr>
        <w:spacing w:after="200" w:line="360" w:lineRule="auto"/>
        <w:jc w:val="center"/>
      </w:pPr>
    </w:p>
    <w:p w14:paraId="7ED27AAE" w14:textId="77777777" w:rsidR="00EF2EB6" w:rsidRPr="00950AF7" w:rsidRDefault="00000000" w:rsidP="00950AF7">
      <w:pPr>
        <w:spacing w:after="300" w:line="360" w:lineRule="auto"/>
        <w:jc w:val="center"/>
      </w:pPr>
      <w:r w:rsidRPr="00950AF7">
        <w:rPr>
          <w:b/>
          <w:bCs/>
        </w:rPr>
        <w:t>FINAL THESIS</w:t>
      </w:r>
    </w:p>
    <w:p w14:paraId="6BB970CD" w14:textId="77777777" w:rsidR="00EF2EB6" w:rsidRPr="00950AF7" w:rsidRDefault="00000000" w:rsidP="00950AF7">
      <w:pPr>
        <w:spacing w:after="600" w:line="360" w:lineRule="auto"/>
        <w:jc w:val="center"/>
      </w:pPr>
      <w:r w:rsidRPr="00950AF7">
        <w:t>Academic Year 2024-2025</w:t>
      </w:r>
    </w:p>
    <w:p w14:paraId="44295199" w14:textId="77777777" w:rsidR="00EF2EB6" w:rsidRPr="00950AF7" w:rsidRDefault="00EF2EB6" w:rsidP="00950AF7">
      <w:pPr>
        <w:spacing w:after="200" w:line="360" w:lineRule="auto"/>
        <w:jc w:val="center"/>
      </w:pPr>
    </w:p>
    <w:p w14:paraId="002C2E6E" w14:textId="77777777" w:rsidR="00EF2EB6" w:rsidRPr="00950AF7" w:rsidRDefault="00000000" w:rsidP="00950AF7">
      <w:pPr>
        <w:spacing w:after="80" w:line="360" w:lineRule="auto"/>
        <w:jc w:val="center"/>
      </w:pPr>
      <w:r w:rsidRPr="00950AF7">
        <w:rPr>
          <w:b/>
          <w:bCs/>
        </w:rPr>
        <w:t>Integrated Project Control:</w:t>
      </w:r>
    </w:p>
    <w:p w14:paraId="39FDEF41" w14:textId="77777777" w:rsidR="00EF2EB6" w:rsidRPr="00950AF7" w:rsidRDefault="00000000" w:rsidP="00950AF7">
      <w:pPr>
        <w:spacing w:after="80" w:line="360" w:lineRule="auto"/>
        <w:jc w:val="center"/>
      </w:pPr>
      <w:r w:rsidRPr="00950AF7">
        <w:rPr>
          <w:b/>
          <w:bCs/>
        </w:rPr>
        <w:t>Enhancing Cost and Schedule Performance in EPC Projects</w:t>
      </w:r>
    </w:p>
    <w:p w14:paraId="5DD05A6B" w14:textId="77777777" w:rsidR="00EF2EB6" w:rsidRPr="00950AF7" w:rsidRDefault="00000000" w:rsidP="00950AF7">
      <w:pPr>
        <w:spacing w:after="600" w:line="360" w:lineRule="auto"/>
        <w:jc w:val="center"/>
      </w:pPr>
      <w:r w:rsidRPr="00950AF7">
        <w:rPr>
          <w:b/>
          <w:bCs/>
        </w:rPr>
        <w:t>through Stochastic Earned Value Management (SEVM)</w:t>
      </w:r>
    </w:p>
    <w:p w14:paraId="1D299FE0" w14:textId="77777777" w:rsidR="00EF2EB6" w:rsidRPr="00950AF7" w:rsidRDefault="00EF2EB6" w:rsidP="00950AF7">
      <w:pPr>
        <w:spacing w:after="400" w:line="360" w:lineRule="auto"/>
        <w:jc w:val="center"/>
      </w:pPr>
    </w:p>
    <w:p w14:paraId="60E72885" w14:textId="77777777" w:rsidR="00EF2EB6" w:rsidRPr="00950AF7" w:rsidRDefault="00000000" w:rsidP="00950AF7">
      <w:pPr>
        <w:spacing w:after="120" w:line="360" w:lineRule="auto"/>
        <w:jc w:val="center"/>
      </w:pPr>
      <w:r w:rsidRPr="00950AF7">
        <w:t xml:space="preserve">Submitted by: </w:t>
      </w:r>
      <w:r w:rsidRPr="00950AF7">
        <w:rPr>
          <w:b/>
          <w:bCs/>
        </w:rPr>
        <w:t>Hemanth</w:t>
      </w:r>
    </w:p>
    <w:p w14:paraId="1F0A4F7C" w14:textId="77777777" w:rsidR="00EF2EB6" w:rsidRPr="00950AF7" w:rsidRDefault="00000000" w:rsidP="00950AF7">
      <w:pPr>
        <w:spacing w:after="120" w:line="360" w:lineRule="auto"/>
        <w:jc w:val="center"/>
      </w:pPr>
      <w:r w:rsidRPr="00950AF7">
        <w:t>Program: MBA 2</w:t>
      </w:r>
    </w:p>
    <w:p w14:paraId="6998015D" w14:textId="77777777" w:rsidR="00EF2EB6" w:rsidRPr="00950AF7" w:rsidRDefault="00000000" w:rsidP="00950AF7">
      <w:pPr>
        <w:spacing w:after="200" w:line="360" w:lineRule="auto"/>
        <w:jc w:val="center"/>
      </w:pPr>
      <w:r w:rsidRPr="00950AF7">
        <w:t xml:space="preserve">Thesis Supervisor: </w:t>
      </w:r>
      <w:r w:rsidRPr="00950AF7">
        <w:rPr>
          <w:i/>
          <w:iCs/>
        </w:rPr>
        <w:t>[Supervisor Name]</w:t>
      </w:r>
    </w:p>
    <w:p w14:paraId="07794B45" w14:textId="77777777" w:rsidR="00EF2EB6" w:rsidRPr="00950AF7" w:rsidRDefault="00EF2EB6" w:rsidP="00950AF7">
      <w:pPr>
        <w:spacing w:line="360" w:lineRule="auto"/>
        <w:jc w:val="both"/>
        <w:sectPr w:rsidR="00EF2EB6" w:rsidRPr="00950AF7">
          <w:pgSz w:w="11906" w:h="16838"/>
          <w:pgMar w:top="1418" w:right="1418" w:bottom="1418" w:left="1418" w:header="708" w:footer="708" w:gutter="0"/>
          <w:cols w:space="720"/>
          <w:docGrid w:linePitch="360"/>
        </w:sectPr>
      </w:pPr>
    </w:p>
    <w:p w14:paraId="53493A8E" w14:textId="77777777" w:rsidR="00EF2EB6" w:rsidRPr="00950AF7" w:rsidRDefault="00EF2EB6" w:rsidP="00950AF7">
      <w:pPr>
        <w:spacing w:line="360" w:lineRule="auto"/>
        <w:jc w:val="both"/>
      </w:pPr>
    </w:p>
    <w:p w14:paraId="46029AC3" w14:textId="77777777" w:rsidR="00EF2EB6" w:rsidRPr="00950AF7" w:rsidRDefault="00000000" w:rsidP="00950AF7">
      <w:pPr>
        <w:spacing w:after="400" w:line="360" w:lineRule="auto"/>
        <w:jc w:val="both"/>
      </w:pPr>
      <w:r w:rsidRPr="00950AF7">
        <w:rPr>
          <w:b/>
          <w:bCs/>
        </w:rPr>
        <w:t>Declaration of Originality</w:t>
      </w:r>
    </w:p>
    <w:p w14:paraId="6CF80460" w14:textId="77777777" w:rsidR="00EF2EB6" w:rsidRPr="00950AF7" w:rsidRDefault="00EF2EB6" w:rsidP="00950AF7">
      <w:pPr>
        <w:spacing w:after="120" w:line="360" w:lineRule="auto"/>
        <w:jc w:val="both"/>
      </w:pPr>
    </w:p>
    <w:p w14:paraId="01CCD967" w14:textId="77777777" w:rsidR="00EF2EB6" w:rsidRPr="00950AF7" w:rsidRDefault="00000000" w:rsidP="00950AF7">
      <w:pPr>
        <w:spacing w:after="120" w:line="360" w:lineRule="auto"/>
        <w:jc w:val="both"/>
      </w:pPr>
      <w:r w:rsidRPr="00950AF7">
        <w:t>We, the undersigned, hereby declare that this thesis, submitted in partial fulfillment of the requirements for the MBA degree at ESLSCA Business School Paris, is entirely our own original work.</w:t>
      </w:r>
    </w:p>
    <w:p w14:paraId="2ABD0814" w14:textId="77777777" w:rsidR="00EF2EB6" w:rsidRPr="00950AF7" w:rsidRDefault="00000000" w:rsidP="00950AF7">
      <w:pPr>
        <w:spacing w:after="120" w:line="360" w:lineRule="auto"/>
        <w:jc w:val="both"/>
      </w:pPr>
      <w:r w:rsidRPr="00950AF7">
        <w:t>All sources of information used in the preparation of this thesis have been duly acknowledged and referenced in accordance with APA standards. No part of this work has been previously submitted for any other academic degree or professional qualification.</w:t>
      </w:r>
    </w:p>
    <w:p w14:paraId="30EBC1EF" w14:textId="77777777" w:rsidR="00EF2EB6" w:rsidRPr="00950AF7" w:rsidRDefault="00000000" w:rsidP="00950AF7">
      <w:pPr>
        <w:spacing w:after="120" w:line="360" w:lineRule="auto"/>
        <w:jc w:val="both"/>
      </w:pPr>
      <w:r w:rsidRPr="00950AF7">
        <w:t>We further declare that this thesis does not contain any material that infringes the intellectual property rights of any third party, and that proper attribution has been given to all works cited herein.</w:t>
      </w:r>
    </w:p>
    <w:p w14:paraId="5F7BB00F" w14:textId="77777777" w:rsidR="00EF2EB6" w:rsidRPr="00950AF7" w:rsidRDefault="00EF2EB6" w:rsidP="00950AF7">
      <w:pPr>
        <w:spacing w:after="120" w:line="360" w:lineRule="auto"/>
        <w:jc w:val="both"/>
      </w:pPr>
    </w:p>
    <w:p w14:paraId="271E1F2B" w14:textId="77777777" w:rsidR="00EF2EB6" w:rsidRPr="00950AF7" w:rsidRDefault="00EF2EB6" w:rsidP="00950AF7">
      <w:pPr>
        <w:spacing w:after="120" w:line="360" w:lineRule="auto"/>
        <w:jc w:val="both"/>
      </w:pPr>
    </w:p>
    <w:p w14:paraId="499E87CB" w14:textId="77777777" w:rsidR="00EF2EB6" w:rsidRPr="00950AF7" w:rsidRDefault="00000000" w:rsidP="00950AF7">
      <w:pPr>
        <w:spacing w:after="120" w:line="360" w:lineRule="auto"/>
        <w:jc w:val="both"/>
      </w:pPr>
      <w:r w:rsidRPr="00950AF7">
        <w:t>Name: Hemanth</w:t>
      </w:r>
    </w:p>
    <w:p w14:paraId="61CC420C" w14:textId="77777777" w:rsidR="00EF2EB6" w:rsidRPr="00950AF7" w:rsidRDefault="00000000" w:rsidP="00950AF7">
      <w:pPr>
        <w:spacing w:after="120" w:line="360" w:lineRule="auto"/>
        <w:jc w:val="both"/>
      </w:pPr>
      <w:r w:rsidRPr="00950AF7">
        <w:t>Date: ___________________</w:t>
      </w:r>
    </w:p>
    <w:p w14:paraId="740EB540" w14:textId="77777777" w:rsidR="00EF2EB6" w:rsidRPr="00950AF7" w:rsidRDefault="00EF2EB6" w:rsidP="00950AF7">
      <w:pPr>
        <w:spacing w:after="120" w:line="360" w:lineRule="auto"/>
        <w:jc w:val="both"/>
      </w:pPr>
    </w:p>
    <w:p w14:paraId="734C51DB" w14:textId="77777777" w:rsidR="00EF2EB6" w:rsidRPr="00950AF7" w:rsidRDefault="00000000" w:rsidP="00950AF7">
      <w:pPr>
        <w:spacing w:after="120" w:line="360" w:lineRule="auto"/>
        <w:jc w:val="both"/>
      </w:pPr>
      <w:r w:rsidRPr="00950AF7">
        <w:t>Signature: ___________________</w:t>
      </w:r>
    </w:p>
    <w:p w14:paraId="51ED3744" w14:textId="77777777" w:rsidR="00EF2EB6" w:rsidRPr="00950AF7" w:rsidRDefault="00EF2EB6" w:rsidP="00950AF7">
      <w:pPr>
        <w:spacing w:line="360" w:lineRule="auto"/>
        <w:jc w:val="both"/>
        <w:sectPr w:rsidR="00EF2EB6" w:rsidRPr="00950AF7">
          <w:pgSz w:w="11906" w:h="16838"/>
          <w:pgMar w:top="1418" w:right="1418" w:bottom="1418" w:left="1418" w:header="708" w:footer="708" w:gutter="0"/>
          <w:cols w:space="720"/>
          <w:docGrid w:linePitch="360"/>
        </w:sectPr>
      </w:pPr>
    </w:p>
    <w:p w14:paraId="146E1D86" w14:textId="77777777" w:rsidR="00EF2EB6" w:rsidRPr="00950AF7" w:rsidRDefault="00000000" w:rsidP="00950AF7">
      <w:pPr>
        <w:pStyle w:val="Heading1"/>
        <w:numPr>
          <w:ilvl w:val="0"/>
          <w:numId w:val="0"/>
        </w:numPr>
        <w:spacing w:after="120"/>
        <w:ind w:left="432" w:hanging="432"/>
        <w:jc w:val="both"/>
        <w:rPr>
          <w:color w:val="auto"/>
          <w:sz w:val="24"/>
          <w:szCs w:val="24"/>
        </w:rPr>
      </w:pPr>
      <w:bookmarkStart w:id="0" w:name="_Toc222201042"/>
      <w:r w:rsidRPr="00950AF7">
        <w:rPr>
          <w:color w:val="auto"/>
          <w:sz w:val="24"/>
          <w:szCs w:val="24"/>
        </w:rPr>
        <w:lastRenderedPageBreak/>
        <w:t>Acknowledgements</w:t>
      </w:r>
      <w:bookmarkEnd w:id="0"/>
    </w:p>
    <w:p w14:paraId="5F6F4DC8" w14:textId="77777777" w:rsidR="00EF2EB6" w:rsidRPr="00950AF7" w:rsidRDefault="00000000" w:rsidP="00950AF7">
      <w:pPr>
        <w:spacing w:after="120" w:line="360" w:lineRule="auto"/>
        <w:jc w:val="both"/>
      </w:pPr>
      <w:r w:rsidRPr="00950AF7">
        <w:t>We would like to express our sincere gratitude to all those who contributed to the completion of this research thesis.</w:t>
      </w:r>
    </w:p>
    <w:p w14:paraId="4C07E306" w14:textId="77777777" w:rsidR="00EF2EB6" w:rsidRPr="00950AF7" w:rsidRDefault="00000000" w:rsidP="00950AF7">
      <w:pPr>
        <w:spacing w:after="120" w:line="360" w:lineRule="auto"/>
        <w:jc w:val="both"/>
      </w:pPr>
      <w:r w:rsidRPr="00950AF7">
        <w:t>First and foremost, we extend our deepest appreciation to our thesis supervisor, whose invaluable guidance, constructive feedback, and unwavering support throughout this research journey have been instrumental in shaping this work. Their expertise in project management and academic rigor have significantly enhanced the quality of this thesis.</w:t>
      </w:r>
    </w:p>
    <w:p w14:paraId="659D3033" w14:textId="77777777" w:rsidR="00EF2EB6" w:rsidRPr="00950AF7" w:rsidRDefault="00000000" w:rsidP="00950AF7">
      <w:pPr>
        <w:spacing w:after="120" w:line="360" w:lineRule="auto"/>
        <w:jc w:val="both"/>
      </w:pPr>
      <w:r w:rsidRPr="00950AF7">
        <w:t>We are also grateful to the faculty and administration of ESLSCA Business School Paris for providing a stimulating academic environment and access to essential research resources, including the EBSCO database, which proved indispensable for our literature review.</w:t>
      </w:r>
    </w:p>
    <w:p w14:paraId="5A4EF841" w14:textId="77777777" w:rsidR="00EF2EB6" w:rsidRPr="00950AF7" w:rsidRDefault="00000000" w:rsidP="00950AF7">
      <w:pPr>
        <w:spacing w:after="120" w:line="360" w:lineRule="auto"/>
        <w:jc w:val="both"/>
      </w:pPr>
      <w:r w:rsidRPr="00950AF7">
        <w:t>Our sincere thanks go to the EPC industry professionals who generously shared their time, expertise, and insights during our data collection process. Their practical knowledge and willingness to discuss project control challenges enriched this research considerably.</w:t>
      </w:r>
    </w:p>
    <w:p w14:paraId="2296CCC0" w14:textId="77777777" w:rsidR="00EF2EB6" w:rsidRPr="00950AF7" w:rsidRDefault="00000000" w:rsidP="00950AF7">
      <w:pPr>
        <w:spacing w:after="120" w:line="360" w:lineRule="auto"/>
        <w:jc w:val="both"/>
      </w:pPr>
      <w:r w:rsidRPr="00950AF7">
        <w:t>We would also like to acknowledge our fellow MBA colleagues for their intellectual exchange, encouragement, and camaraderie throughout this program. The discussions and debates during our coursework have broadened our perspective on management sciences.</w:t>
      </w:r>
    </w:p>
    <w:p w14:paraId="0E39B440" w14:textId="77777777" w:rsidR="00EF2EB6" w:rsidRPr="00950AF7" w:rsidRDefault="00000000" w:rsidP="00950AF7">
      <w:pPr>
        <w:spacing w:after="120" w:line="360" w:lineRule="auto"/>
        <w:jc w:val="both"/>
      </w:pPr>
      <w:r w:rsidRPr="00950AF7">
        <w:t>Finally, we express our heartfelt gratitude to our family and friends for their patience, understanding, and moral support during the demanding periods of this research. Their encouragement has been a constant source of motivation.</w:t>
      </w:r>
    </w:p>
    <w:p w14:paraId="56C4AE33" w14:textId="77777777" w:rsidR="00EF2EB6" w:rsidRPr="00950AF7" w:rsidRDefault="00EF2EB6" w:rsidP="00950AF7">
      <w:pPr>
        <w:spacing w:line="360" w:lineRule="auto"/>
        <w:jc w:val="both"/>
        <w:sectPr w:rsidR="00EF2EB6" w:rsidRPr="00950AF7">
          <w:headerReference w:type="default" r:id="rId7"/>
          <w:footerReference w:type="default" r:id="rId8"/>
          <w:pgSz w:w="11906" w:h="16838"/>
          <w:pgMar w:top="1418" w:right="1418" w:bottom="1418" w:left="1418" w:header="708" w:footer="708" w:gutter="0"/>
          <w:cols w:space="720"/>
          <w:docGrid w:linePitch="360"/>
        </w:sectPr>
      </w:pPr>
    </w:p>
    <w:p w14:paraId="525BC826" w14:textId="77777777" w:rsidR="00EF2EB6" w:rsidRPr="00950AF7" w:rsidRDefault="00000000" w:rsidP="00950AF7">
      <w:pPr>
        <w:pStyle w:val="Heading1"/>
        <w:numPr>
          <w:ilvl w:val="0"/>
          <w:numId w:val="0"/>
        </w:numPr>
        <w:spacing w:after="120"/>
        <w:ind w:left="432" w:hanging="432"/>
        <w:jc w:val="both"/>
        <w:rPr>
          <w:color w:val="auto"/>
          <w:sz w:val="24"/>
          <w:szCs w:val="24"/>
        </w:rPr>
      </w:pPr>
      <w:bookmarkStart w:id="1" w:name="_Toc222201043"/>
      <w:r w:rsidRPr="00950AF7">
        <w:rPr>
          <w:color w:val="auto"/>
          <w:sz w:val="24"/>
          <w:szCs w:val="24"/>
        </w:rPr>
        <w:lastRenderedPageBreak/>
        <w:t>Glossary of Abbreviations</w:t>
      </w:r>
      <w:bookmarkEnd w:id="1"/>
    </w:p>
    <w:tbl>
      <w:tblPr>
        <w:tblStyle w:val="TableGrid"/>
        <w:tblW w:w="0" w:type="auto"/>
        <w:tblLook w:val="04A0" w:firstRow="1" w:lastRow="0" w:firstColumn="1" w:lastColumn="0" w:noHBand="0" w:noVBand="1"/>
      </w:tblPr>
      <w:tblGrid>
        <w:gridCol w:w="1577"/>
        <w:gridCol w:w="4502"/>
      </w:tblGrid>
      <w:tr w:rsidR="00950AF7" w:rsidRPr="00950AF7" w14:paraId="2DC08D32" w14:textId="77777777" w:rsidTr="00950AF7">
        <w:tc>
          <w:tcPr>
            <w:tcW w:w="0" w:type="auto"/>
            <w:hideMark/>
          </w:tcPr>
          <w:p w14:paraId="7BD74656" w14:textId="77777777" w:rsidR="00950AF7" w:rsidRPr="00950AF7" w:rsidRDefault="00950AF7" w:rsidP="00950AF7">
            <w:pPr>
              <w:spacing w:line="360" w:lineRule="auto"/>
              <w:jc w:val="both"/>
              <w:rPr>
                <w:b/>
                <w:bCs/>
              </w:rPr>
            </w:pPr>
            <w:r w:rsidRPr="00950AF7">
              <w:rPr>
                <w:b/>
                <w:bCs/>
              </w:rPr>
              <w:t>Abbreviation</w:t>
            </w:r>
          </w:p>
        </w:tc>
        <w:tc>
          <w:tcPr>
            <w:tcW w:w="0" w:type="auto"/>
            <w:hideMark/>
          </w:tcPr>
          <w:p w14:paraId="0CB242FD" w14:textId="77777777" w:rsidR="00950AF7" w:rsidRPr="00950AF7" w:rsidRDefault="00950AF7" w:rsidP="00950AF7">
            <w:pPr>
              <w:spacing w:line="360" w:lineRule="auto"/>
              <w:jc w:val="both"/>
              <w:rPr>
                <w:b/>
                <w:bCs/>
              </w:rPr>
            </w:pPr>
            <w:r w:rsidRPr="00950AF7">
              <w:rPr>
                <w:b/>
                <w:bCs/>
              </w:rPr>
              <w:t>Full Form / Description</w:t>
            </w:r>
          </w:p>
        </w:tc>
      </w:tr>
      <w:tr w:rsidR="00950AF7" w:rsidRPr="00950AF7" w14:paraId="5B43ECF5" w14:textId="77777777" w:rsidTr="00950AF7">
        <w:tc>
          <w:tcPr>
            <w:tcW w:w="0" w:type="auto"/>
            <w:hideMark/>
          </w:tcPr>
          <w:p w14:paraId="4EF59439" w14:textId="77777777" w:rsidR="00950AF7" w:rsidRPr="00950AF7" w:rsidRDefault="00950AF7" w:rsidP="00950AF7">
            <w:pPr>
              <w:spacing w:line="360" w:lineRule="auto"/>
              <w:jc w:val="both"/>
            </w:pPr>
            <w:r w:rsidRPr="00950AF7">
              <w:t>AC</w:t>
            </w:r>
          </w:p>
        </w:tc>
        <w:tc>
          <w:tcPr>
            <w:tcW w:w="0" w:type="auto"/>
            <w:hideMark/>
          </w:tcPr>
          <w:p w14:paraId="3E443F79" w14:textId="77777777" w:rsidR="00950AF7" w:rsidRPr="00950AF7" w:rsidRDefault="00950AF7" w:rsidP="00950AF7">
            <w:pPr>
              <w:spacing w:line="360" w:lineRule="auto"/>
              <w:jc w:val="both"/>
            </w:pPr>
            <w:r w:rsidRPr="00950AF7">
              <w:t>Actual Cost</w:t>
            </w:r>
          </w:p>
        </w:tc>
      </w:tr>
      <w:tr w:rsidR="00950AF7" w:rsidRPr="00950AF7" w14:paraId="460B2BE8" w14:textId="77777777" w:rsidTr="00950AF7">
        <w:tc>
          <w:tcPr>
            <w:tcW w:w="0" w:type="auto"/>
            <w:hideMark/>
          </w:tcPr>
          <w:p w14:paraId="57E65156" w14:textId="77777777" w:rsidR="00950AF7" w:rsidRPr="00950AF7" w:rsidRDefault="00950AF7" w:rsidP="00950AF7">
            <w:pPr>
              <w:spacing w:line="360" w:lineRule="auto"/>
              <w:jc w:val="both"/>
            </w:pPr>
            <w:r w:rsidRPr="00950AF7">
              <w:t>ACWP</w:t>
            </w:r>
          </w:p>
        </w:tc>
        <w:tc>
          <w:tcPr>
            <w:tcW w:w="0" w:type="auto"/>
            <w:hideMark/>
          </w:tcPr>
          <w:p w14:paraId="39CB4462" w14:textId="77777777" w:rsidR="00950AF7" w:rsidRPr="00950AF7" w:rsidRDefault="00950AF7" w:rsidP="00950AF7">
            <w:pPr>
              <w:spacing w:line="360" w:lineRule="auto"/>
              <w:jc w:val="both"/>
            </w:pPr>
            <w:r w:rsidRPr="00950AF7">
              <w:t>Actual Cost of Work Performed</w:t>
            </w:r>
          </w:p>
        </w:tc>
      </w:tr>
      <w:tr w:rsidR="00950AF7" w:rsidRPr="00950AF7" w14:paraId="68C7675C" w14:textId="77777777" w:rsidTr="00950AF7">
        <w:tc>
          <w:tcPr>
            <w:tcW w:w="0" w:type="auto"/>
            <w:hideMark/>
          </w:tcPr>
          <w:p w14:paraId="35A047FC" w14:textId="77777777" w:rsidR="00950AF7" w:rsidRPr="00950AF7" w:rsidRDefault="00950AF7" w:rsidP="00950AF7">
            <w:pPr>
              <w:spacing w:line="360" w:lineRule="auto"/>
              <w:jc w:val="both"/>
            </w:pPr>
            <w:r w:rsidRPr="00950AF7">
              <w:t>BAC</w:t>
            </w:r>
          </w:p>
        </w:tc>
        <w:tc>
          <w:tcPr>
            <w:tcW w:w="0" w:type="auto"/>
            <w:hideMark/>
          </w:tcPr>
          <w:p w14:paraId="60F66D2E" w14:textId="77777777" w:rsidR="00950AF7" w:rsidRPr="00950AF7" w:rsidRDefault="00950AF7" w:rsidP="00950AF7">
            <w:pPr>
              <w:spacing w:line="360" w:lineRule="auto"/>
              <w:jc w:val="both"/>
            </w:pPr>
            <w:r w:rsidRPr="00950AF7">
              <w:t>Budget at Completion</w:t>
            </w:r>
          </w:p>
        </w:tc>
      </w:tr>
      <w:tr w:rsidR="00950AF7" w:rsidRPr="00950AF7" w14:paraId="1B953424" w14:textId="77777777" w:rsidTr="00950AF7">
        <w:tc>
          <w:tcPr>
            <w:tcW w:w="0" w:type="auto"/>
            <w:hideMark/>
          </w:tcPr>
          <w:p w14:paraId="44D5129B" w14:textId="77777777" w:rsidR="00950AF7" w:rsidRPr="00950AF7" w:rsidRDefault="00950AF7" w:rsidP="00950AF7">
            <w:pPr>
              <w:spacing w:line="360" w:lineRule="auto"/>
              <w:jc w:val="both"/>
            </w:pPr>
            <w:r w:rsidRPr="00950AF7">
              <w:t>BCWP</w:t>
            </w:r>
          </w:p>
        </w:tc>
        <w:tc>
          <w:tcPr>
            <w:tcW w:w="0" w:type="auto"/>
            <w:hideMark/>
          </w:tcPr>
          <w:p w14:paraId="3D37AA83" w14:textId="77777777" w:rsidR="00950AF7" w:rsidRPr="00950AF7" w:rsidRDefault="00950AF7" w:rsidP="00950AF7">
            <w:pPr>
              <w:spacing w:line="360" w:lineRule="auto"/>
              <w:jc w:val="both"/>
            </w:pPr>
            <w:r w:rsidRPr="00950AF7">
              <w:t>Budgeted Cost of Work Performed</w:t>
            </w:r>
          </w:p>
        </w:tc>
      </w:tr>
      <w:tr w:rsidR="00950AF7" w:rsidRPr="00950AF7" w14:paraId="28C8859B" w14:textId="77777777" w:rsidTr="00950AF7">
        <w:tc>
          <w:tcPr>
            <w:tcW w:w="0" w:type="auto"/>
            <w:hideMark/>
          </w:tcPr>
          <w:p w14:paraId="45FE06AB" w14:textId="77777777" w:rsidR="00950AF7" w:rsidRPr="00950AF7" w:rsidRDefault="00950AF7" w:rsidP="00950AF7">
            <w:pPr>
              <w:spacing w:line="360" w:lineRule="auto"/>
              <w:jc w:val="both"/>
            </w:pPr>
            <w:r w:rsidRPr="00950AF7">
              <w:t>BCWS</w:t>
            </w:r>
          </w:p>
        </w:tc>
        <w:tc>
          <w:tcPr>
            <w:tcW w:w="0" w:type="auto"/>
            <w:hideMark/>
          </w:tcPr>
          <w:p w14:paraId="3D52B3CD" w14:textId="77777777" w:rsidR="00950AF7" w:rsidRPr="00950AF7" w:rsidRDefault="00950AF7" w:rsidP="00950AF7">
            <w:pPr>
              <w:spacing w:line="360" w:lineRule="auto"/>
              <w:jc w:val="both"/>
            </w:pPr>
            <w:r w:rsidRPr="00950AF7">
              <w:t>Budgeted Cost of Work Scheduled</w:t>
            </w:r>
          </w:p>
        </w:tc>
      </w:tr>
      <w:tr w:rsidR="00950AF7" w:rsidRPr="00950AF7" w14:paraId="136854D7" w14:textId="77777777" w:rsidTr="00950AF7">
        <w:tc>
          <w:tcPr>
            <w:tcW w:w="0" w:type="auto"/>
            <w:hideMark/>
          </w:tcPr>
          <w:p w14:paraId="2FBA65C0" w14:textId="77777777" w:rsidR="00950AF7" w:rsidRPr="00950AF7" w:rsidRDefault="00950AF7" w:rsidP="00950AF7">
            <w:pPr>
              <w:spacing w:line="360" w:lineRule="auto"/>
              <w:jc w:val="both"/>
            </w:pPr>
            <w:r w:rsidRPr="00950AF7">
              <w:t>CDF</w:t>
            </w:r>
          </w:p>
        </w:tc>
        <w:tc>
          <w:tcPr>
            <w:tcW w:w="0" w:type="auto"/>
            <w:hideMark/>
          </w:tcPr>
          <w:p w14:paraId="1CDE3372" w14:textId="77777777" w:rsidR="00950AF7" w:rsidRPr="00950AF7" w:rsidRDefault="00950AF7" w:rsidP="00950AF7">
            <w:pPr>
              <w:spacing w:line="360" w:lineRule="auto"/>
              <w:jc w:val="both"/>
            </w:pPr>
            <w:r w:rsidRPr="00950AF7">
              <w:t>Cumulative Distribution Function</w:t>
            </w:r>
          </w:p>
        </w:tc>
      </w:tr>
      <w:tr w:rsidR="00950AF7" w:rsidRPr="00950AF7" w14:paraId="18399870" w14:textId="77777777" w:rsidTr="00950AF7">
        <w:tc>
          <w:tcPr>
            <w:tcW w:w="0" w:type="auto"/>
            <w:hideMark/>
          </w:tcPr>
          <w:p w14:paraId="248B66F7" w14:textId="77777777" w:rsidR="00950AF7" w:rsidRPr="00950AF7" w:rsidRDefault="00950AF7" w:rsidP="00950AF7">
            <w:pPr>
              <w:spacing w:line="360" w:lineRule="auto"/>
              <w:jc w:val="both"/>
            </w:pPr>
            <w:r w:rsidRPr="00950AF7">
              <w:t>CPI</w:t>
            </w:r>
          </w:p>
        </w:tc>
        <w:tc>
          <w:tcPr>
            <w:tcW w:w="0" w:type="auto"/>
            <w:hideMark/>
          </w:tcPr>
          <w:p w14:paraId="12F9E7AD" w14:textId="77777777" w:rsidR="00950AF7" w:rsidRPr="00950AF7" w:rsidRDefault="00950AF7" w:rsidP="00950AF7">
            <w:pPr>
              <w:spacing w:line="360" w:lineRule="auto"/>
              <w:jc w:val="both"/>
            </w:pPr>
            <w:r w:rsidRPr="00950AF7">
              <w:t>Cost Performance Index</w:t>
            </w:r>
          </w:p>
        </w:tc>
      </w:tr>
      <w:tr w:rsidR="00950AF7" w:rsidRPr="00950AF7" w14:paraId="3EB99FB5" w14:textId="77777777" w:rsidTr="00950AF7">
        <w:tc>
          <w:tcPr>
            <w:tcW w:w="0" w:type="auto"/>
            <w:hideMark/>
          </w:tcPr>
          <w:p w14:paraId="7499CA30" w14:textId="77777777" w:rsidR="00950AF7" w:rsidRPr="00950AF7" w:rsidRDefault="00950AF7" w:rsidP="00950AF7">
            <w:pPr>
              <w:spacing w:line="360" w:lineRule="auto"/>
              <w:jc w:val="both"/>
            </w:pPr>
            <w:r w:rsidRPr="00950AF7">
              <w:t>CV</w:t>
            </w:r>
          </w:p>
        </w:tc>
        <w:tc>
          <w:tcPr>
            <w:tcW w:w="0" w:type="auto"/>
            <w:hideMark/>
          </w:tcPr>
          <w:p w14:paraId="4AEE9AE8" w14:textId="77777777" w:rsidR="00950AF7" w:rsidRPr="00950AF7" w:rsidRDefault="00950AF7" w:rsidP="00950AF7">
            <w:pPr>
              <w:spacing w:line="360" w:lineRule="auto"/>
              <w:jc w:val="both"/>
            </w:pPr>
            <w:r w:rsidRPr="00950AF7">
              <w:t>Cost Variance</w:t>
            </w:r>
          </w:p>
        </w:tc>
      </w:tr>
      <w:tr w:rsidR="00950AF7" w:rsidRPr="00950AF7" w14:paraId="73F36E74" w14:textId="77777777" w:rsidTr="00950AF7">
        <w:tc>
          <w:tcPr>
            <w:tcW w:w="0" w:type="auto"/>
            <w:hideMark/>
          </w:tcPr>
          <w:p w14:paraId="7230AC08" w14:textId="77777777" w:rsidR="00950AF7" w:rsidRPr="00950AF7" w:rsidRDefault="00950AF7" w:rsidP="00950AF7">
            <w:pPr>
              <w:spacing w:line="360" w:lineRule="auto"/>
              <w:jc w:val="both"/>
            </w:pPr>
            <w:r w:rsidRPr="00950AF7">
              <w:t>EAC</w:t>
            </w:r>
          </w:p>
        </w:tc>
        <w:tc>
          <w:tcPr>
            <w:tcW w:w="0" w:type="auto"/>
            <w:hideMark/>
          </w:tcPr>
          <w:p w14:paraId="5044A179" w14:textId="77777777" w:rsidR="00950AF7" w:rsidRPr="00950AF7" w:rsidRDefault="00950AF7" w:rsidP="00950AF7">
            <w:pPr>
              <w:spacing w:line="360" w:lineRule="auto"/>
              <w:jc w:val="both"/>
            </w:pPr>
            <w:r w:rsidRPr="00950AF7">
              <w:t>Estimate at Completion</w:t>
            </w:r>
          </w:p>
        </w:tc>
      </w:tr>
      <w:tr w:rsidR="00950AF7" w:rsidRPr="00950AF7" w14:paraId="294EBB9B" w14:textId="77777777" w:rsidTr="00950AF7">
        <w:tc>
          <w:tcPr>
            <w:tcW w:w="0" w:type="auto"/>
            <w:hideMark/>
          </w:tcPr>
          <w:p w14:paraId="5CE14DA0" w14:textId="77777777" w:rsidR="00950AF7" w:rsidRPr="00950AF7" w:rsidRDefault="00950AF7" w:rsidP="00950AF7">
            <w:pPr>
              <w:spacing w:line="360" w:lineRule="auto"/>
              <w:jc w:val="both"/>
            </w:pPr>
            <w:r w:rsidRPr="00950AF7">
              <w:t>EPC</w:t>
            </w:r>
          </w:p>
        </w:tc>
        <w:tc>
          <w:tcPr>
            <w:tcW w:w="0" w:type="auto"/>
            <w:hideMark/>
          </w:tcPr>
          <w:p w14:paraId="4A6BEC22" w14:textId="77777777" w:rsidR="00950AF7" w:rsidRPr="00950AF7" w:rsidRDefault="00950AF7" w:rsidP="00950AF7">
            <w:pPr>
              <w:spacing w:line="360" w:lineRule="auto"/>
              <w:jc w:val="both"/>
            </w:pPr>
            <w:r w:rsidRPr="00950AF7">
              <w:t>Engineering, Procurement, and Construction</w:t>
            </w:r>
          </w:p>
        </w:tc>
      </w:tr>
      <w:tr w:rsidR="00950AF7" w:rsidRPr="00950AF7" w14:paraId="498BFEDA" w14:textId="77777777" w:rsidTr="00950AF7">
        <w:tc>
          <w:tcPr>
            <w:tcW w:w="0" w:type="auto"/>
            <w:hideMark/>
          </w:tcPr>
          <w:p w14:paraId="4C7FE853" w14:textId="77777777" w:rsidR="00950AF7" w:rsidRPr="00950AF7" w:rsidRDefault="00950AF7" w:rsidP="00950AF7">
            <w:pPr>
              <w:spacing w:line="360" w:lineRule="auto"/>
              <w:jc w:val="both"/>
            </w:pPr>
            <w:r w:rsidRPr="00950AF7">
              <w:t>ES</w:t>
            </w:r>
          </w:p>
        </w:tc>
        <w:tc>
          <w:tcPr>
            <w:tcW w:w="0" w:type="auto"/>
            <w:hideMark/>
          </w:tcPr>
          <w:p w14:paraId="620088C6" w14:textId="77777777" w:rsidR="00950AF7" w:rsidRPr="00950AF7" w:rsidRDefault="00950AF7" w:rsidP="00950AF7">
            <w:pPr>
              <w:spacing w:line="360" w:lineRule="auto"/>
              <w:jc w:val="both"/>
            </w:pPr>
            <w:r w:rsidRPr="00950AF7">
              <w:t>Earned Schedule</w:t>
            </w:r>
          </w:p>
        </w:tc>
      </w:tr>
      <w:tr w:rsidR="00950AF7" w:rsidRPr="00950AF7" w14:paraId="3D0136AE" w14:textId="77777777" w:rsidTr="00950AF7">
        <w:tc>
          <w:tcPr>
            <w:tcW w:w="0" w:type="auto"/>
            <w:hideMark/>
          </w:tcPr>
          <w:p w14:paraId="1ABCD2C1" w14:textId="77777777" w:rsidR="00950AF7" w:rsidRPr="00950AF7" w:rsidRDefault="00950AF7" w:rsidP="00950AF7">
            <w:pPr>
              <w:spacing w:line="360" w:lineRule="auto"/>
              <w:jc w:val="both"/>
            </w:pPr>
            <w:r w:rsidRPr="00950AF7">
              <w:t>ETC</w:t>
            </w:r>
          </w:p>
        </w:tc>
        <w:tc>
          <w:tcPr>
            <w:tcW w:w="0" w:type="auto"/>
            <w:hideMark/>
          </w:tcPr>
          <w:p w14:paraId="58EDFC9F" w14:textId="77777777" w:rsidR="00950AF7" w:rsidRPr="00950AF7" w:rsidRDefault="00950AF7" w:rsidP="00950AF7">
            <w:pPr>
              <w:spacing w:line="360" w:lineRule="auto"/>
              <w:jc w:val="both"/>
            </w:pPr>
            <w:r w:rsidRPr="00950AF7">
              <w:t>Estimate to Complete</w:t>
            </w:r>
          </w:p>
        </w:tc>
      </w:tr>
      <w:tr w:rsidR="00950AF7" w:rsidRPr="00950AF7" w14:paraId="2D8173DA" w14:textId="77777777" w:rsidTr="00950AF7">
        <w:tc>
          <w:tcPr>
            <w:tcW w:w="0" w:type="auto"/>
            <w:hideMark/>
          </w:tcPr>
          <w:p w14:paraId="729B7FA8" w14:textId="77777777" w:rsidR="00950AF7" w:rsidRPr="00950AF7" w:rsidRDefault="00950AF7" w:rsidP="00950AF7">
            <w:pPr>
              <w:spacing w:line="360" w:lineRule="auto"/>
              <w:jc w:val="both"/>
            </w:pPr>
            <w:r w:rsidRPr="00950AF7">
              <w:t>EV</w:t>
            </w:r>
          </w:p>
        </w:tc>
        <w:tc>
          <w:tcPr>
            <w:tcW w:w="0" w:type="auto"/>
            <w:hideMark/>
          </w:tcPr>
          <w:p w14:paraId="527D570D" w14:textId="77777777" w:rsidR="00950AF7" w:rsidRPr="00950AF7" w:rsidRDefault="00950AF7" w:rsidP="00950AF7">
            <w:pPr>
              <w:spacing w:line="360" w:lineRule="auto"/>
              <w:jc w:val="both"/>
            </w:pPr>
            <w:r w:rsidRPr="00950AF7">
              <w:t>Earned Value</w:t>
            </w:r>
          </w:p>
        </w:tc>
      </w:tr>
      <w:tr w:rsidR="00950AF7" w:rsidRPr="00950AF7" w14:paraId="0B3022AB" w14:textId="77777777" w:rsidTr="00950AF7">
        <w:tc>
          <w:tcPr>
            <w:tcW w:w="0" w:type="auto"/>
            <w:hideMark/>
          </w:tcPr>
          <w:p w14:paraId="5A463BC6" w14:textId="77777777" w:rsidR="00950AF7" w:rsidRPr="00950AF7" w:rsidRDefault="00950AF7" w:rsidP="00950AF7">
            <w:pPr>
              <w:spacing w:line="360" w:lineRule="auto"/>
              <w:jc w:val="both"/>
            </w:pPr>
            <w:r w:rsidRPr="00950AF7">
              <w:t>EVM</w:t>
            </w:r>
          </w:p>
        </w:tc>
        <w:tc>
          <w:tcPr>
            <w:tcW w:w="0" w:type="auto"/>
            <w:hideMark/>
          </w:tcPr>
          <w:p w14:paraId="53700301" w14:textId="77777777" w:rsidR="00950AF7" w:rsidRPr="00950AF7" w:rsidRDefault="00950AF7" w:rsidP="00950AF7">
            <w:pPr>
              <w:spacing w:line="360" w:lineRule="auto"/>
              <w:jc w:val="both"/>
            </w:pPr>
            <w:r w:rsidRPr="00950AF7">
              <w:t>Earned Value Management</w:t>
            </w:r>
          </w:p>
        </w:tc>
      </w:tr>
      <w:tr w:rsidR="00950AF7" w:rsidRPr="00950AF7" w14:paraId="28B63EA4" w14:textId="77777777" w:rsidTr="00950AF7">
        <w:tc>
          <w:tcPr>
            <w:tcW w:w="0" w:type="auto"/>
            <w:hideMark/>
          </w:tcPr>
          <w:p w14:paraId="50AEC3C6" w14:textId="77777777" w:rsidR="00950AF7" w:rsidRPr="00950AF7" w:rsidRDefault="00950AF7" w:rsidP="00950AF7">
            <w:pPr>
              <w:spacing w:line="360" w:lineRule="auto"/>
              <w:jc w:val="both"/>
            </w:pPr>
            <w:r w:rsidRPr="00950AF7">
              <w:t>MCS</w:t>
            </w:r>
          </w:p>
        </w:tc>
        <w:tc>
          <w:tcPr>
            <w:tcW w:w="0" w:type="auto"/>
            <w:hideMark/>
          </w:tcPr>
          <w:p w14:paraId="5B9971F9" w14:textId="77777777" w:rsidR="00950AF7" w:rsidRPr="00950AF7" w:rsidRDefault="00950AF7" w:rsidP="00950AF7">
            <w:pPr>
              <w:spacing w:line="360" w:lineRule="auto"/>
              <w:jc w:val="both"/>
            </w:pPr>
            <w:r w:rsidRPr="00950AF7">
              <w:t>Monte Carlo Simulation</w:t>
            </w:r>
          </w:p>
        </w:tc>
      </w:tr>
      <w:tr w:rsidR="00950AF7" w:rsidRPr="00950AF7" w14:paraId="63CA6407" w14:textId="77777777" w:rsidTr="00950AF7">
        <w:tc>
          <w:tcPr>
            <w:tcW w:w="0" w:type="auto"/>
            <w:hideMark/>
          </w:tcPr>
          <w:p w14:paraId="728DE39B" w14:textId="77777777" w:rsidR="00950AF7" w:rsidRPr="00950AF7" w:rsidRDefault="00950AF7" w:rsidP="00950AF7">
            <w:pPr>
              <w:spacing w:line="360" w:lineRule="auto"/>
              <w:jc w:val="both"/>
            </w:pPr>
            <w:r w:rsidRPr="00950AF7">
              <w:t>P50</w:t>
            </w:r>
          </w:p>
        </w:tc>
        <w:tc>
          <w:tcPr>
            <w:tcW w:w="0" w:type="auto"/>
            <w:hideMark/>
          </w:tcPr>
          <w:p w14:paraId="48619CD5" w14:textId="77777777" w:rsidR="00950AF7" w:rsidRPr="00950AF7" w:rsidRDefault="00950AF7" w:rsidP="00950AF7">
            <w:pPr>
              <w:spacing w:line="360" w:lineRule="auto"/>
              <w:jc w:val="both"/>
            </w:pPr>
            <w:r w:rsidRPr="00950AF7">
              <w:t>50th Percentile (Median Estimate)</w:t>
            </w:r>
          </w:p>
        </w:tc>
      </w:tr>
      <w:tr w:rsidR="00950AF7" w:rsidRPr="00950AF7" w14:paraId="1E460E02" w14:textId="77777777" w:rsidTr="00950AF7">
        <w:tc>
          <w:tcPr>
            <w:tcW w:w="0" w:type="auto"/>
            <w:hideMark/>
          </w:tcPr>
          <w:p w14:paraId="666C59C6" w14:textId="77777777" w:rsidR="00950AF7" w:rsidRPr="00950AF7" w:rsidRDefault="00950AF7" w:rsidP="00950AF7">
            <w:pPr>
              <w:spacing w:line="360" w:lineRule="auto"/>
              <w:jc w:val="both"/>
            </w:pPr>
            <w:r w:rsidRPr="00950AF7">
              <w:t>P80</w:t>
            </w:r>
          </w:p>
        </w:tc>
        <w:tc>
          <w:tcPr>
            <w:tcW w:w="0" w:type="auto"/>
            <w:hideMark/>
          </w:tcPr>
          <w:p w14:paraId="65BCFD15" w14:textId="77777777" w:rsidR="00950AF7" w:rsidRPr="00950AF7" w:rsidRDefault="00950AF7" w:rsidP="00950AF7">
            <w:pPr>
              <w:spacing w:line="360" w:lineRule="auto"/>
              <w:jc w:val="both"/>
            </w:pPr>
            <w:r w:rsidRPr="00950AF7">
              <w:t>80th Percentile Estimate</w:t>
            </w:r>
          </w:p>
        </w:tc>
      </w:tr>
      <w:tr w:rsidR="00950AF7" w:rsidRPr="00950AF7" w14:paraId="3A697B88" w14:textId="77777777" w:rsidTr="00950AF7">
        <w:tc>
          <w:tcPr>
            <w:tcW w:w="0" w:type="auto"/>
            <w:hideMark/>
          </w:tcPr>
          <w:p w14:paraId="0094347A" w14:textId="77777777" w:rsidR="00950AF7" w:rsidRPr="00950AF7" w:rsidRDefault="00950AF7" w:rsidP="00950AF7">
            <w:pPr>
              <w:spacing w:line="360" w:lineRule="auto"/>
              <w:jc w:val="both"/>
            </w:pPr>
            <w:r w:rsidRPr="00950AF7">
              <w:t>PDF</w:t>
            </w:r>
          </w:p>
        </w:tc>
        <w:tc>
          <w:tcPr>
            <w:tcW w:w="0" w:type="auto"/>
            <w:hideMark/>
          </w:tcPr>
          <w:p w14:paraId="50ADE650" w14:textId="77777777" w:rsidR="00950AF7" w:rsidRPr="00950AF7" w:rsidRDefault="00950AF7" w:rsidP="00950AF7">
            <w:pPr>
              <w:spacing w:line="360" w:lineRule="auto"/>
              <w:jc w:val="both"/>
            </w:pPr>
            <w:r w:rsidRPr="00950AF7">
              <w:t>Probability Density Function</w:t>
            </w:r>
          </w:p>
        </w:tc>
      </w:tr>
      <w:tr w:rsidR="00950AF7" w:rsidRPr="00950AF7" w14:paraId="1B91929F" w14:textId="77777777" w:rsidTr="00950AF7">
        <w:tc>
          <w:tcPr>
            <w:tcW w:w="0" w:type="auto"/>
            <w:hideMark/>
          </w:tcPr>
          <w:p w14:paraId="7BB4E7FE" w14:textId="77777777" w:rsidR="00950AF7" w:rsidRPr="00950AF7" w:rsidRDefault="00950AF7" w:rsidP="00950AF7">
            <w:pPr>
              <w:spacing w:line="360" w:lineRule="auto"/>
              <w:jc w:val="both"/>
            </w:pPr>
            <w:r w:rsidRPr="00950AF7">
              <w:t>PMBOK</w:t>
            </w:r>
          </w:p>
        </w:tc>
        <w:tc>
          <w:tcPr>
            <w:tcW w:w="0" w:type="auto"/>
            <w:hideMark/>
          </w:tcPr>
          <w:p w14:paraId="66350870" w14:textId="77777777" w:rsidR="00950AF7" w:rsidRPr="00950AF7" w:rsidRDefault="00950AF7" w:rsidP="00950AF7">
            <w:pPr>
              <w:spacing w:line="360" w:lineRule="auto"/>
              <w:jc w:val="both"/>
            </w:pPr>
            <w:r w:rsidRPr="00950AF7">
              <w:t>Project Management Body of Knowledge</w:t>
            </w:r>
          </w:p>
        </w:tc>
      </w:tr>
      <w:tr w:rsidR="00950AF7" w:rsidRPr="00950AF7" w14:paraId="79B53E22" w14:textId="77777777" w:rsidTr="00950AF7">
        <w:tc>
          <w:tcPr>
            <w:tcW w:w="0" w:type="auto"/>
            <w:hideMark/>
          </w:tcPr>
          <w:p w14:paraId="3AB2A0C0" w14:textId="77777777" w:rsidR="00950AF7" w:rsidRPr="00950AF7" w:rsidRDefault="00950AF7" w:rsidP="00950AF7">
            <w:pPr>
              <w:spacing w:line="360" w:lineRule="auto"/>
              <w:jc w:val="both"/>
            </w:pPr>
            <w:r w:rsidRPr="00950AF7">
              <w:t>PMI</w:t>
            </w:r>
          </w:p>
        </w:tc>
        <w:tc>
          <w:tcPr>
            <w:tcW w:w="0" w:type="auto"/>
            <w:hideMark/>
          </w:tcPr>
          <w:p w14:paraId="71CDA80F" w14:textId="77777777" w:rsidR="00950AF7" w:rsidRPr="00950AF7" w:rsidRDefault="00950AF7" w:rsidP="00950AF7">
            <w:pPr>
              <w:spacing w:line="360" w:lineRule="auto"/>
              <w:jc w:val="both"/>
            </w:pPr>
            <w:r w:rsidRPr="00950AF7">
              <w:t>Project Management Institute</w:t>
            </w:r>
          </w:p>
        </w:tc>
      </w:tr>
      <w:tr w:rsidR="00950AF7" w:rsidRPr="00950AF7" w14:paraId="167E2FFC" w14:textId="77777777" w:rsidTr="00950AF7">
        <w:tc>
          <w:tcPr>
            <w:tcW w:w="0" w:type="auto"/>
            <w:hideMark/>
          </w:tcPr>
          <w:p w14:paraId="391D93C4" w14:textId="77777777" w:rsidR="00950AF7" w:rsidRPr="00950AF7" w:rsidRDefault="00950AF7" w:rsidP="00950AF7">
            <w:pPr>
              <w:spacing w:line="360" w:lineRule="auto"/>
              <w:jc w:val="both"/>
            </w:pPr>
            <w:r w:rsidRPr="00950AF7">
              <w:t>PV</w:t>
            </w:r>
          </w:p>
        </w:tc>
        <w:tc>
          <w:tcPr>
            <w:tcW w:w="0" w:type="auto"/>
            <w:hideMark/>
          </w:tcPr>
          <w:p w14:paraId="3EBA91F5" w14:textId="77777777" w:rsidR="00950AF7" w:rsidRPr="00950AF7" w:rsidRDefault="00950AF7" w:rsidP="00950AF7">
            <w:pPr>
              <w:spacing w:line="360" w:lineRule="auto"/>
              <w:jc w:val="both"/>
            </w:pPr>
            <w:r w:rsidRPr="00950AF7">
              <w:t>Planned Value</w:t>
            </w:r>
          </w:p>
        </w:tc>
      </w:tr>
      <w:tr w:rsidR="00950AF7" w:rsidRPr="00950AF7" w14:paraId="1DD73B50" w14:textId="77777777" w:rsidTr="00950AF7">
        <w:tc>
          <w:tcPr>
            <w:tcW w:w="0" w:type="auto"/>
            <w:hideMark/>
          </w:tcPr>
          <w:p w14:paraId="02039112" w14:textId="77777777" w:rsidR="00950AF7" w:rsidRPr="00950AF7" w:rsidRDefault="00950AF7" w:rsidP="00950AF7">
            <w:pPr>
              <w:spacing w:line="360" w:lineRule="auto"/>
              <w:jc w:val="both"/>
            </w:pPr>
            <w:r w:rsidRPr="00950AF7">
              <w:t>SEVM</w:t>
            </w:r>
          </w:p>
        </w:tc>
        <w:tc>
          <w:tcPr>
            <w:tcW w:w="0" w:type="auto"/>
            <w:hideMark/>
          </w:tcPr>
          <w:p w14:paraId="5DE10DB2" w14:textId="77777777" w:rsidR="00950AF7" w:rsidRPr="00950AF7" w:rsidRDefault="00950AF7" w:rsidP="00950AF7">
            <w:pPr>
              <w:spacing w:line="360" w:lineRule="auto"/>
              <w:jc w:val="both"/>
            </w:pPr>
            <w:r w:rsidRPr="00950AF7">
              <w:t>Stochastic Earned Value Management</w:t>
            </w:r>
          </w:p>
        </w:tc>
      </w:tr>
      <w:tr w:rsidR="00950AF7" w:rsidRPr="00950AF7" w14:paraId="7E10B232" w14:textId="77777777" w:rsidTr="00950AF7">
        <w:tc>
          <w:tcPr>
            <w:tcW w:w="0" w:type="auto"/>
            <w:hideMark/>
          </w:tcPr>
          <w:p w14:paraId="650B27C7" w14:textId="77777777" w:rsidR="00950AF7" w:rsidRPr="00950AF7" w:rsidRDefault="00950AF7" w:rsidP="00950AF7">
            <w:pPr>
              <w:spacing w:line="360" w:lineRule="auto"/>
              <w:jc w:val="both"/>
            </w:pPr>
            <w:r w:rsidRPr="00950AF7">
              <w:t>SPI</w:t>
            </w:r>
          </w:p>
        </w:tc>
        <w:tc>
          <w:tcPr>
            <w:tcW w:w="0" w:type="auto"/>
            <w:hideMark/>
          </w:tcPr>
          <w:p w14:paraId="7801F493" w14:textId="77777777" w:rsidR="00950AF7" w:rsidRPr="00950AF7" w:rsidRDefault="00950AF7" w:rsidP="00950AF7">
            <w:pPr>
              <w:spacing w:line="360" w:lineRule="auto"/>
              <w:jc w:val="both"/>
            </w:pPr>
            <w:r w:rsidRPr="00950AF7">
              <w:t>Schedule Performance Index</w:t>
            </w:r>
          </w:p>
        </w:tc>
      </w:tr>
      <w:tr w:rsidR="00950AF7" w:rsidRPr="00950AF7" w14:paraId="17D7893C" w14:textId="77777777" w:rsidTr="00950AF7">
        <w:tc>
          <w:tcPr>
            <w:tcW w:w="0" w:type="auto"/>
            <w:hideMark/>
          </w:tcPr>
          <w:p w14:paraId="61911FAC" w14:textId="77777777" w:rsidR="00950AF7" w:rsidRPr="00950AF7" w:rsidRDefault="00950AF7" w:rsidP="00950AF7">
            <w:pPr>
              <w:spacing w:line="360" w:lineRule="auto"/>
              <w:jc w:val="both"/>
            </w:pPr>
            <w:r w:rsidRPr="00950AF7">
              <w:t>SV</w:t>
            </w:r>
          </w:p>
        </w:tc>
        <w:tc>
          <w:tcPr>
            <w:tcW w:w="0" w:type="auto"/>
            <w:hideMark/>
          </w:tcPr>
          <w:p w14:paraId="1778FEE6" w14:textId="77777777" w:rsidR="00950AF7" w:rsidRPr="00950AF7" w:rsidRDefault="00950AF7" w:rsidP="00950AF7">
            <w:pPr>
              <w:spacing w:line="360" w:lineRule="auto"/>
              <w:jc w:val="both"/>
            </w:pPr>
            <w:r w:rsidRPr="00950AF7">
              <w:t>Schedule Variance</w:t>
            </w:r>
          </w:p>
        </w:tc>
      </w:tr>
      <w:tr w:rsidR="00950AF7" w:rsidRPr="00950AF7" w14:paraId="5091E240" w14:textId="77777777" w:rsidTr="00950AF7">
        <w:tc>
          <w:tcPr>
            <w:tcW w:w="0" w:type="auto"/>
            <w:hideMark/>
          </w:tcPr>
          <w:p w14:paraId="42B887CE" w14:textId="77777777" w:rsidR="00950AF7" w:rsidRPr="00950AF7" w:rsidRDefault="00950AF7" w:rsidP="00950AF7">
            <w:pPr>
              <w:spacing w:line="360" w:lineRule="auto"/>
              <w:jc w:val="both"/>
            </w:pPr>
            <w:r w:rsidRPr="00950AF7">
              <w:t>TCPI</w:t>
            </w:r>
          </w:p>
        </w:tc>
        <w:tc>
          <w:tcPr>
            <w:tcW w:w="0" w:type="auto"/>
            <w:hideMark/>
          </w:tcPr>
          <w:p w14:paraId="3C3ECED7" w14:textId="77777777" w:rsidR="00950AF7" w:rsidRPr="00950AF7" w:rsidRDefault="00950AF7" w:rsidP="00950AF7">
            <w:pPr>
              <w:spacing w:line="360" w:lineRule="auto"/>
              <w:jc w:val="both"/>
            </w:pPr>
            <w:r w:rsidRPr="00950AF7">
              <w:t>To-Complete Performance Index</w:t>
            </w:r>
          </w:p>
        </w:tc>
      </w:tr>
      <w:tr w:rsidR="00950AF7" w:rsidRPr="00950AF7" w14:paraId="700A03EA" w14:textId="77777777" w:rsidTr="00950AF7">
        <w:tc>
          <w:tcPr>
            <w:tcW w:w="0" w:type="auto"/>
            <w:hideMark/>
          </w:tcPr>
          <w:p w14:paraId="07A18A6B" w14:textId="77777777" w:rsidR="00950AF7" w:rsidRPr="00950AF7" w:rsidRDefault="00950AF7" w:rsidP="00950AF7">
            <w:pPr>
              <w:spacing w:line="360" w:lineRule="auto"/>
              <w:jc w:val="both"/>
            </w:pPr>
            <w:r w:rsidRPr="00950AF7">
              <w:t>VAC</w:t>
            </w:r>
          </w:p>
        </w:tc>
        <w:tc>
          <w:tcPr>
            <w:tcW w:w="0" w:type="auto"/>
            <w:hideMark/>
          </w:tcPr>
          <w:p w14:paraId="5B47E431" w14:textId="77777777" w:rsidR="00950AF7" w:rsidRPr="00950AF7" w:rsidRDefault="00950AF7" w:rsidP="00950AF7">
            <w:pPr>
              <w:spacing w:line="360" w:lineRule="auto"/>
              <w:jc w:val="both"/>
            </w:pPr>
            <w:r w:rsidRPr="00950AF7">
              <w:t>Variance at Completion</w:t>
            </w:r>
          </w:p>
        </w:tc>
      </w:tr>
      <w:tr w:rsidR="00950AF7" w:rsidRPr="00950AF7" w14:paraId="651B2302" w14:textId="77777777" w:rsidTr="00950AF7">
        <w:tc>
          <w:tcPr>
            <w:tcW w:w="0" w:type="auto"/>
            <w:hideMark/>
          </w:tcPr>
          <w:p w14:paraId="4B451939" w14:textId="77777777" w:rsidR="00950AF7" w:rsidRPr="00950AF7" w:rsidRDefault="00950AF7" w:rsidP="00950AF7">
            <w:pPr>
              <w:spacing w:line="360" w:lineRule="auto"/>
              <w:jc w:val="both"/>
            </w:pPr>
            <w:r w:rsidRPr="00950AF7">
              <w:t>WBS</w:t>
            </w:r>
          </w:p>
        </w:tc>
        <w:tc>
          <w:tcPr>
            <w:tcW w:w="0" w:type="auto"/>
            <w:hideMark/>
          </w:tcPr>
          <w:p w14:paraId="34E58B3B" w14:textId="77777777" w:rsidR="00950AF7" w:rsidRPr="00950AF7" w:rsidRDefault="00950AF7" w:rsidP="00950AF7">
            <w:pPr>
              <w:spacing w:line="360" w:lineRule="auto"/>
              <w:jc w:val="both"/>
            </w:pPr>
            <w:r w:rsidRPr="00950AF7">
              <w:t>Work Breakdown Structure</w:t>
            </w:r>
          </w:p>
        </w:tc>
      </w:tr>
    </w:tbl>
    <w:p w14:paraId="5F22E2B6" w14:textId="77777777" w:rsidR="00EF2EB6" w:rsidRPr="00950AF7" w:rsidRDefault="00EF2EB6" w:rsidP="00950AF7">
      <w:pPr>
        <w:spacing w:line="360" w:lineRule="auto"/>
        <w:jc w:val="both"/>
        <w:sectPr w:rsidR="00EF2EB6" w:rsidRPr="00950AF7">
          <w:headerReference w:type="default" r:id="rId9"/>
          <w:footerReference w:type="default" r:id="rId10"/>
          <w:pgSz w:w="11906" w:h="16838"/>
          <w:pgMar w:top="1418" w:right="1418" w:bottom="1418" w:left="1418" w:header="708" w:footer="708" w:gutter="0"/>
          <w:cols w:space="720"/>
          <w:docGrid w:linePitch="360"/>
        </w:sectPr>
      </w:pPr>
    </w:p>
    <w:p w14:paraId="58604784" w14:textId="77777777" w:rsidR="00EF2EB6" w:rsidRPr="00950AF7" w:rsidRDefault="00000000" w:rsidP="00950AF7">
      <w:pPr>
        <w:pStyle w:val="Heading1"/>
        <w:numPr>
          <w:ilvl w:val="0"/>
          <w:numId w:val="0"/>
        </w:numPr>
        <w:ind w:left="432" w:hanging="432"/>
      </w:pPr>
      <w:bookmarkStart w:id="2" w:name="_Toc222201044"/>
      <w:r w:rsidRPr="00950AF7">
        <w:lastRenderedPageBreak/>
        <w:t>Abstract</w:t>
      </w:r>
      <w:bookmarkEnd w:id="2"/>
    </w:p>
    <w:p w14:paraId="248CA31A" w14:textId="67E965EE" w:rsidR="00EF2EB6" w:rsidRPr="00950AF7" w:rsidRDefault="00000000" w:rsidP="00950AF7">
      <w:pPr>
        <w:spacing w:after="120" w:line="360" w:lineRule="auto"/>
        <w:jc w:val="both"/>
      </w:pPr>
      <w:r w:rsidRPr="00950AF7">
        <w:t>Engineering, Procurement, and Construction (EPC) projects are characterized by their large scale, technical complexity, and exposure to significant cost and schedule uncertainties. Despite the widespread adoption of Earned Value Management (EVM) as a standard project performance measurement tool, the deterministic nature of traditional EVM methodologies has proven inadequate in capturing the inherent stochastic variability of EPC project environments. This thesis investigates the integration of Monte Carlo Simulation (MCS) with traditional EVM frameworks to develop a Stochastic Earned Value Management (SEVM) approach capable of providing probabilistic cost and schedule forecasts for EPC projects.</w:t>
      </w:r>
      <w:r w:rsidR="00950AF7">
        <w:t xml:space="preserve"> </w:t>
      </w:r>
      <w:r w:rsidRPr="00950AF7">
        <w:t>The research problem guiding this study is formulated as follows: How can Stochastic Earned Value Management enhance cost and schedule performance forecasting accuracy in EPC projects compared to traditional deterministic EVM methods? To address this problem, we conduct a comprehensive review of scientific literature spanning EVM theory, Monte Carlo simulation methodology, and existing SEVM research. Based on this review, we develop an analytical framework comprising five research hypotheses that examine the relationship between stochastic forecasting methods and forecast accuracy in EPC contexts.</w:t>
      </w:r>
      <w:r w:rsidR="00950AF7">
        <w:t xml:space="preserve"> </w:t>
      </w:r>
      <w:r w:rsidRPr="00950AF7">
        <w:t>The empirical study employs a quantitative research design utilizing Monte Carlo simulation applied to historical EPC project performance data. The simulation model generates probabilistic distributions for key performance indicators including Estimate at Completion (EAC) and project duration forecasts, providing confidence intervals at the 50th, 80th, and 90th percentile levels. The comparative analysis between SEVM and traditional deterministic EVM forecasts reveals the conditions under which stochastic methods offer superior forecasting accuracy.</w:t>
      </w:r>
      <w:r w:rsidR="00950AF7">
        <w:t xml:space="preserve"> </w:t>
      </w:r>
      <w:r w:rsidRPr="00950AF7">
        <w:t>The findings of this research contribute to both the academic literature on project performance measurement and the practical toolkit available to EPC project managers. The thesis concludes with concrete recommendations for implementing SEVM in EPC project control environments, including guidelines for simulation parameter selection, data requirements, and organizational integration strategies.</w:t>
      </w:r>
    </w:p>
    <w:p w14:paraId="4259E666" w14:textId="77777777" w:rsidR="00EF2EB6" w:rsidRPr="00950AF7" w:rsidRDefault="00EF2EB6" w:rsidP="00950AF7">
      <w:pPr>
        <w:spacing w:after="120" w:line="360" w:lineRule="auto"/>
        <w:jc w:val="both"/>
      </w:pPr>
    </w:p>
    <w:p w14:paraId="0DE8BB9D" w14:textId="77777777" w:rsidR="00EF2EB6" w:rsidRPr="00950AF7" w:rsidRDefault="00000000" w:rsidP="00950AF7">
      <w:pPr>
        <w:spacing w:after="120" w:line="360" w:lineRule="auto"/>
        <w:jc w:val="both"/>
      </w:pPr>
      <w:r w:rsidRPr="00950AF7">
        <w:rPr>
          <w:b/>
          <w:bCs/>
        </w:rPr>
        <w:t xml:space="preserve">Keywords: </w:t>
      </w:r>
      <w:r w:rsidRPr="00950AF7">
        <w:t>Earned Value Management, Stochastic Forecasting, Monte Carlo Simulation, EPC Projects, Cost Performance, Schedule Performance, Project Control, Probabilistic Estimation, Risk Management</w:t>
      </w:r>
    </w:p>
    <w:p w14:paraId="6637FC72" w14:textId="77777777" w:rsidR="00EF2EB6" w:rsidRPr="00950AF7" w:rsidRDefault="00EF2EB6" w:rsidP="00950AF7">
      <w:pPr>
        <w:spacing w:line="360" w:lineRule="auto"/>
        <w:jc w:val="both"/>
        <w:sectPr w:rsidR="00EF2EB6" w:rsidRPr="00950AF7">
          <w:headerReference w:type="default" r:id="rId11"/>
          <w:footerReference w:type="default" r:id="rId12"/>
          <w:pgSz w:w="11906" w:h="16838"/>
          <w:pgMar w:top="1418" w:right="1418" w:bottom="1418" w:left="1418" w:header="708" w:footer="708" w:gutter="0"/>
          <w:cols w:space="720"/>
          <w:docGrid w:linePitch="360"/>
        </w:sectPr>
      </w:pPr>
    </w:p>
    <w:p w14:paraId="068A4393" w14:textId="7FF84448" w:rsidR="00EF2EB6" w:rsidRPr="00950AF7" w:rsidRDefault="00000000" w:rsidP="00950AF7">
      <w:pPr>
        <w:pStyle w:val="Heading1"/>
      </w:pPr>
      <w:bookmarkStart w:id="3" w:name="_Toc222201047"/>
      <w:r w:rsidRPr="00950AF7">
        <w:lastRenderedPageBreak/>
        <w:t>General Introduction</w:t>
      </w:r>
      <w:bookmarkEnd w:id="3"/>
    </w:p>
    <w:p w14:paraId="014F1A46" w14:textId="77777777" w:rsidR="00EF2EB6" w:rsidRPr="00950AF7" w:rsidRDefault="00000000" w:rsidP="00950AF7">
      <w:pPr>
        <w:spacing w:after="120" w:line="360" w:lineRule="auto"/>
        <w:jc w:val="both"/>
      </w:pPr>
      <w:r w:rsidRPr="00950AF7">
        <w:t>The global construction industry, and more specifically the Engineering, Procurement, and Construction (EPC) sector, plays a pivotal role in the development of critical infrastructure ranging from petrochemical plants and power generation facilities to transportation networks and industrial complexes. According to the Project Management Institute (PMI, 2021), the EPC sector represents one of the most capital-intensive segments of the global economy, with individual project budgets frequently exceeding hundreds of millions of dollars. However, this sector is consistently plagued by significant cost overruns and schedule delays that threaten organizational profitability, stakeholder confidence, and project viability.</w:t>
      </w:r>
    </w:p>
    <w:p w14:paraId="52AFA7ED" w14:textId="77777777" w:rsidR="00EF2EB6" w:rsidRPr="00950AF7" w:rsidRDefault="00000000" w:rsidP="00950AF7">
      <w:pPr>
        <w:spacing w:after="120" w:line="360" w:lineRule="auto"/>
        <w:jc w:val="both"/>
      </w:pPr>
      <w:r w:rsidRPr="00950AF7">
        <w:t>Empirical evidence from industry reports paints a concerning picture. A comprehensive study by Merrow (2011) examining over 300 large industrial projects found that approximately 65% of EPC projects experienced cost overruns exceeding 25% of their initial budgets. Similarly, research conducted by Flyvbjerg, Holm, and Buhl (2003) across a sample of 258 transportation infrastructure projects demonstrated that nine out of ten projects suffered cost escalation, with an average overrun of 28%. In the oil and gas sector specifically, Ernst and Young (2014) reported that 64% of mega-projects faced cost overruns, while 73% experienced schedule delays. These statistics underscore a systemic challenge that transcends individual project failures and points to fundamental limitations in conventional project control methodologies.</w:t>
      </w:r>
    </w:p>
    <w:p w14:paraId="5BD66C95" w14:textId="05176495" w:rsidR="00EF2EB6" w:rsidRPr="00950AF7" w:rsidRDefault="00000000" w:rsidP="00950AF7">
      <w:pPr>
        <w:spacing w:after="120" w:line="360" w:lineRule="auto"/>
        <w:jc w:val="both"/>
      </w:pPr>
      <w:r w:rsidRPr="00950AF7">
        <w:t>The consequences of such performance deviations extend beyond mere financial losses. Cost and schedule overruns in EPC projects result in diminished return on investment for project owners, contractual disputes between stakeholders, reputational damage to engineering firms, and in extreme cases, project abandonment. The International Energy Agency (IEA, 2020) has highlighted that construction cost uncertainty represents one of the primary barriers to investment in new energy infrastructure, a concern that is particularly acute in the context of the global energy transition. Therefore, enhancing the accuracy and reliability of project performance forecasting is not merely an academic exercise but a pressing practical necessity for the EPC industry.</w:t>
      </w:r>
      <w:r w:rsidR="00950AF7">
        <w:t xml:space="preserve"> </w:t>
      </w:r>
      <w:r w:rsidRPr="00950AF7">
        <w:t xml:space="preserve">Within the domain of project management, Earned Value Management (EVM) has established itself as the predominant methodology for integrated cost and schedule performance measurement. Originally developed by the United States Department of Defense in the 1960s under the Cost/Schedule Control Systems Criteria (C/SCSC), EVM provides a systematic framework for comparing planned project progress against actual performance </w:t>
      </w:r>
      <w:r w:rsidRPr="00950AF7">
        <w:lastRenderedPageBreak/>
        <w:t>through three fundamental metrics: Planned Value (PV), Earned Value (EV), and Actual Cost (AC) (Fleming and Koppelman, 2010). From these core metrics, EVM derives performance indices, notably the Cost Performance Index (CPI) and the Schedule Performance Index (SPI), which enable project managers to assess cost and schedule efficiency at any point during project execution.</w:t>
      </w:r>
      <w:r w:rsidR="00950AF7">
        <w:t xml:space="preserve"> </w:t>
      </w:r>
      <w:r w:rsidRPr="00950AF7">
        <w:t>The predictive capability of EVM is embodied in its forecasting formulas, particularly the Estimate at Completion (EAC), which projects the total expected cost of the project based on current performance trends. The standard EAC formulations recommended by the PMI (2021) assume that future performance will follow patterns consistent with past performance, yielding deterministic point estimates. While this approach has proven valuable for providing early warning signals of project performance deviations, an extensive body of literature has identified critical limitations in the deterministic nature of traditional EVM forecasting.</w:t>
      </w:r>
      <w:r w:rsidR="00950AF7">
        <w:t xml:space="preserve"> </w:t>
      </w:r>
      <w:r w:rsidRPr="00950AF7">
        <w:t>Christensen (1998) was among the first to systematically document the accuracy of EVM-based forecasts, finding that while CPI tends to stabilize after approximately 20% project completion, the deterministic EAC formula does not account for the variance and uncertainty inherent in project performance data. Lipke (2003, 2006) further advanced this critique through the development of the Earned Schedule (ES) concept, which addressed the limitations of traditional SPI in the later stages of project execution. Subsequent research by Acebes, Pajares, Galán, and López-Paredes (2014, 2015) demonstrated that treating EVM performance indicators as stochastic variables rather than deterministic values significantly improves forecasting accuracy, particularly in complex project environments characterized by high uncertainty.</w:t>
      </w:r>
      <w:r w:rsidR="00950AF7">
        <w:t xml:space="preserve"> </w:t>
      </w:r>
      <w:r w:rsidRPr="00950AF7">
        <w:t>Despite these theoretical advances, the practical application of stochastic approaches to earned value management remains limited in the EPC industry. Many EPC organizations continue to rely exclusively on deterministic EVM forecasts, producing single-point estimates that fail to communicate the range of possible outcomes or the probability of achieving specific cost and schedule targets (Batselier and Vanhoucke, 2017). This gap between the state of academic research and industry practice constitutes the central problem addressed by this thesis.</w:t>
      </w:r>
    </w:p>
    <w:p w14:paraId="4C10805F" w14:textId="77777777" w:rsidR="00EF2EB6" w:rsidRPr="00950AF7" w:rsidRDefault="00EF2EB6" w:rsidP="00950AF7">
      <w:pPr>
        <w:spacing w:after="120" w:line="360" w:lineRule="auto"/>
        <w:jc w:val="both"/>
      </w:pPr>
    </w:p>
    <w:p w14:paraId="30199A19" w14:textId="77777777" w:rsidR="00EF2EB6" w:rsidRPr="00950AF7" w:rsidRDefault="00000000" w:rsidP="00950AF7">
      <w:pPr>
        <w:spacing w:after="120" w:line="360" w:lineRule="auto"/>
        <w:jc w:val="both"/>
      </w:pPr>
      <w:r w:rsidRPr="00950AF7">
        <w:rPr>
          <w:b/>
          <w:bCs/>
        </w:rPr>
        <w:t xml:space="preserve">Research Problem: </w:t>
      </w:r>
      <w:r w:rsidRPr="00950AF7">
        <w:rPr>
          <w:i/>
          <w:iCs/>
        </w:rPr>
        <w:t>How can Stochastic Earned Value Management (SEVM) enhance cost and schedule performance forecasting accuracy in EPC projects compared to traditional deterministic EVM methods?</w:t>
      </w:r>
    </w:p>
    <w:p w14:paraId="613985E6" w14:textId="77777777" w:rsidR="00EF2EB6" w:rsidRPr="00950AF7" w:rsidRDefault="00EF2EB6" w:rsidP="00950AF7">
      <w:pPr>
        <w:spacing w:after="120" w:line="360" w:lineRule="auto"/>
        <w:jc w:val="both"/>
      </w:pPr>
    </w:p>
    <w:p w14:paraId="76D2BA11" w14:textId="77777777" w:rsidR="00EF2EB6" w:rsidRPr="00950AF7" w:rsidRDefault="00000000" w:rsidP="00950AF7">
      <w:pPr>
        <w:spacing w:after="120" w:line="360" w:lineRule="auto"/>
        <w:jc w:val="both"/>
      </w:pPr>
      <w:r w:rsidRPr="00950AF7">
        <w:lastRenderedPageBreak/>
        <w:t>To address this research problem comprehensively, we formulate the following research questions:</w:t>
      </w:r>
    </w:p>
    <w:p w14:paraId="0D392580" w14:textId="77777777" w:rsidR="00EF2EB6" w:rsidRPr="00950AF7" w:rsidRDefault="00EF2EB6" w:rsidP="00950AF7">
      <w:pPr>
        <w:spacing w:after="120" w:line="360" w:lineRule="auto"/>
        <w:jc w:val="both"/>
      </w:pPr>
    </w:p>
    <w:p w14:paraId="646054C6" w14:textId="77777777" w:rsidR="00EF2EB6" w:rsidRPr="00950AF7" w:rsidRDefault="00000000" w:rsidP="00950AF7">
      <w:pPr>
        <w:spacing w:after="120" w:line="360" w:lineRule="auto"/>
        <w:jc w:val="both"/>
      </w:pPr>
      <w:r w:rsidRPr="00950AF7">
        <w:rPr>
          <w:b/>
          <w:bCs/>
        </w:rPr>
        <w:t xml:space="preserve">Research Question 1 (RQ1): </w:t>
      </w:r>
      <w:r w:rsidRPr="00950AF7">
        <w:t>What are the principal limitations of traditional deterministic EVM in forecasting cost and schedule performance in EPC projects?</w:t>
      </w:r>
    </w:p>
    <w:p w14:paraId="5EA10F63" w14:textId="77777777" w:rsidR="00EF2EB6" w:rsidRPr="00950AF7" w:rsidRDefault="00000000" w:rsidP="00950AF7">
      <w:pPr>
        <w:spacing w:after="120" w:line="360" w:lineRule="auto"/>
        <w:jc w:val="both"/>
      </w:pPr>
      <w:r w:rsidRPr="00950AF7">
        <w:rPr>
          <w:b/>
          <w:bCs/>
        </w:rPr>
        <w:t xml:space="preserve">Research Question 2 (RQ2): </w:t>
      </w:r>
      <w:r w:rsidRPr="00950AF7">
        <w:t>How can Monte Carlo simulation be integrated with the EVM framework to produce probabilistic cost and schedule forecasts?</w:t>
      </w:r>
    </w:p>
    <w:p w14:paraId="63D83289" w14:textId="77777777" w:rsidR="00EF2EB6" w:rsidRPr="00950AF7" w:rsidRDefault="00000000" w:rsidP="00950AF7">
      <w:pPr>
        <w:spacing w:after="120" w:line="360" w:lineRule="auto"/>
        <w:jc w:val="both"/>
      </w:pPr>
      <w:r w:rsidRPr="00950AF7">
        <w:rPr>
          <w:b/>
          <w:bCs/>
        </w:rPr>
        <w:t xml:space="preserve">Research Question 3 (RQ3): </w:t>
      </w:r>
      <w:r w:rsidRPr="00950AF7">
        <w:t>What is the comparative forecasting accuracy of SEVM versus traditional deterministic EVM when applied to EPC project performance data?</w:t>
      </w:r>
    </w:p>
    <w:p w14:paraId="7817AF59" w14:textId="77777777" w:rsidR="00EF2EB6" w:rsidRPr="00950AF7" w:rsidRDefault="00000000" w:rsidP="00950AF7">
      <w:pPr>
        <w:spacing w:after="120" w:line="360" w:lineRule="auto"/>
        <w:jc w:val="both"/>
      </w:pPr>
      <w:r w:rsidRPr="00950AF7">
        <w:rPr>
          <w:b/>
          <w:bCs/>
        </w:rPr>
        <w:t xml:space="preserve">Research Question 4 (RQ4): </w:t>
      </w:r>
      <w:r w:rsidRPr="00950AF7">
        <w:t>What are the critical factors influencing the reliability of SEVM-based forecasts in EPC project environments?</w:t>
      </w:r>
    </w:p>
    <w:p w14:paraId="3FAED3A8" w14:textId="77777777" w:rsidR="00EF2EB6" w:rsidRPr="00950AF7" w:rsidRDefault="00000000" w:rsidP="00950AF7">
      <w:pPr>
        <w:spacing w:after="120" w:line="360" w:lineRule="auto"/>
        <w:jc w:val="both"/>
      </w:pPr>
      <w:r w:rsidRPr="00950AF7">
        <w:rPr>
          <w:b/>
          <w:bCs/>
        </w:rPr>
        <w:t xml:space="preserve">Research Question 5 (RQ5): </w:t>
      </w:r>
      <w:r w:rsidRPr="00950AF7">
        <w:t>What practical recommendations can be formulated for the implementation of SEVM in EPC project control systems?</w:t>
      </w:r>
    </w:p>
    <w:p w14:paraId="30FAA448" w14:textId="77777777" w:rsidR="00EF2EB6" w:rsidRPr="00950AF7" w:rsidRDefault="00EF2EB6" w:rsidP="00950AF7">
      <w:pPr>
        <w:spacing w:after="120" w:line="360" w:lineRule="auto"/>
        <w:jc w:val="both"/>
      </w:pPr>
    </w:p>
    <w:p w14:paraId="1A7D263D" w14:textId="77777777" w:rsidR="00EF2EB6" w:rsidRPr="00950AF7" w:rsidRDefault="00000000" w:rsidP="00950AF7">
      <w:pPr>
        <w:spacing w:after="120" w:line="360" w:lineRule="auto"/>
        <w:jc w:val="both"/>
      </w:pPr>
      <w:r w:rsidRPr="00950AF7">
        <w:t>This thesis is structured in two principal parts, preceded by this general introduction and followed by a general conclusion. Part 1 is dedicated to the review of scientific literature and comprises two chapters. Chapter 1 presents a comprehensive review of the existing academic works on Earned Value Management, Monte Carlo simulation, and the emerging field of Stochastic Earned Value Management. Chapter 2 develops the analytical framework and formulates the research hypotheses that guide our empirical investigation. Part 2 is dedicated to the empirical study and also comprises two chapters. Chapter 3 describes the data collection and analysis methodologies employed, detailing the Monte Carlo simulation model design and the EPC project data utilized. Chapter 4 presents the obtained results, discusses their implications in light of the existing literature, and formulates concrete managerial recommendations for EPC organizations seeking to adopt SEVM methodologies.</w:t>
      </w:r>
    </w:p>
    <w:p w14:paraId="4E30C1F5" w14:textId="77777777" w:rsidR="00EF2EB6" w:rsidRPr="00950AF7" w:rsidRDefault="00000000" w:rsidP="00950AF7">
      <w:pPr>
        <w:spacing w:line="360" w:lineRule="auto"/>
        <w:jc w:val="both"/>
      </w:pPr>
      <w:r w:rsidRPr="00950AF7">
        <w:br w:type="page"/>
      </w:r>
    </w:p>
    <w:p w14:paraId="3BE54B87" w14:textId="092947C0" w:rsidR="00EF2EB6" w:rsidRPr="00950AF7" w:rsidRDefault="00000000" w:rsidP="00950AF7">
      <w:pPr>
        <w:pStyle w:val="Heading1"/>
        <w:spacing w:after="120"/>
        <w:jc w:val="both"/>
        <w:rPr>
          <w:color w:val="auto"/>
          <w:sz w:val="24"/>
          <w:szCs w:val="24"/>
        </w:rPr>
      </w:pPr>
      <w:bookmarkStart w:id="4" w:name="_Toc222201048"/>
      <w:r w:rsidRPr="00950AF7">
        <w:rPr>
          <w:color w:val="auto"/>
          <w:sz w:val="24"/>
          <w:szCs w:val="24"/>
        </w:rPr>
        <w:lastRenderedPageBreak/>
        <w:t>PART 1: LITERATURE REVIEW</w:t>
      </w:r>
      <w:bookmarkEnd w:id="4"/>
    </w:p>
    <w:p w14:paraId="668F3C6D" w14:textId="77777777" w:rsidR="00EF2EB6" w:rsidRPr="00950AF7" w:rsidRDefault="00000000" w:rsidP="00950AF7">
      <w:pPr>
        <w:pStyle w:val="Heading2"/>
        <w:spacing w:after="120"/>
        <w:jc w:val="both"/>
        <w:rPr>
          <w:color w:val="auto"/>
          <w:sz w:val="24"/>
          <w:szCs w:val="24"/>
        </w:rPr>
      </w:pPr>
      <w:bookmarkStart w:id="5" w:name="_Toc222201049"/>
      <w:r w:rsidRPr="00950AF7">
        <w:rPr>
          <w:color w:val="auto"/>
          <w:sz w:val="24"/>
          <w:szCs w:val="24"/>
        </w:rPr>
        <w:t>Introduction to Part 1</w:t>
      </w:r>
      <w:bookmarkEnd w:id="5"/>
    </w:p>
    <w:p w14:paraId="200E1F41" w14:textId="77777777" w:rsidR="00EF2EB6" w:rsidRPr="00950AF7" w:rsidRDefault="00000000" w:rsidP="00950AF7">
      <w:pPr>
        <w:spacing w:after="120" w:line="360" w:lineRule="auto"/>
        <w:jc w:val="both"/>
      </w:pPr>
      <w:r w:rsidRPr="00950AF7">
        <w:t>The first part of this thesis is dedicated to surveying the existing scientific literature relevant to our research problem. The objective is to build a robust analytical framework grounded in established theories and empirical findings that will guide our subsequent empirical investigation. This literature review serves a dual purpose: first, to define and contextualize the key concepts underpinning our research, namely Earned Value Management, Monte Carlo simulation, and Stochastic Earned Value Management; and second, to identify the theoretical gaps and research opportunities that justify the contribution of this thesis.</w:t>
      </w:r>
    </w:p>
    <w:p w14:paraId="08B065B7" w14:textId="39C304B7" w:rsidR="00EF2EB6" w:rsidRPr="00950AF7" w:rsidRDefault="00000000" w:rsidP="00950AF7">
      <w:pPr>
        <w:spacing w:after="120" w:line="360" w:lineRule="auto"/>
        <w:jc w:val="both"/>
      </w:pPr>
      <w:r w:rsidRPr="00950AF7">
        <w:t>Chapter 1 presents a comprehensive review of the scientific literature organized around four major themes: the foundations and evolution of Earned Value Management, the documented limitations of deterministic EVM approaches, the theoretical and practical applications of Monte Carlo simulation in project management, and the emerging body of research on Stochastic Earned Value Management. Chapter 2 then synthesizes these theoretical insights into a conceptual framework and develops the set of research hypotheses that will be tested in the empirical study presented in Part 2.</w:t>
      </w:r>
    </w:p>
    <w:p w14:paraId="723AC783" w14:textId="77777777" w:rsidR="00EF2EB6" w:rsidRPr="00950AF7" w:rsidRDefault="00000000" w:rsidP="00950AF7">
      <w:pPr>
        <w:pStyle w:val="Heading1"/>
        <w:spacing w:after="120"/>
        <w:jc w:val="both"/>
        <w:rPr>
          <w:color w:val="auto"/>
          <w:sz w:val="24"/>
          <w:szCs w:val="24"/>
        </w:rPr>
      </w:pPr>
      <w:bookmarkStart w:id="6" w:name="_Toc222201050"/>
      <w:r w:rsidRPr="00950AF7">
        <w:rPr>
          <w:color w:val="auto"/>
          <w:sz w:val="24"/>
          <w:szCs w:val="24"/>
        </w:rPr>
        <w:t>Chapter 1: Review of Scientific Literature</w:t>
      </w:r>
      <w:bookmarkEnd w:id="6"/>
    </w:p>
    <w:p w14:paraId="5B6A6003" w14:textId="77777777" w:rsidR="00EF2EB6" w:rsidRPr="00950AF7" w:rsidRDefault="00000000" w:rsidP="00950AF7">
      <w:pPr>
        <w:pStyle w:val="Heading2"/>
        <w:spacing w:after="120"/>
        <w:jc w:val="both"/>
        <w:rPr>
          <w:color w:val="auto"/>
          <w:sz w:val="24"/>
          <w:szCs w:val="24"/>
        </w:rPr>
      </w:pPr>
      <w:bookmarkStart w:id="7" w:name="_Toc222201051"/>
      <w:r w:rsidRPr="00950AF7">
        <w:rPr>
          <w:color w:val="auto"/>
          <w:sz w:val="24"/>
          <w:szCs w:val="24"/>
        </w:rPr>
        <w:t>Introduction</w:t>
      </w:r>
      <w:bookmarkEnd w:id="7"/>
    </w:p>
    <w:p w14:paraId="5A617939" w14:textId="0FB25217" w:rsidR="00EF2EB6" w:rsidRPr="00950AF7" w:rsidRDefault="00000000" w:rsidP="00950AF7">
      <w:pPr>
        <w:spacing w:after="120" w:line="360" w:lineRule="auto"/>
        <w:jc w:val="both"/>
      </w:pPr>
      <w:r w:rsidRPr="00950AF7">
        <w:t>This chapter presents a structured review of the scientific literature pertaining to project performance measurement, forecasting methodologies, and stochastic approaches to Earned Value Management. We begin by examining the theoretical foundations of EVM and its historical development, before analyzing the documented limitations of deterministic forecasting approaches. We then explore the principles and applications of Monte Carlo simulation in the project management domain, and finally, we review the emerging research on Stochastic Earned Value Management that forms the theoretical basis for our investigation.</w:t>
      </w:r>
    </w:p>
    <w:p w14:paraId="546AECB5" w14:textId="4B2466EA" w:rsidR="00EF2EB6" w:rsidRPr="00950AF7" w:rsidRDefault="00000000" w:rsidP="00950AF7">
      <w:pPr>
        <w:pStyle w:val="Heading2"/>
        <w:spacing w:after="120"/>
        <w:jc w:val="both"/>
        <w:rPr>
          <w:color w:val="auto"/>
          <w:sz w:val="24"/>
          <w:szCs w:val="24"/>
        </w:rPr>
      </w:pPr>
      <w:bookmarkStart w:id="8" w:name="_Toc222201052"/>
      <w:r w:rsidRPr="00950AF7">
        <w:rPr>
          <w:color w:val="auto"/>
          <w:sz w:val="24"/>
          <w:szCs w:val="24"/>
        </w:rPr>
        <w:t>1.1 Earned Value Management: Foundations and Evolution</w:t>
      </w:r>
      <w:bookmarkEnd w:id="8"/>
    </w:p>
    <w:p w14:paraId="2507D032" w14:textId="77777777" w:rsidR="00EF2EB6" w:rsidRPr="00950AF7" w:rsidRDefault="00000000" w:rsidP="00950AF7">
      <w:pPr>
        <w:pStyle w:val="Heading3"/>
        <w:jc w:val="both"/>
        <w:rPr>
          <w:color w:val="auto"/>
          <w:sz w:val="24"/>
          <w:szCs w:val="24"/>
        </w:rPr>
      </w:pPr>
      <w:bookmarkStart w:id="9" w:name="_Toc222201053"/>
      <w:r w:rsidRPr="00950AF7">
        <w:rPr>
          <w:color w:val="auto"/>
          <w:sz w:val="24"/>
          <w:szCs w:val="24"/>
        </w:rPr>
        <w:t>1.1.1 Historical Development of EVM</w:t>
      </w:r>
      <w:bookmarkEnd w:id="9"/>
    </w:p>
    <w:p w14:paraId="37CACBFB" w14:textId="77777777" w:rsidR="00EF2EB6" w:rsidRPr="00950AF7" w:rsidRDefault="00000000" w:rsidP="00950AF7">
      <w:pPr>
        <w:spacing w:after="120" w:line="360" w:lineRule="auto"/>
        <w:jc w:val="both"/>
      </w:pPr>
      <w:r w:rsidRPr="00950AF7">
        <w:t xml:space="preserve">Earned Value Management traces its origins to the industrial engineering practices of the early twentieth century, when practitioners first recognized the need for integrated cost and schedule </w:t>
      </w:r>
      <w:r w:rsidRPr="00950AF7">
        <w:lastRenderedPageBreak/>
        <w:t>performance measurement (Anbari, 2003). The formal development of EVM as a standardized project management methodology began in the 1960s within the United States Department of Defense (DoD), which established the Cost/Schedule Control Systems Criteria (C/SCSC) as part of its acquisition management framework. These criteria mandated that defense contractors implement integrated management systems capable of objectively measuring work progress against planned baselines (Fleming and Koppelman, 2010).</w:t>
      </w:r>
    </w:p>
    <w:p w14:paraId="7A003066" w14:textId="77777777" w:rsidR="00EF2EB6" w:rsidRPr="00950AF7" w:rsidRDefault="00000000" w:rsidP="00950AF7">
      <w:pPr>
        <w:spacing w:after="120" w:line="360" w:lineRule="auto"/>
        <w:jc w:val="both"/>
      </w:pPr>
      <w:r w:rsidRPr="00950AF7">
        <w:t>The evolution of EVM from a defense-specific requirement to a widely recognized project management tool occurred gradually over several decades. In 1998, the American National Standards Institute (ANSI) adopted the Earned Value Management Systems (EVMS) guidelines as ANSI/EIA-748, marking a significant step toward standardization (Christensen, 1998). The Project Management Institute (PMI) subsequently incorporated EVM as a core component of its Project Management Body of Knowledge (PMBOK Guide), recommending its application across all project types and industries. This standardization effort culminated in the publication of the PMI Practice Standard for Earned Value Management, which provided detailed guidance on EVM implementation and application (PMI, 2011).</w:t>
      </w:r>
    </w:p>
    <w:p w14:paraId="65BA5FDC" w14:textId="4E8D0E5A" w:rsidR="00EF2EB6" w:rsidRPr="00950AF7" w:rsidRDefault="00000000" w:rsidP="00950AF7">
      <w:pPr>
        <w:spacing w:after="120" w:line="360" w:lineRule="auto"/>
        <w:jc w:val="both"/>
      </w:pPr>
      <w:r w:rsidRPr="00950AF7">
        <w:t>In the construction and EPC sectors, EVM adoption accelerated during the 2000s as project owners and engineering firms sought more rigorous methods for monitoring project performance. Kim, Wells, and Duffey (2003) documented the increasing use of EVM in construction project management, noting that its integration of cost and schedule data within a single framework provided project managers with a more comprehensive performance picture than traditional cost accounting or schedule tracking alone. De Marco and Narbaev (2013) further observed that EVM had become the de facto standard for project performance measurement in the oil and gas sector, although implementation practices varied significantly across organizations.</w:t>
      </w:r>
    </w:p>
    <w:p w14:paraId="39FC5A75" w14:textId="77777777" w:rsidR="00EF2EB6" w:rsidRPr="00950AF7" w:rsidRDefault="00000000" w:rsidP="00950AF7">
      <w:pPr>
        <w:pStyle w:val="Heading3"/>
        <w:jc w:val="both"/>
        <w:rPr>
          <w:color w:val="auto"/>
          <w:sz w:val="24"/>
          <w:szCs w:val="24"/>
        </w:rPr>
      </w:pPr>
      <w:bookmarkStart w:id="10" w:name="_Toc222201054"/>
      <w:r w:rsidRPr="00950AF7">
        <w:rPr>
          <w:color w:val="auto"/>
          <w:sz w:val="24"/>
          <w:szCs w:val="24"/>
        </w:rPr>
        <w:t>1.1.2 Core EVM Metrics and Formulas</w:t>
      </w:r>
      <w:bookmarkEnd w:id="10"/>
    </w:p>
    <w:p w14:paraId="212704AF" w14:textId="77777777" w:rsidR="00EF2EB6" w:rsidRPr="00950AF7" w:rsidRDefault="00000000" w:rsidP="00950AF7">
      <w:pPr>
        <w:spacing w:after="120" w:line="360" w:lineRule="auto"/>
        <w:jc w:val="both"/>
      </w:pPr>
      <w:r w:rsidRPr="00950AF7">
        <w:t>The EVM framework is built upon three fundamental measurement parameters that together enable integrated performance assessment (Fleming and Koppelman, 2010):</w:t>
      </w:r>
    </w:p>
    <w:p w14:paraId="70EB80AB" w14:textId="77777777" w:rsidR="00EF2EB6" w:rsidRPr="00950AF7" w:rsidRDefault="00000000" w:rsidP="00950AF7">
      <w:pPr>
        <w:spacing w:after="120" w:line="360" w:lineRule="auto"/>
        <w:jc w:val="both"/>
      </w:pPr>
      <w:r w:rsidRPr="00950AF7">
        <w:rPr>
          <w:b/>
          <w:bCs/>
        </w:rPr>
        <w:t>Planned Value (PV)</w:t>
      </w:r>
      <w:r w:rsidRPr="00950AF7">
        <w:t>, also known as Budgeted Cost of Work Scheduled (BCWS), represents the authorized budget assigned to the work scheduled to be accomplished by a given date. PV establishes the cost baseline against which actual performance is measured and is derived from the project schedule and the budget allocation across the Work Breakdown Structure (WBS).</w:t>
      </w:r>
    </w:p>
    <w:p w14:paraId="15B40AD2" w14:textId="77777777" w:rsidR="00EF2EB6" w:rsidRPr="00950AF7" w:rsidRDefault="00000000" w:rsidP="00950AF7">
      <w:pPr>
        <w:spacing w:after="120" w:line="360" w:lineRule="auto"/>
        <w:jc w:val="both"/>
      </w:pPr>
      <w:r w:rsidRPr="00950AF7">
        <w:rPr>
          <w:b/>
          <w:bCs/>
        </w:rPr>
        <w:lastRenderedPageBreak/>
        <w:t>Earned Value (EV)</w:t>
      </w:r>
      <w:r w:rsidRPr="00950AF7">
        <w:t>, also known as Budgeted Cost of Work Performed (BCWP), represents the value of the work actually completed, measured in terms of the budget authorized for that work. EV provides an objective measure of project progress by translating physical work accomplishment into monetary terms, thereby enabling direct comparison with both planned expenditure and actual cost.</w:t>
      </w:r>
    </w:p>
    <w:p w14:paraId="370FE6F1" w14:textId="77777777" w:rsidR="00EF2EB6" w:rsidRPr="00950AF7" w:rsidRDefault="00000000" w:rsidP="00950AF7">
      <w:pPr>
        <w:spacing w:after="120" w:line="360" w:lineRule="auto"/>
        <w:jc w:val="both"/>
      </w:pPr>
      <w:r w:rsidRPr="00950AF7">
        <w:rPr>
          <w:b/>
          <w:bCs/>
        </w:rPr>
        <w:t>Actual Cost (AC)</w:t>
      </w:r>
      <w:r w:rsidRPr="00950AF7">
        <w:t>, also known as Actual Cost of Work Performed (ACWP), represents the total cost incurred for the work actually performed during a given period. AC captures all direct and indirect costs associated with project execution, including labor, materials, equipment, and overhead.</w:t>
      </w:r>
    </w:p>
    <w:p w14:paraId="781B7E6B" w14:textId="77777777" w:rsidR="00EF2EB6" w:rsidRPr="00950AF7" w:rsidRDefault="00000000" w:rsidP="00950AF7">
      <w:pPr>
        <w:spacing w:after="120" w:line="360" w:lineRule="auto"/>
        <w:jc w:val="both"/>
      </w:pPr>
      <w:r w:rsidRPr="00950AF7">
        <w:t>From these three parameters, EVM derives a set of variance and performance indicators that provide insight into project cost and schedule efficiency (Anbari, 2003):</w:t>
      </w:r>
    </w:p>
    <w:p w14:paraId="51CDCB07" w14:textId="77777777" w:rsidR="00EF2EB6" w:rsidRPr="00950AF7" w:rsidRDefault="00000000" w:rsidP="00950AF7">
      <w:pPr>
        <w:spacing w:after="120" w:line="360" w:lineRule="auto"/>
        <w:jc w:val="both"/>
      </w:pPr>
      <w:r w:rsidRPr="00950AF7">
        <w:rPr>
          <w:b/>
          <w:bCs/>
        </w:rPr>
        <w:t xml:space="preserve">Cost Variance (CV) = EV - AC. </w:t>
      </w:r>
      <w:r w:rsidRPr="00950AF7">
        <w:t>A positive CV indicates that the project is under budget, while a negative CV indicates a cost overrun.</w:t>
      </w:r>
    </w:p>
    <w:p w14:paraId="5EF2A4A2" w14:textId="77777777" w:rsidR="00EF2EB6" w:rsidRPr="00950AF7" w:rsidRDefault="00000000" w:rsidP="00950AF7">
      <w:pPr>
        <w:spacing w:after="120" w:line="360" w:lineRule="auto"/>
        <w:jc w:val="both"/>
      </w:pPr>
      <w:r w:rsidRPr="00950AF7">
        <w:rPr>
          <w:b/>
          <w:bCs/>
        </w:rPr>
        <w:t xml:space="preserve">Schedule Variance (SV) = EV - PV. </w:t>
      </w:r>
      <w:r w:rsidRPr="00950AF7">
        <w:t>A positive SV indicates the project is ahead of schedule, while a negative SV indicates a schedule delay.</w:t>
      </w:r>
    </w:p>
    <w:p w14:paraId="1DA2B392" w14:textId="77777777" w:rsidR="00EF2EB6" w:rsidRPr="00950AF7" w:rsidRDefault="00000000" w:rsidP="00950AF7">
      <w:pPr>
        <w:spacing w:after="120" w:line="360" w:lineRule="auto"/>
        <w:jc w:val="both"/>
      </w:pPr>
      <w:r w:rsidRPr="00950AF7">
        <w:rPr>
          <w:b/>
          <w:bCs/>
        </w:rPr>
        <w:t xml:space="preserve">Cost Performance Index (CPI) = EV / AC. </w:t>
      </w:r>
      <w:r w:rsidRPr="00950AF7">
        <w:t>CPI values greater than 1.0 indicate cost efficiency, meaning more value is being earned per unit of cost than planned. Values below 1.0 indicate cost inefficiency.</w:t>
      </w:r>
    </w:p>
    <w:p w14:paraId="08E9E47D" w14:textId="146C6964" w:rsidR="00EF2EB6" w:rsidRPr="00950AF7" w:rsidRDefault="00000000" w:rsidP="00950AF7">
      <w:pPr>
        <w:spacing w:after="120" w:line="360" w:lineRule="auto"/>
        <w:jc w:val="both"/>
      </w:pPr>
      <w:r w:rsidRPr="00950AF7">
        <w:rPr>
          <w:b/>
          <w:bCs/>
        </w:rPr>
        <w:t xml:space="preserve">Schedule Performance Index (SPI) = EV / PV. </w:t>
      </w:r>
      <w:r w:rsidRPr="00950AF7">
        <w:t>SPI values greater than 1.0 indicate the project is progressing faster than planned, while values below 1.0 indicate schedule delays.</w:t>
      </w:r>
    </w:p>
    <w:p w14:paraId="0FEF5805" w14:textId="77777777" w:rsidR="00EF2EB6" w:rsidRPr="00950AF7" w:rsidRDefault="00000000" w:rsidP="00950AF7">
      <w:pPr>
        <w:pStyle w:val="Heading3"/>
        <w:jc w:val="both"/>
        <w:rPr>
          <w:color w:val="auto"/>
          <w:sz w:val="24"/>
          <w:szCs w:val="24"/>
        </w:rPr>
      </w:pPr>
      <w:bookmarkStart w:id="11" w:name="_Toc222201055"/>
      <w:r w:rsidRPr="00950AF7">
        <w:rPr>
          <w:color w:val="auto"/>
          <w:sz w:val="24"/>
          <w:szCs w:val="24"/>
        </w:rPr>
        <w:t>1.1.3 EVM Forecasting Methods</w:t>
      </w:r>
      <w:bookmarkEnd w:id="11"/>
    </w:p>
    <w:p w14:paraId="6C106BAA" w14:textId="77777777" w:rsidR="00EF2EB6" w:rsidRPr="00950AF7" w:rsidRDefault="00000000" w:rsidP="00950AF7">
      <w:pPr>
        <w:spacing w:after="120" w:line="360" w:lineRule="auto"/>
        <w:jc w:val="both"/>
      </w:pPr>
      <w:r w:rsidRPr="00950AF7">
        <w:t>Perhaps the most valuable application of EVM lies in its forecasting capability. The Estimate at Completion (EAC) projects the total expected cost of the project at completion, based on current performance trends. The PMI (2021) identifies several EAC formulas, each based on different assumptions about future performance:</w:t>
      </w:r>
    </w:p>
    <w:p w14:paraId="4CFF4D45" w14:textId="77777777" w:rsidR="00EF2EB6" w:rsidRPr="00950AF7" w:rsidRDefault="00000000" w:rsidP="00950AF7">
      <w:pPr>
        <w:spacing w:after="120" w:line="360" w:lineRule="auto"/>
        <w:jc w:val="both"/>
      </w:pPr>
      <w:r w:rsidRPr="00950AF7">
        <w:rPr>
          <w:b/>
          <w:bCs/>
        </w:rPr>
        <w:t xml:space="preserve">EAC = BAC / CPI </w:t>
      </w:r>
      <w:r w:rsidRPr="00950AF7">
        <w:t>(assuming future work will be performed at the same cost efficiency as the work performed to date). This is the most commonly used EAC formula and assumes that the CPI observed to date will persist for the remainder of the project.</w:t>
      </w:r>
    </w:p>
    <w:p w14:paraId="79443B49" w14:textId="77777777" w:rsidR="00EF2EB6" w:rsidRPr="00950AF7" w:rsidRDefault="00000000" w:rsidP="00950AF7">
      <w:pPr>
        <w:spacing w:after="120" w:line="360" w:lineRule="auto"/>
        <w:jc w:val="both"/>
      </w:pPr>
      <w:r w:rsidRPr="00950AF7">
        <w:rPr>
          <w:b/>
          <w:bCs/>
        </w:rPr>
        <w:t xml:space="preserve">EAC = AC + (BAC - EV) </w:t>
      </w:r>
      <w:r w:rsidRPr="00950AF7">
        <w:t>(assuming future work will be performed at the originally budgeted rate). This formula assumes that past variances were atypical and will not recur.</w:t>
      </w:r>
    </w:p>
    <w:p w14:paraId="49A35CF3" w14:textId="77777777" w:rsidR="00EF2EB6" w:rsidRPr="00950AF7" w:rsidRDefault="00000000" w:rsidP="00950AF7">
      <w:pPr>
        <w:spacing w:after="120" w:line="360" w:lineRule="auto"/>
        <w:jc w:val="both"/>
      </w:pPr>
      <w:r w:rsidRPr="00950AF7">
        <w:rPr>
          <w:b/>
          <w:bCs/>
        </w:rPr>
        <w:lastRenderedPageBreak/>
        <w:t xml:space="preserve">EAC = AC + (BAC - EV) / (CPI x SPI) </w:t>
      </w:r>
      <w:r w:rsidRPr="00950AF7">
        <w:t>(accounting for both cost and schedule performance). This composite formula recognizes that schedule delays often generate additional costs.</w:t>
      </w:r>
    </w:p>
    <w:p w14:paraId="1B31B2D1" w14:textId="77777777" w:rsidR="00EF2EB6" w:rsidRPr="00950AF7" w:rsidRDefault="00000000" w:rsidP="00950AF7">
      <w:pPr>
        <w:spacing w:after="120" w:line="360" w:lineRule="auto"/>
        <w:jc w:val="both"/>
      </w:pPr>
      <w:r w:rsidRPr="00950AF7">
        <w:t>The Estimate to Complete (ETC) represents the expected cost to finish the remaining project work, calculated as ETC = EAC - AC. The Variance at Completion (VAC) projects the expected budget overrun or underrun at project conclusion, calculated as VAC = BAC - EAC (Fleming and Koppelman, 2010).</w:t>
      </w:r>
    </w:p>
    <w:p w14:paraId="5CA5BBEA" w14:textId="77777777" w:rsidR="00EF2EB6" w:rsidRPr="00950AF7" w:rsidRDefault="00000000" w:rsidP="00950AF7">
      <w:pPr>
        <w:spacing w:after="120" w:line="360" w:lineRule="auto"/>
        <w:jc w:val="both"/>
      </w:pPr>
      <w:r w:rsidRPr="00950AF7">
        <w:t>Christensen (1993, 1998) conducted seminal research on the accuracy of EVM-based forecasts, demonstrating that the CPI-based EAC formula provides reasonably accurate predictions once a project has reached approximately 20% completion. This finding, known as the stability of the cumulative CPI, has been widely cited as evidence of EVM forecasting validity. However, Christensen also noted significant variability in forecast accuracy across projects and cautioned that the deterministic nature of the EAC formulas does not capture the uncertainty range of possible outcomes.</w:t>
      </w:r>
    </w:p>
    <w:p w14:paraId="3732637D" w14:textId="1E13DAE0" w:rsidR="00EF2EB6" w:rsidRPr="00950AF7" w:rsidRDefault="00000000" w:rsidP="00950AF7">
      <w:pPr>
        <w:spacing w:after="120" w:line="360" w:lineRule="auto"/>
        <w:jc w:val="both"/>
      </w:pPr>
      <w:r w:rsidRPr="00950AF7">
        <w:t>Zwikael, Globerson, and Raz (2000) conducted a comprehensive evaluation of different EAC forecasting models, comparing their accuracy across a portfolio of defense and industrial projects. Their analysis concluded that no single deterministic formula consistently outperforms all others across different project types and phases, suggesting that the selection of the appropriate forecasting formula is itself an uncertain decision that introduces additional variability into the forecasting process.</w:t>
      </w:r>
    </w:p>
    <w:p w14:paraId="231F727A" w14:textId="77777777" w:rsidR="00EF2EB6" w:rsidRPr="00950AF7" w:rsidRDefault="00000000" w:rsidP="00950AF7">
      <w:pPr>
        <w:pStyle w:val="Heading3"/>
        <w:jc w:val="both"/>
        <w:rPr>
          <w:color w:val="auto"/>
          <w:sz w:val="24"/>
          <w:szCs w:val="24"/>
        </w:rPr>
      </w:pPr>
      <w:bookmarkStart w:id="12" w:name="_Toc222201056"/>
      <w:r w:rsidRPr="00950AF7">
        <w:rPr>
          <w:color w:val="auto"/>
          <w:sz w:val="24"/>
          <w:szCs w:val="24"/>
        </w:rPr>
        <w:t>1.1.4 EVM Adoption in the EPC Sector</w:t>
      </w:r>
      <w:bookmarkEnd w:id="12"/>
    </w:p>
    <w:p w14:paraId="0877716A" w14:textId="77777777" w:rsidR="00EF2EB6" w:rsidRPr="00950AF7" w:rsidRDefault="00000000" w:rsidP="00950AF7">
      <w:pPr>
        <w:spacing w:after="120" w:line="360" w:lineRule="auto"/>
        <w:jc w:val="both"/>
      </w:pPr>
      <w:r w:rsidRPr="00950AF7">
        <w:t>The adoption of EVM in the EPC sector has been driven by both contractual requirements and the recognition that integrated cost-schedule performance measurement is essential for managing the complexity of large engineering projects. In the oil and gas industry, major project owners such as ExxonMobil, Shell, and BP have incorporated EVM requirements into their standard project management frameworks, mandating that EPC contractors implement EVMS-compliant project control systems for projects exceeding specified thresholds (Merrow, 2011).</w:t>
      </w:r>
    </w:p>
    <w:p w14:paraId="6946A0BC" w14:textId="77777777" w:rsidR="00EF2EB6" w:rsidRPr="00950AF7" w:rsidRDefault="00000000" w:rsidP="00950AF7">
      <w:pPr>
        <w:spacing w:after="120" w:line="360" w:lineRule="auto"/>
        <w:jc w:val="both"/>
      </w:pPr>
      <w:r w:rsidRPr="00950AF7">
        <w:t xml:space="preserve">However, the implementation of EVM in EPC projects presents challenges that differ from those encountered in other sectors. First, the multi-disciplinary nature of EPC projects, which typically involve concurrent engineering, procurement, and construction activities managed by different functional groups, creates difficulties in establishing consistent progress measurement methods across the entire project scope. Engineering progress is often measured in terms of deliverable production (drawings, specifications), procurement progress in terms of purchase </w:t>
      </w:r>
      <w:r w:rsidRPr="00950AF7">
        <w:lastRenderedPageBreak/>
        <w:t>order placement and material receipt, and construction progress in terms of physical work quantities, each requiring different measurement approaches that must be harmonized within the EVM framework (De Marco and Narbaev, 2013).</w:t>
      </w:r>
    </w:p>
    <w:p w14:paraId="55913319" w14:textId="77777777" w:rsidR="00EF2EB6" w:rsidRPr="00950AF7" w:rsidRDefault="00000000" w:rsidP="00950AF7">
      <w:pPr>
        <w:spacing w:after="120" w:line="360" w:lineRule="auto"/>
        <w:jc w:val="both"/>
      </w:pPr>
      <w:r w:rsidRPr="00950AF7">
        <w:t>Second, the contract structure of EPC projects, which frequently involves lump-sum or unit-rate contracts with complex change order mechanisms, can create discrepancies between the contractor's internal EVM data and the client's view of project performance. This misalignment can lead to disputes about the interpretation of performance indicators and forecasts, particularly when significant cost variances emerge during project execution.</w:t>
      </w:r>
    </w:p>
    <w:p w14:paraId="3E622804" w14:textId="77777777" w:rsidR="00EF2EB6" w:rsidRPr="00950AF7" w:rsidRDefault="00000000" w:rsidP="00950AF7">
      <w:pPr>
        <w:spacing w:after="120" w:line="360" w:lineRule="auto"/>
        <w:jc w:val="both"/>
      </w:pPr>
      <w:r w:rsidRPr="00950AF7">
        <w:t>Third, the long duration of many EPC projects (typically 18 to 60 months) means that external factors such as exchange rate fluctuations, commodity price changes, regulatory modifications, and labor market conditions can significantly impact project costs in ways that are not captured by the internal CPI and SPI metrics. Warburton (2011) highlighted this limitation in his analysis of time-dependent earned value models, demonstrating that traditional EVM metrics may misrepresent true project performance when external economic conditions change significantly during the project lifecycle.</w:t>
      </w:r>
    </w:p>
    <w:p w14:paraId="3539855D" w14:textId="7AC08A07" w:rsidR="00EF2EB6" w:rsidRPr="00950AF7" w:rsidRDefault="00000000" w:rsidP="00950AF7">
      <w:pPr>
        <w:spacing w:after="120" w:line="360" w:lineRule="auto"/>
        <w:jc w:val="both"/>
      </w:pPr>
      <w:r w:rsidRPr="00950AF7">
        <w:t>These sector-specific challenges reinforce the need for enhanced forecasting methods that can account for the multiple sources of uncertainty affecting EPC project outcomes, providing additional motivation for the investigation of stochastic approaches presented in this thesis.</w:t>
      </w:r>
    </w:p>
    <w:p w14:paraId="68A32E38" w14:textId="31E7C56B" w:rsidR="00EF2EB6" w:rsidRPr="00950AF7" w:rsidRDefault="00000000" w:rsidP="00950AF7">
      <w:pPr>
        <w:pStyle w:val="Heading2"/>
        <w:spacing w:after="120"/>
        <w:jc w:val="both"/>
        <w:rPr>
          <w:color w:val="auto"/>
          <w:sz w:val="24"/>
          <w:szCs w:val="24"/>
        </w:rPr>
      </w:pPr>
      <w:bookmarkStart w:id="13" w:name="_Toc222201057"/>
      <w:r w:rsidRPr="00950AF7">
        <w:rPr>
          <w:color w:val="auto"/>
          <w:sz w:val="24"/>
          <w:szCs w:val="24"/>
        </w:rPr>
        <w:t>1.2 Limitations of Deterministic EVM</w:t>
      </w:r>
      <w:bookmarkEnd w:id="13"/>
    </w:p>
    <w:p w14:paraId="57310C75" w14:textId="77777777" w:rsidR="00EF2EB6" w:rsidRPr="00950AF7" w:rsidRDefault="00000000" w:rsidP="00950AF7">
      <w:pPr>
        <w:pStyle w:val="Heading3"/>
        <w:jc w:val="both"/>
        <w:rPr>
          <w:color w:val="auto"/>
          <w:sz w:val="24"/>
          <w:szCs w:val="24"/>
        </w:rPr>
      </w:pPr>
      <w:bookmarkStart w:id="14" w:name="_Toc222201058"/>
      <w:r w:rsidRPr="00950AF7">
        <w:rPr>
          <w:color w:val="auto"/>
          <w:sz w:val="24"/>
          <w:szCs w:val="24"/>
        </w:rPr>
        <w:t>1.2.1 The Problem of Single-Point Estimates</w:t>
      </w:r>
      <w:bookmarkEnd w:id="14"/>
    </w:p>
    <w:p w14:paraId="0FB7D6D9" w14:textId="77777777" w:rsidR="00EF2EB6" w:rsidRPr="00950AF7" w:rsidRDefault="00000000" w:rsidP="00950AF7">
      <w:pPr>
        <w:spacing w:after="120" w:line="360" w:lineRule="auto"/>
        <w:jc w:val="both"/>
      </w:pPr>
      <w:r w:rsidRPr="00950AF7">
        <w:t>The most fundamental criticism of traditional EVM forecasting concerns its reliance on single-point deterministic estimates. When a project manager reports an EAC of, for example, $150 million, this figure conveys no information about the likelihood of achieving this outcome, the range of possible outcomes, or the confidence level associated with the estimate (Vanhoucke, 2018). In the context of EPC projects, where numerous uncertainties affect cost and schedule performance, providing decision-makers with a single number creates a false sense of precision that may lead to suboptimal resource allocation and risk management decisions.</w:t>
      </w:r>
    </w:p>
    <w:p w14:paraId="1AB9FD5B" w14:textId="77777777" w:rsidR="00EF2EB6" w:rsidRPr="00950AF7" w:rsidRDefault="00000000" w:rsidP="00950AF7">
      <w:pPr>
        <w:spacing w:after="120" w:line="360" w:lineRule="auto"/>
        <w:jc w:val="both"/>
      </w:pPr>
      <w:r w:rsidRPr="00950AF7">
        <w:t xml:space="preserve">Acebes et al. (2014) articulated this limitation by observing that traditional EVM treats the Cost Performance Index and Schedule Performance Index as fixed, known values, when in reality these indices fluctuate throughout the project lifecycle in response to changing conditions, resource availability, design modifications, and unforeseen events. By ignoring this variability, </w:t>
      </w:r>
      <w:r w:rsidRPr="00950AF7">
        <w:lastRenderedPageBreak/>
        <w:t>deterministic EVM effectively assumes a level of certainty that does not exist in practice, particularly in the early and middle stages of project execution when the greatest uncertainty prevails.</w:t>
      </w:r>
    </w:p>
    <w:p w14:paraId="6A7B259F" w14:textId="238D7908" w:rsidR="00EF2EB6" w:rsidRPr="00950AF7" w:rsidRDefault="00000000" w:rsidP="00950AF7">
      <w:pPr>
        <w:spacing w:after="120" w:line="360" w:lineRule="auto"/>
        <w:jc w:val="both"/>
      </w:pPr>
      <w:r w:rsidRPr="00950AF7">
        <w:t>Pajares and López-Paredes (2011) further demonstrated this limitation through a statistical analysis of EVM performance data from multiple projects. Their research showed that CPI and SPI values follow probability distributions rather than converging to fixed values, and that the variance of these distributions is influenced by project characteristics such as size, complexity, and the degree of technological novelty. This finding has profound implications for the validity of deterministic EAC calculations, as it suggests that the underlying assumption of stable performance indices is rarely satisfied in practice.</w:t>
      </w:r>
    </w:p>
    <w:p w14:paraId="115F3648" w14:textId="77777777" w:rsidR="00EF2EB6" w:rsidRPr="00950AF7" w:rsidRDefault="00000000" w:rsidP="00950AF7">
      <w:pPr>
        <w:pStyle w:val="Heading3"/>
        <w:jc w:val="both"/>
        <w:rPr>
          <w:color w:val="auto"/>
          <w:sz w:val="24"/>
          <w:szCs w:val="24"/>
        </w:rPr>
      </w:pPr>
      <w:bookmarkStart w:id="15" w:name="_Toc222201059"/>
      <w:r w:rsidRPr="00950AF7">
        <w:rPr>
          <w:color w:val="auto"/>
          <w:sz w:val="24"/>
          <w:szCs w:val="24"/>
        </w:rPr>
        <w:t>1.2.2 Inability to Quantify Forecast Uncertainty</w:t>
      </w:r>
      <w:bookmarkEnd w:id="15"/>
    </w:p>
    <w:p w14:paraId="0CB222C1" w14:textId="77777777" w:rsidR="00EF2EB6" w:rsidRPr="00950AF7" w:rsidRDefault="00000000" w:rsidP="00950AF7">
      <w:pPr>
        <w:spacing w:after="120" w:line="360" w:lineRule="auto"/>
        <w:jc w:val="both"/>
      </w:pPr>
      <w:r w:rsidRPr="00950AF7">
        <w:t>A related limitation of deterministic EVM is its inability to provide risk-adjusted forecasts that communicate the probability of achieving specific cost and schedule targets. In modern project management practice, stakeholders increasingly require probabilistic information to make informed decisions about contingency allocation, risk mitigation investments, and project viability assessments (Vose, 2008). Deterministic EVM forecasts, by their nature, cannot satisfy this requirement.</w:t>
      </w:r>
    </w:p>
    <w:p w14:paraId="001224B0" w14:textId="0568F59C" w:rsidR="00EF2EB6" w:rsidRPr="00950AF7" w:rsidRDefault="00000000" w:rsidP="00950AF7">
      <w:pPr>
        <w:spacing w:after="120" w:line="360" w:lineRule="auto"/>
        <w:jc w:val="both"/>
      </w:pPr>
      <w:r w:rsidRPr="00950AF7">
        <w:t>Lipke (2009, 2012) addressed this gap through his research on statistical methods for EVM, proposing that confidence intervals could be constructed around EAC estimates using the observed variance of CPI data. His approach, while representing an important advancement, relied on parametric assumptions about the distribution of CPI values that may not hold universally across different project types and industries. Batselier and Vanhoucke (2017) expanded on this work by conducting an empirical comparison of various EVM forecasting methods using a database of 51 real-world projects, finding that stochastic approaches consistently outperformed deterministic methods in terms of forecast accuracy, particularly in the early phases of project execution.</w:t>
      </w:r>
    </w:p>
    <w:p w14:paraId="53161907" w14:textId="77777777" w:rsidR="00EF2EB6" w:rsidRPr="00950AF7" w:rsidRDefault="00000000" w:rsidP="00950AF7">
      <w:pPr>
        <w:pStyle w:val="Heading3"/>
        <w:jc w:val="both"/>
        <w:rPr>
          <w:color w:val="auto"/>
          <w:sz w:val="24"/>
          <w:szCs w:val="24"/>
        </w:rPr>
      </w:pPr>
      <w:bookmarkStart w:id="16" w:name="_Toc222201060"/>
      <w:r w:rsidRPr="00950AF7">
        <w:rPr>
          <w:color w:val="auto"/>
          <w:sz w:val="24"/>
          <w:szCs w:val="24"/>
        </w:rPr>
        <w:t>1.2.3 Forecast Bias and Optimism in Deterministic EVM</w:t>
      </w:r>
      <w:bookmarkEnd w:id="16"/>
    </w:p>
    <w:p w14:paraId="11CAF804" w14:textId="77777777" w:rsidR="00EF2EB6" w:rsidRPr="00950AF7" w:rsidRDefault="00000000" w:rsidP="00950AF7">
      <w:pPr>
        <w:spacing w:after="120" w:line="360" w:lineRule="auto"/>
        <w:jc w:val="both"/>
      </w:pPr>
      <w:r w:rsidRPr="00950AF7">
        <w:t xml:space="preserve">A further limitation of deterministic EVM that has received increasing attention in the academic literature concerns the systematic bias inherent in EAC calculations. The standard BAC/CPI formula implicitly assumes that the current cumulative CPI represents the best estimate of future cost performance efficiency. However, research has shown that this assumption introduces a systematic optimistic bias in early project phases, as the cumulative CPI tends to </w:t>
      </w:r>
      <w:r w:rsidRPr="00950AF7">
        <w:lastRenderedPageBreak/>
        <w:t>be higher (more favorable) in the early stages when simpler work packages are being executed, and deteriorates as the project encounters more complex and uncertain work packages later in the execution sequence (Christensen, 1993).</w:t>
      </w:r>
    </w:p>
    <w:p w14:paraId="329963BB" w14:textId="77777777" w:rsidR="00EF2EB6" w:rsidRPr="00950AF7" w:rsidRDefault="00000000" w:rsidP="00950AF7">
      <w:pPr>
        <w:spacing w:after="120" w:line="360" w:lineRule="auto"/>
        <w:jc w:val="both"/>
      </w:pPr>
      <w:r w:rsidRPr="00950AF7">
        <w:t>Chen, Chen, and Lin (2016) investigated this phenomenon through an analysis of 78 construction projects, finding that the deterministic EAC consistently underestimated the final project cost when calculated before 50% project completion. Their research demonstrated that this bias is amplified in projects with front-loaded baselines, where the planned expenditure rate is higher in the early phases, creating a misleading impression of cost efficiency that is not sustained as the project progresses.</w:t>
      </w:r>
    </w:p>
    <w:p w14:paraId="5EF3E37D" w14:textId="26A32303" w:rsidR="00EF2EB6" w:rsidRPr="00950AF7" w:rsidRDefault="00000000" w:rsidP="00950AF7">
      <w:pPr>
        <w:spacing w:after="120" w:line="360" w:lineRule="auto"/>
        <w:jc w:val="both"/>
      </w:pPr>
      <w:r w:rsidRPr="00950AF7">
        <w:t>Flyvbjerg et al. (2003) provided a broader perspective on forecasting bias through their concept of optimism bias in large infrastructure projects. They argued that project forecasters systematically underestimate costs and overestimate benefits due to a combination of cognitive biases and strategic misrepresentation. While this research focused on initial project estimates rather than EVM-based forecasts during execution, the underlying psychological mechanisms are relevant to the interpretation of EVM performance data: project managers may unconsciously interpret ambiguous performance signals in an optimistic direction, reinforcing the limitations of deterministic methods that provide no mechanism for bias correction.</w:t>
      </w:r>
    </w:p>
    <w:p w14:paraId="4D6B2101" w14:textId="77777777" w:rsidR="00EF2EB6" w:rsidRPr="00950AF7" w:rsidRDefault="00000000" w:rsidP="00950AF7">
      <w:pPr>
        <w:pStyle w:val="Heading3"/>
        <w:jc w:val="both"/>
        <w:rPr>
          <w:color w:val="auto"/>
          <w:sz w:val="24"/>
          <w:szCs w:val="24"/>
        </w:rPr>
      </w:pPr>
      <w:bookmarkStart w:id="17" w:name="_Toc222201061"/>
      <w:r w:rsidRPr="00950AF7">
        <w:rPr>
          <w:color w:val="auto"/>
          <w:sz w:val="24"/>
          <w:szCs w:val="24"/>
        </w:rPr>
        <w:t>1.2.4 Limitations of Traditional SPI in Late Project Stages</w:t>
      </w:r>
      <w:bookmarkEnd w:id="17"/>
    </w:p>
    <w:p w14:paraId="21DE011A" w14:textId="77777777" w:rsidR="00EF2EB6" w:rsidRPr="00950AF7" w:rsidRDefault="00000000" w:rsidP="00950AF7">
      <w:pPr>
        <w:spacing w:after="120" w:line="360" w:lineRule="auto"/>
        <w:jc w:val="both"/>
      </w:pPr>
      <w:r w:rsidRPr="00950AF7">
        <w:t>An additional well-documented limitation of traditional EVM concerns the behavior of the Schedule Performance Index in the later stages of project execution. As a project approaches completion, the traditional SPI (SPI = EV/PV) mathematically converges toward 1.0 regardless of the actual schedule status of the project, because both EV and PV approach the Budget at Completion (BAC) value (Lipke, 2003). This convergence renders the traditional SPI unreliable as a schedule performance indicator beyond approximately 65-70% project completion.</w:t>
      </w:r>
    </w:p>
    <w:p w14:paraId="5CDCFED6" w14:textId="77777777" w:rsidR="00EF2EB6" w:rsidRPr="00950AF7" w:rsidRDefault="00000000" w:rsidP="00950AF7">
      <w:pPr>
        <w:spacing w:after="120" w:line="360" w:lineRule="auto"/>
        <w:jc w:val="both"/>
      </w:pPr>
      <w:r w:rsidRPr="00950AF7">
        <w:t>To address this limitation, Lipke (2003) introduced the concept of Earned Schedule (ES), which redefines schedule performance measurement in time-based units rather than cost-based units. The Earned Schedule metric identifies the point in time at which the current Earned Value should have been achieved according to the original baseline plan, enabling the calculation of a time-based SPI(t) = ES/AT, where AT is the actual time elapsed. Research by Vanhoucke and Vandevoorde (2007) validated the superiority of ES-based schedule indicators over traditional EVM schedule metrics, demonstrating that SPI(t) provides more accurate and reliable schedule forecasts throughout the entire project lifecycle.</w:t>
      </w:r>
    </w:p>
    <w:p w14:paraId="25294105" w14:textId="77777777" w:rsidR="00EF2EB6" w:rsidRPr="00950AF7" w:rsidRDefault="00EF2EB6" w:rsidP="00950AF7">
      <w:pPr>
        <w:spacing w:after="120" w:line="360" w:lineRule="auto"/>
        <w:jc w:val="both"/>
      </w:pPr>
    </w:p>
    <w:p w14:paraId="109BB158" w14:textId="0F455B90" w:rsidR="00EF2EB6" w:rsidRPr="00950AF7" w:rsidRDefault="00000000" w:rsidP="00950AF7">
      <w:pPr>
        <w:pStyle w:val="Heading2"/>
        <w:spacing w:after="120"/>
        <w:jc w:val="both"/>
        <w:rPr>
          <w:color w:val="auto"/>
          <w:sz w:val="24"/>
          <w:szCs w:val="24"/>
        </w:rPr>
      </w:pPr>
      <w:bookmarkStart w:id="18" w:name="_Toc222201062"/>
      <w:r w:rsidRPr="00950AF7">
        <w:rPr>
          <w:color w:val="auto"/>
          <w:sz w:val="24"/>
          <w:szCs w:val="24"/>
        </w:rPr>
        <w:t>1.3 Monte Carlo Simulation in Project Management</w:t>
      </w:r>
      <w:bookmarkEnd w:id="18"/>
    </w:p>
    <w:p w14:paraId="3FEF2548" w14:textId="77777777" w:rsidR="00EF2EB6" w:rsidRPr="00950AF7" w:rsidRDefault="00000000" w:rsidP="00950AF7">
      <w:pPr>
        <w:pStyle w:val="Heading3"/>
        <w:jc w:val="both"/>
        <w:rPr>
          <w:color w:val="auto"/>
          <w:sz w:val="24"/>
          <w:szCs w:val="24"/>
        </w:rPr>
      </w:pPr>
      <w:bookmarkStart w:id="19" w:name="_Toc222201063"/>
      <w:r w:rsidRPr="00950AF7">
        <w:rPr>
          <w:color w:val="auto"/>
          <w:sz w:val="24"/>
          <w:szCs w:val="24"/>
        </w:rPr>
        <w:t>1.3.1 Theoretical Foundations</w:t>
      </w:r>
      <w:bookmarkEnd w:id="19"/>
    </w:p>
    <w:p w14:paraId="54760A5B" w14:textId="77777777" w:rsidR="00EF2EB6" w:rsidRPr="00950AF7" w:rsidRDefault="00000000" w:rsidP="00950AF7">
      <w:pPr>
        <w:spacing w:after="120" w:line="360" w:lineRule="auto"/>
        <w:jc w:val="both"/>
      </w:pPr>
      <w:r w:rsidRPr="00950AF7">
        <w:t>Monte Carlo simulation (MCS) is a computational technique that employs random sampling from probability distributions to model the behavior of complex systems characterized by uncertainty (Metropolis and Ulam, 1949). Named after the famous casino in Monaco as a reference to the role of chance and randomness, the method was formally developed during the Manhattan Project in the 1940s and has since become one of the most widely used tools for quantitative risk analysis across diverse scientific and engineering disciplines (Vose, 2008).</w:t>
      </w:r>
    </w:p>
    <w:p w14:paraId="4F781EAC" w14:textId="77777777" w:rsidR="00EF2EB6" w:rsidRPr="00950AF7" w:rsidRDefault="00000000" w:rsidP="00950AF7">
      <w:pPr>
        <w:spacing w:after="120" w:line="360" w:lineRule="auto"/>
        <w:jc w:val="both"/>
      </w:pPr>
      <w:r w:rsidRPr="00950AF7">
        <w:t>The fundamental principle of Monte Carlo simulation is straightforward: rather than using single-point estimates for uncertain variables, each uncertain variable is represented by a probability distribution that reflects the range and likelihood of possible values. The simulation then draws random samples from each distribution and calculates the resulting output for each combination of sampled values. By repeating this process thousands or tens of thousands of times, the simulation generates a distribution of possible outcomes that captures the full range of uncertainty in the system (Hulett, 2009).</w:t>
      </w:r>
    </w:p>
    <w:p w14:paraId="2ABB5FCA" w14:textId="72D65789" w:rsidR="00EF2EB6" w:rsidRPr="00950AF7" w:rsidRDefault="00000000" w:rsidP="00950AF7">
      <w:pPr>
        <w:spacing w:after="120" w:line="360" w:lineRule="auto"/>
        <w:jc w:val="both"/>
      </w:pPr>
      <w:r w:rsidRPr="00950AF7">
        <w:t>In mathematical terms, if a model output Y depends on n uncertain input variables X1, X2, ..., Xn through the function Y = f(X1, X2, ..., Xn), a Monte Carlo simulation proceeds by: (1) defining probability distributions for each Xi; (2) randomly sampling values from each distribution; (3) calculating Y for each set of sampled values; and (4) aggregating the results across all iterations to construct the probability distribution of Y (Rubinstein and Kroese, 2016). The resulting output distribution provides a comprehensive picture of the uncertainty in Y, including its mean, standard deviation, percentile values, and the probability of exceeding specific thresholds.</w:t>
      </w:r>
    </w:p>
    <w:p w14:paraId="7156957B" w14:textId="77777777" w:rsidR="00EF2EB6" w:rsidRPr="00950AF7" w:rsidRDefault="00000000" w:rsidP="00950AF7">
      <w:pPr>
        <w:pStyle w:val="Heading3"/>
        <w:jc w:val="both"/>
        <w:rPr>
          <w:color w:val="auto"/>
          <w:sz w:val="24"/>
          <w:szCs w:val="24"/>
        </w:rPr>
      </w:pPr>
      <w:bookmarkStart w:id="20" w:name="_Toc222201064"/>
      <w:r w:rsidRPr="00950AF7">
        <w:rPr>
          <w:color w:val="auto"/>
          <w:sz w:val="24"/>
          <w:szCs w:val="24"/>
        </w:rPr>
        <w:t>1.3.2 Application to Project Risk Analysis</w:t>
      </w:r>
      <w:bookmarkEnd w:id="20"/>
    </w:p>
    <w:p w14:paraId="21B18C5E" w14:textId="77777777" w:rsidR="00EF2EB6" w:rsidRPr="00950AF7" w:rsidRDefault="00000000" w:rsidP="00950AF7">
      <w:pPr>
        <w:spacing w:after="120" w:line="360" w:lineRule="auto"/>
        <w:jc w:val="both"/>
      </w:pPr>
      <w:r w:rsidRPr="00950AF7">
        <w:t>The application of Monte Carlo simulation to project management dates back to the 1960s, when it was first used for project schedule risk analysis. The technique gained widespread adoption following its integration into commercial project management software tools such as @Risk, Crystal Ball, and Primavera Risk Analysis (Hulett, 2009). In the context of project risk management, MCS is primarily used for two purposes: schedule risk analysis and cost risk analysis.</w:t>
      </w:r>
    </w:p>
    <w:p w14:paraId="3362AF37" w14:textId="77777777" w:rsidR="00EF2EB6" w:rsidRPr="00950AF7" w:rsidRDefault="00000000" w:rsidP="00950AF7">
      <w:pPr>
        <w:spacing w:after="120" w:line="360" w:lineRule="auto"/>
        <w:jc w:val="both"/>
      </w:pPr>
      <w:r w:rsidRPr="00950AF7">
        <w:lastRenderedPageBreak/>
        <w:t>For schedule risk analysis, Monte Carlo simulation replaces deterministic activity durations with probability distributions (typically triangular, PERT, or beta distributions) and simulates the project network to generate a distribution of possible project completion dates. This approach accounts for the combined effect of uncertainties in individual activity durations and the logical dependencies between activities, providing a more realistic assessment of schedule risk than deterministic critical path analysis (Schatteman, Herroelen, De Vonder, and Boone, 2008).</w:t>
      </w:r>
    </w:p>
    <w:p w14:paraId="6BE8AC3E" w14:textId="77777777" w:rsidR="00EF2EB6" w:rsidRPr="00950AF7" w:rsidRDefault="00000000" w:rsidP="00950AF7">
      <w:pPr>
        <w:spacing w:after="120" w:line="360" w:lineRule="auto"/>
        <w:jc w:val="both"/>
      </w:pPr>
      <w:r w:rsidRPr="00950AF7">
        <w:t>For cost risk analysis, a similar approach is applied to project cost elements, with uncertain cost items represented by probability distributions. The simulation aggregates individual cost uncertainties to produce a distribution of total project cost, enabling the calculation of contingency reserves at specified confidence levels. The PMI Practice Standard for Project Risk Management (PMI, 2009) recommends Monte Carlo simulation as a best practice for quantitative risk analysis, noting its ability to account for correlation between risk factors and to provide probabilistic output that supports informed decision-making.</w:t>
      </w:r>
    </w:p>
    <w:p w14:paraId="118791C2" w14:textId="23E913C3" w:rsidR="00EF2EB6" w:rsidRPr="00950AF7" w:rsidRDefault="00000000" w:rsidP="00950AF7">
      <w:pPr>
        <w:spacing w:after="120" w:line="360" w:lineRule="auto"/>
        <w:jc w:val="both"/>
      </w:pPr>
      <w:r w:rsidRPr="00950AF7">
        <w:t>Barraza (2011) demonstrated the particular relevance of Monte Carlo simulation for construction project management, showing that the stochastic modeling of cost and schedule variables captured project dynamics that deterministic methods systematically overlooked. His research highlighted that the interaction between cost and schedule uncertainties in construction projects creates compounding effects that can only be adequately modeled through simulation-based approaches.</w:t>
      </w:r>
    </w:p>
    <w:p w14:paraId="18EF756D" w14:textId="77777777" w:rsidR="00EF2EB6" w:rsidRPr="00950AF7" w:rsidRDefault="00000000" w:rsidP="00950AF7">
      <w:pPr>
        <w:pStyle w:val="Heading3"/>
        <w:jc w:val="both"/>
        <w:rPr>
          <w:color w:val="auto"/>
          <w:sz w:val="24"/>
          <w:szCs w:val="24"/>
        </w:rPr>
      </w:pPr>
      <w:bookmarkStart w:id="21" w:name="_Toc222201065"/>
      <w:r w:rsidRPr="00950AF7">
        <w:rPr>
          <w:color w:val="auto"/>
          <w:sz w:val="24"/>
          <w:szCs w:val="24"/>
        </w:rPr>
        <w:t>1.3.3 Distribution Selection and Parameter Estimation</w:t>
      </w:r>
      <w:bookmarkEnd w:id="21"/>
    </w:p>
    <w:p w14:paraId="3578A80C" w14:textId="77777777" w:rsidR="00EF2EB6" w:rsidRPr="00950AF7" w:rsidRDefault="00000000" w:rsidP="00950AF7">
      <w:pPr>
        <w:spacing w:after="120" w:line="360" w:lineRule="auto"/>
        <w:jc w:val="both"/>
      </w:pPr>
      <w:r w:rsidRPr="00950AF7">
        <w:t>A critical aspect of Monte Carlo simulation is the selection of appropriate probability distributions for uncertain input variables. In project management applications, the most commonly used distributions include (Vose, 2008):</w:t>
      </w:r>
    </w:p>
    <w:p w14:paraId="70D398D7" w14:textId="77777777" w:rsidR="00EF2EB6" w:rsidRPr="00950AF7" w:rsidRDefault="00000000" w:rsidP="00950AF7">
      <w:pPr>
        <w:spacing w:after="120" w:line="360" w:lineRule="auto"/>
        <w:jc w:val="both"/>
      </w:pPr>
      <w:r w:rsidRPr="00950AF7">
        <w:rPr>
          <w:b/>
          <w:bCs/>
        </w:rPr>
        <w:t>The Triangular Distribution</w:t>
      </w:r>
      <w:r w:rsidRPr="00950AF7">
        <w:t>, defined by minimum, most likely, and maximum values. This distribution is widely used in project management due to its intuitive parameterization and its ability to model asymmetric uncertainties. However, it assigns zero probability to values outside the defined range, which may underestimate tail risks.</w:t>
      </w:r>
    </w:p>
    <w:p w14:paraId="009B7110" w14:textId="77777777" w:rsidR="00EF2EB6" w:rsidRPr="00950AF7" w:rsidRDefault="00000000" w:rsidP="00950AF7">
      <w:pPr>
        <w:spacing w:after="120" w:line="360" w:lineRule="auto"/>
        <w:jc w:val="both"/>
      </w:pPr>
      <w:r w:rsidRPr="00950AF7">
        <w:rPr>
          <w:b/>
          <w:bCs/>
        </w:rPr>
        <w:t>The Beta Distribution</w:t>
      </w:r>
      <w:r w:rsidRPr="00950AF7">
        <w:t>, which provides greater flexibility in shaping the probability density function through its two shape parameters. The PERT distribution, a special case of the beta distribution commonly used in project scheduling, modifies the beta parameters to give greater weight to the most likely value.</w:t>
      </w:r>
    </w:p>
    <w:p w14:paraId="664D1727" w14:textId="77777777" w:rsidR="00EF2EB6" w:rsidRPr="00950AF7" w:rsidRDefault="00000000" w:rsidP="00950AF7">
      <w:pPr>
        <w:spacing w:after="120" w:line="360" w:lineRule="auto"/>
        <w:jc w:val="both"/>
      </w:pPr>
      <w:r w:rsidRPr="00950AF7">
        <w:rPr>
          <w:b/>
          <w:bCs/>
        </w:rPr>
        <w:lastRenderedPageBreak/>
        <w:t>The Normal and Lognormal Distributions</w:t>
      </w:r>
      <w:r w:rsidRPr="00950AF7">
        <w:t>, which are used when historical data suggests that the uncertain variable follows a symmetric or right-skewed pattern, respectively. The lognormal distribution is particularly relevant for modeling cost variables that cannot take negative values and tend to exhibit positive skewness.</w:t>
      </w:r>
    </w:p>
    <w:p w14:paraId="1D52BC87" w14:textId="3FA7F662" w:rsidR="00EF2EB6" w:rsidRPr="00950AF7" w:rsidRDefault="00000000" w:rsidP="00950AF7">
      <w:pPr>
        <w:spacing w:after="120" w:line="360" w:lineRule="auto"/>
        <w:jc w:val="both"/>
      </w:pPr>
      <w:r w:rsidRPr="00950AF7">
        <w:t>Acebes et al. (2015) investigated the impact of distribution selection on the accuracy of stochastic EVM forecasts, finding that the choice of distribution shape had a measurable but secondary effect compared to the accuracy of the distribution parameters (mean and variance). Their research concluded that the quality of historical data used to estimate distribution parameters is the most critical factor determining the reliability of Monte Carlo-based EVM forecasts.</w:t>
      </w:r>
    </w:p>
    <w:p w14:paraId="3B23AFD9" w14:textId="4F0590EF" w:rsidR="00EF2EB6" w:rsidRPr="00950AF7" w:rsidRDefault="00000000" w:rsidP="00950AF7">
      <w:pPr>
        <w:pStyle w:val="Heading2"/>
        <w:spacing w:after="120"/>
        <w:jc w:val="both"/>
        <w:rPr>
          <w:color w:val="auto"/>
          <w:sz w:val="24"/>
          <w:szCs w:val="24"/>
        </w:rPr>
      </w:pPr>
      <w:bookmarkStart w:id="22" w:name="_Toc222201066"/>
      <w:r w:rsidRPr="00950AF7">
        <w:rPr>
          <w:color w:val="auto"/>
          <w:sz w:val="24"/>
          <w:szCs w:val="24"/>
        </w:rPr>
        <w:t>1.4 Stochastic Earned Value Management</w:t>
      </w:r>
      <w:bookmarkEnd w:id="22"/>
    </w:p>
    <w:p w14:paraId="631DE36F" w14:textId="77777777" w:rsidR="00EF2EB6" w:rsidRPr="00950AF7" w:rsidRDefault="00000000" w:rsidP="00950AF7">
      <w:pPr>
        <w:pStyle w:val="Heading3"/>
        <w:jc w:val="both"/>
        <w:rPr>
          <w:color w:val="auto"/>
          <w:sz w:val="24"/>
          <w:szCs w:val="24"/>
        </w:rPr>
      </w:pPr>
      <w:bookmarkStart w:id="23" w:name="_Toc222201067"/>
      <w:r w:rsidRPr="00950AF7">
        <w:rPr>
          <w:color w:val="auto"/>
          <w:sz w:val="24"/>
          <w:szCs w:val="24"/>
        </w:rPr>
        <w:t>1.4.1 Conceptual Foundations of SEVM</w:t>
      </w:r>
      <w:bookmarkEnd w:id="23"/>
    </w:p>
    <w:p w14:paraId="0CAAFDBB" w14:textId="77777777" w:rsidR="00EF2EB6" w:rsidRPr="00950AF7" w:rsidRDefault="00000000" w:rsidP="00950AF7">
      <w:pPr>
        <w:spacing w:after="120" w:line="360" w:lineRule="auto"/>
        <w:jc w:val="both"/>
      </w:pPr>
      <w:r w:rsidRPr="00950AF7">
        <w:t>Stochastic Earned Value Management (SEVM) represents the integration of Monte Carlo simulation techniques with the traditional EVM framework to produce probabilistic project performance forecasts. The fundamental premise of SEVM is that project performance indices (CPI and SPI) are not fixed constants but rather stochastic variables that fluctuate over time in response to the myriad uncertainties affecting project execution (Acebes et al., 2014). By modeling these indices as random variables with defined probability distributions, SEVM enables the generation of forecast distributions rather than single-point estimates, thereby providing decision-makers with a more complete and realistic picture of likely project outcomes.</w:t>
      </w:r>
    </w:p>
    <w:p w14:paraId="16D4B1B3" w14:textId="77777777" w:rsidR="00EF2EB6" w:rsidRPr="00950AF7" w:rsidRDefault="00000000" w:rsidP="00950AF7">
      <w:pPr>
        <w:spacing w:after="120" w:line="360" w:lineRule="auto"/>
        <w:jc w:val="both"/>
      </w:pPr>
      <w:r w:rsidRPr="00950AF7">
        <w:t>The conceptual foundation of SEVM rests on the recognition that the deterministic EAC formula, EAC = BAC/CPI, can be transformed into a stochastic expression by replacing the fixed CPI value with a random variable drawn from an appropriate probability distribution. When this stochastic EAC calculation is repeated thousands of times through Monte Carlo simulation, the result is a probability distribution of possible EAC values that reflects the underlying uncertainty in project cost performance (Pajares and López-Paredes, 2011).</w:t>
      </w:r>
    </w:p>
    <w:p w14:paraId="78B1CD6E" w14:textId="77777777" w:rsidR="00EF2EB6" w:rsidRPr="00950AF7" w:rsidRDefault="00EF2EB6" w:rsidP="00950AF7">
      <w:pPr>
        <w:spacing w:after="120" w:line="360" w:lineRule="auto"/>
        <w:jc w:val="both"/>
      </w:pPr>
    </w:p>
    <w:p w14:paraId="5822F802" w14:textId="77777777" w:rsidR="00EF2EB6" w:rsidRPr="00950AF7" w:rsidRDefault="00000000" w:rsidP="00950AF7">
      <w:pPr>
        <w:pStyle w:val="Heading3"/>
        <w:jc w:val="both"/>
        <w:rPr>
          <w:color w:val="auto"/>
          <w:sz w:val="24"/>
          <w:szCs w:val="24"/>
        </w:rPr>
      </w:pPr>
      <w:bookmarkStart w:id="24" w:name="_Toc222201068"/>
      <w:r w:rsidRPr="00950AF7">
        <w:rPr>
          <w:color w:val="auto"/>
          <w:sz w:val="24"/>
          <w:szCs w:val="24"/>
        </w:rPr>
        <w:t>1.4.2 Key Contributions to SEVM Research</w:t>
      </w:r>
      <w:bookmarkEnd w:id="24"/>
    </w:p>
    <w:p w14:paraId="50915917" w14:textId="77777777" w:rsidR="00EF2EB6" w:rsidRPr="00950AF7" w:rsidRDefault="00000000" w:rsidP="00950AF7">
      <w:pPr>
        <w:spacing w:after="120" w:line="360" w:lineRule="auto"/>
        <w:jc w:val="both"/>
      </w:pPr>
      <w:r w:rsidRPr="00950AF7">
        <w:t xml:space="preserve">The development of SEVM as a distinct research area has been driven by several key contributions from the academic literature. Lipke (2009) was among the first to propose a </w:t>
      </w:r>
      <w:r w:rsidRPr="00950AF7">
        <w:lastRenderedPageBreak/>
        <w:t>statistical framework for EVM, introducing the concept of prediction intervals for EVM forecasts based on the observed variability of performance indices. His approach used the standard deviation of CPI and SPI values to construct confidence bounds around deterministic forecasts, providing a relatively simple method for quantifying forecast uncertainty without requiring full Monte Carlo simulation.</w:t>
      </w:r>
    </w:p>
    <w:p w14:paraId="7313A490" w14:textId="77777777" w:rsidR="00EF2EB6" w:rsidRPr="00950AF7" w:rsidRDefault="00000000" w:rsidP="00950AF7">
      <w:pPr>
        <w:spacing w:after="120" w:line="360" w:lineRule="auto"/>
        <w:jc w:val="both"/>
      </w:pPr>
      <w:r w:rsidRPr="00950AF7">
        <w:t>Acebes, Pajares, Galán, and López-Paredes (2014) made a seminal contribution by developing a comprehensive SEVM framework that explicitly incorporated Monte Carlo simulation into the EVM forecasting process. Their methodology involved: (1) fitting probability distributions to observed CPI and SPI data; (2) running Monte Carlo simulations to generate distributions of EAC and project duration; and (3) presenting the results as S-shaped cumulative distribution curves that show the probability of completing the project within any given cost or time target. This work established the methodological template that subsequent SEVM research has largely followed and refined.</w:t>
      </w:r>
    </w:p>
    <w:p w14:paraId="539D2704" w14:textId="77777777" w:rsidR="00EF2EB6" w:rsidRPr="00950AF7" w:rsidRDefault="00000000" w:rsidP="00950AF7">
      <w:pPr>
        <w:spacing w:after="120" w:line="360" w:lineRule="auto"/>
        <w:jc w:val="both"/>
      </w:pPr>
      <w:r w:rsidRPr="00950AF7">
        <w:t>In a follow-up study, Acebes et al. (2015) extended their SEVM framework to incorporate real-time updating of the performance index distributions as new project data becomes available. This dynamic SEVM approach allows the forecast distributions to narrow over time as uncertainty is progressively resolved, providing increasingly precise probabilistic estimates as the project progresses. The authors demonstrated through numerical examples that this dynamic approach outperforms both static SEVM and traditional deterministic EVM in terms of forecast accuracy.</w:t>
      </w:r>
    </w:p>
    <w:p w14:paraId="4EEEA449" w14:textId="77777777" w:rsidR="00EF2EB6" w:rsidRPr="00950AF7" w:rsidRDefault="00000000" w:rsidP="00950AF7">
      <w:pPr>
        <w:spacing w:after="120" w:line="360" w:lineRule="auto"/>
        <w:jc w:val="both"/>
      </w:pPr>
      <w:r w:rsidRPr="00950AF7">
        <w:t>Batselier and Vanhoucke (2017) conducted one of the most comprehensive empirical evaluations of EVM forecasting methods to date, comparing 12 different deterministic and stochastic approaches using a database of 51 real-world projects drawn from the construction, IT, and defense sectors. Their findings confirmed that stochastic methods incorporating Monte Carlo simulation achieved superior forecast accuracy compared to deterministic approaches across all project phases, with the accuracy advantage being most pronounced in the early stages of project execution when uncertainty is greatest.</w:t>
      </w:r>
    </w:p>
    <w:p w14:paraId="34216A93" w14:textId="77777777" w:rsidR="00EF2EB6" w:rsidRPr="00950AF7" w:rsidRDefault="00000000" w:rsidP="00950AF7">
      <w:pPr>
        <w:spacing w:after="120" w:line="360" w:lineRule="auto"/>
        <w:jc w:val="both"/>
      </w:pPr>
      <w:r w:rsidRPr="00950AF7">
        <w:t xml:space="preserve">Narbaev and De Marco (2014) contributed to the SEVM literature by proposing a combination of earned schedule analysis with stochastic forecasting. Their approach replaced the traditional cost-based SPI with the time-based SPI(t) metric within the Monte Carlo simulation framework, thereby addressing both the limitations of deterministic forecasting and the convergence </w:t>
      </w:r>
      <w:r w:rsidRPr="00950AF7">
        <w:lastRenderedPageBreak/>
        <w:t>problem of the traditional SPI. The resulting methodology demonstrated improved schedule forecast accuracy compared to both traditional EVM and cost-based SEVM approaches.</w:t>
      </w:r>
    </w:p>
    <w:p w14:paraId="01024C05" w14:textId="77777777" w:rsidR="00EF2EB6" w:rsidRPr="00950AF7" w:rsidRDefault="00EF2EB6" w:rsidP="00950AF7">
      <w:pPr>
        <w:spacing w:after="120" w:line="360" w:lineRule="auto"/>
        <w:jc w:val="both"/>
      </w:pPr>
    </w:p>
    <w:p w14:paraId="502AFB49" w14:textId="77777777" w:rsidR="00EF2EB6" w:rsidRPr="00950AF7" w:rsidRDefault="00000000" w:rsidP="00950AF7">
      <w:pPr>
        <w:pStyle w:val="Heading3"/>
        <w:jc w:val="both"/>
        <w:rPr>
          <w:color w:val="auto"/>
          <w:sz w:val="24"/>
          <w:szCs w:val="24"/>
        </w:rPr>
      </w:pPr>
      <w:bookmarkStart w:id="25" w:name="_Toc222201069"/>
      <w:r w:rsidRPr="00950AF7">
        <w:rPr>
          <w:color w:val="auto"/>
          <w:sz w:val="24"/>
          <w:szCs w:val="24"/>
        </w:rPr>
        <w:t>1.4.3 Research Gaps and Opportunities</w:t>
      </w:r>
      <w:bookmarkEnd w:id="25"/>
    </w:p>
    <w:p w14:paraId="1BF70474" w14:textId="77777777" w:rsidR="00EF2EB6" w:rsidRPr="00950AF7" w:rsidRDefault="00000000" w:rsidP="00950AF7">
      <w:pPr>
        <w:spacing w:after="120" w:line="360" w:lineRule="auto"/>
        <w:jc w:val="both"/>
      </w:pPr>
      <w:r w:rsidRPr="00950AF7">
        <w:t>Despite the significant advances achieved in SEVM research, several important gaps remain that justify further investigation. First, the majority of existing SEVM studies have been conducted using simulated project data or datasets drawn primarily from IT and defense sectors. There is a notable scarcity of empirical SEVM research focused specifically on the EPC sector, which presents unique characteristics including large project scale, long execution durations, complex engineering interfaces, and exposure to commodity price volatility (De Marco and Narbaev, 2013).</w:t>
      </w:r>
    </w:p>
    <w:p w14:paraId="6E72886A" w14:textId="77777777" w:rsidR="00EF2EB6" w:rsidRPr="00950AF7" w:rsidRDefault="00000000" w:rsidP="00950AF7">
      <w:pPr>
        <w:spacing w:after="120" w:line="360" w:lineRule="auto"/>
        <w:jc w:val="both"/>
      </w:pPr>
      <w:r w:rsidRPr="00950AF7">
        <w:t>Second, the practical implementation of SEVM in organizational project control systems remains underexplored. While the theoretical benefits of SEVM are well-established, limited research has addressed the organizational, technological, and human factors that influence the successful adoption of stochastic forecasting methods in practice (Kim et al., 2003). Questions related to the data quality requirements, computational infrastructure needs, and decision-maker training necessary for effective SEVM implementation merit dedicated investigation.</w:t>
      </w:r>
    </w:p>
    <w:p w14:paraId="3AE84624" w14:textId="77777777" w:rsidR="00EF2EB6" w:rsidRPr="00950AF7" w:rsidRDefault="00000000" w:rsidP="00950AF7">
      <w:pPr>
        <w:spacing w:after="120" w:line="360" w:lineRule="auto"/>
        <w:jc w:val="both"/>
      </w:pPr>
      <w:r w:rsidRPr="00950AF7">
        <w:t>Third, existing SEVM research has not fully explored the relationship between project complexity and the accuracy advantage of stochastic over deterministic forecasting methods. Understanding whether and how project characteristics moderate the effectiveness of SEVM would provide valuable guidance for practitioners seeking to determine when the additional complexity of stochastic methods is justified.</w:t>
      </w:r>
    </w:p>
    <w:p w14:paraId="7BD7A1D3" w14:textId="77777777" w:rsidR="00EF2EB6" w:rsidRPr="00950AF7" w:rsidRDefault="00000000" w:rsidP="00950AF7">
      <w:pPr>
        <w:spacing w:after="120" w:line="360" w:lineRule="auto"/>
        <w:jc w:val="both"/>
      </w:pPr>
      <w:r w:rsidRPr="00950AF7">
        <w:t>These gaps collectively define the research opportunity addressed by this thesis, which seeks to develop and validate an SEVM approach tailored to the specific context and challenges of EPC project management.</w:t>
      </w:r>
    </w:p>
    <w:p w14:paraId="1A681830" w14:textId="77777777" w:rsidR="00EF2EB6" w:rsidRPr="00950AF7" w:rsidRDefault="00EF2EB6" w:rsidP="00950AF7">
      <w:pPr>
        <w:spacing w:after="120" w:line="360" w:lineRule="auto"/>
        <w:jc w:val="both"/>
      </w:pPr>
    </w:p>
    <w:p w14:paraId="267498B8" w14:textId="77777777" w:rsidR="00EF2EB6" w:rsidRPr="00950AF7" w:rsidRDefault="00000000" w:rsidP="00950AF7">
      <w:pPr>
        <w:pStyle w:val="Heading2"/>
        <w:spacing w:after="120"/>
        <w:jc w:val="both"/>
        <w:rPr>
          <w:color w:val="auto"/>
          <w:sz w:val="24"/>
          <w:szCs w:val="24"/>
        </w:rPr>
      </w:pPr>
      <w:bookmarkStart w:id="26" w:name="_Toc222201070"/>
      <w:r w:rsidRPr="00950AF7">
        <w:rPr>
          <w:color w:val="auto"/>
          <w:sz w:val="24"/>
          <w:szCs w:val="24"/>
        </w:rPr>
        <w:t>Conclusion of Chapter 1</w:t>
      </w:r>
      <w:bookmarkEnd w:id="26"/>
    </w:p>
    <w:p w14:paraId="621395EC" w14:textId="77777777" w:rsidR="00EF2EB6" w:rsidRPr="00950AF7" w:rsidRDefault="00000000" w:rsidP="00950AF7">
      <w:pPr>
        <w:spacing w:after="120" w:line="360" w:lineRule="auto"/>
        <w:jc w:val="both"/>
      </w:pPr>
      <w:r w:rsidRPr="00950AF7">
        <w:t xml:space="preserve">This chapter has presented a comprehensive review of the scientific literature relevant to our research problem. We have traced the historical development and theoretical foundations of Earned Value Management, identified the principal limitations of deterministic EVM </w:t>
      </w:r>
      <w:r w:rsidRPr="00950AF7">
        <w:lastRenderedPageBreak/>
        <w:t>forecasting approaches, examined the theory and applications of Monte Carlo simulation in project management, and surveyed the emerging body of SEVM research that integrates stochastic methods with EVM frameworks.</w:t>
      </w:r>
    </w:p>
    <w:p w14:paraId="246B58BA" w14:textId="77777777" w:rsidR="00EF2EB6" w:rsidRPr="00950AF7" w:rsidRDefault="00000000" w:rsidP="00950AF7">
      <w:pPr>
        <w:spacing w:after="120" w:line="360" w:lineRule="auto"/>
        <w:jc w:val="both"/>
      </w:pPr>
      <w:r w:rsidRPr="00950AF7">
        <w:t>The literature review reveals that while EVM remains a valuable and widely adopted project performance measurement tool, its deterministic forecasting methods are fundamentally limited in their ability to capture the uncertainty inherent in project environments, particularly in complex EPC projects. The integration of Monte Carlo simulation with EVM, as proposed by the SEVM approach, offers a theoretically sound and empirically supported methodology for producing probabilistic forecasts that better reflect the range of possible project outcomes. However, significant gaps remain in the application of SEVM to EPC project contexts and in the understanding of factors influencing SEVM effectiveness.</w:t>
      </w:r>
    </w:p>
    <w:p w14:paraId="7FBB7312" w14:textId="4B92FF5F" w:rsidR="00EF2EB6" w:rsidRPr="00950AF7" w:rsidRDefault="00000000" w:rsidP="00950AF7">
      <w:pPr>
        <w:spacing w:after="120" w:line="360" w:lineRule="auto"/>
        <w:jc w:val="both"/>
      </w:pPr>
      <w:r w:rsidRPr="00950AF7">
        <w:t>These findings provide the theoretical foundation for the development of our analytical framework and research hypotheses, which are presented in the following chapter.</w:t>
      </w:r>
    </w:p>
    <w:p w14:paraId="3DBC7299" w14:textId="7E9CD85C" w:rsidR="00EF2EB6" w:rsidRPr="00950AF7" w:rsidRDefault="00000000" w:rsidP="00950AF7">
      <w:pPr>
        <w:pStyle w:val="Heading1"/>
        <w:spacing w:after="120"/>
        <w:jc w:val="both"/>
        <w:rPr>
          <w:color w:val="auto"/>
          <w:sz w:val="24"/>
          <w:szCs w:val="24"/>
        </w:rPr>
      </w:pPr>
      <w:bookmarkStart w:id="27" w:name="_Toc222201071"/>
      <w:r w:rsidRPr="00950AF7">
        <w:rPr>
          <w:color w:val="auto"/>
          <w:sz w:val="24"/>
          <w:szCs w:val="24"/>
        </w:rPr>
        <w:t>Chapter 2: Development of the Analytical Framework and Hypotheses</w:t>
      </w:r>
      <w:bookmarkEnd w:id="27"/>
    </w:p>
    <w:p w14:paraId="01852EA7" w14:textId="77777777" w:rsidR="00EF2EB6" w:rsidRPr="00950AF7" w:rsidRDefault="00000000" w:rsidP="00950AF7">
      <w:pPr>
        <w:pStyle w:val="Heading2"/>
        <w:spacing w:after="120"/>
        <w:jc w:val="both"/>
        <w:rPr>
          <w:color w:val="auto"/>
          <w:sz w:val="24"/>
          <w:szCs w:val="24"/>
        </w:rPr>
      </w:pPr>
      <w:bookmarkStart w:id="28" w:name="_Toc222201072"/>
      <w:r w:rsidRPr="00950AF7">
        <w:rPr>
          <w:color w:val="auto"/>
          <w:sz w:val="24"/>
          <w:szCs w:val="24"/>
        </w:rPr>
        <w:t>Introduction</w:t>
      </w:r>
      <w:bookmarkEnd w:id="28"/>
    </w:p>
    <w:p w14:paraId="684BC8B7" w14:textId="62254FDC" w:rsidR="00EF2EB6" w:rsidRPr="00950AF7" w:rsidRDefault="00000000" w:rsidP="00950AF7">
      <w:pPr>
        <w:spacing w:after="120" w:line="360" w:lineRule="auto"/>
        <w:jc w:val="both"/>
      </w:pPr>
      <w:r w:rsidRPr="00950AF7">
        <w:t>Building upon the theoretical insights derived from the literature review presented in Chapter 1, this chapter develops the analytical framework that guides our empirical investigation. We first construct a conceptual model that articulates the relationships between the key variables of our study, and then formulate a set of research hypotheses that operationalize these relationships into testable propositions. The analytical framework integrates insights from EVM theory, Monte Carlo simulation methodology, and existing SEVM research to create a coherent structure for examining the comparative forecasting performance of stochastic and deterministic EVM approaches in EPC project contexts.</w:t>
      </w:r>
    </w:p>
    <w:p w14:paraId="04EFA74E" w14:textId="0E2DF11B" w:rsidR="00EF2EB6" w:rsidRPr="00950AF7" w:rsidRDefault="00000000" w:rsidP="00950AF7">
      <w:pPr>
        <w:pStyle w:val="Heading2"/>
        <w:spacing w:after="120"/>
        <w:jc w:val="both"/>
        <w:rPr>
          <w:color w:val="auto"/>
          <w:sz w:val="24"/>
          <w:szCs w:val="24"/>
        </w:rPr>
      </w:pPr>
      <w:bookmarkStart w:id="29" w:name="_Toc222201073"/>
      <w:r w:rsidRPr="00950AF7">
        <w:rPr>
          <w:color w:val="auto"/>
          <w:sz w:val="24"/>
          <w:szCs w:val="24"/>
        </w:rPr>
        <w:t>2.1 Construction of the Conceptual Framework</w:t>
      </w:r>
      <w:bookmarkEnd w:id="29"/>
    </w:p>
    <w:p w14:paraId="78F20D9C" w14:textId="77777777" w:rsidR="00EF2EB6" w:rsidRPr="00950AF7" w:rsidRDefault="00000000" w:rsidP="00950AF7">
      <w:pPr>
        <w:pStyle w:val="Heading3"/>
        <w:jc w:val="both"/>
        <w:rPr>
          <w:color w:val="auto"/>
          <w:sz w:val="24"/>
          <w:szCs w:val="24"/>
        </w:rPr>
      </w:pPr>
      <w:bookmarkStart w:id="30" w:name="_Toc222201074"/>
      <w:r w:rsidRPr="00950AF7">
        <w:rPr>
          <w:color w:val="auto"/>
          <w:sz w:val="24"/>
          <w:szCs w:val="24"/>
        </w:rPr>
        <w:t>2.1.1 Identification of Key Variables</w:t>
      </w:r>
      <w:bookmarkEnd w:id="30"/>
    </w:p>
    <w:p w14:paraId="7901154D" w14:textId="77777777" w:rsidR="00EF2EB6" w:rsidRPr="00950AF7" w:rsidRDefault="00000000" w:rsidP="00950AF7">
      <w:pPr>
        <w:spacing w:after="120" w:line="360" w:lineRule="auto"/>
        <w:jc w:val="both"/>
      </w:pPr>
      <w:r w:rsidRPr="00950AF7">
        <w:t>Our conceptual framework is organized around three categories of variables that collectively describe the relationship between forecasting methodology and forecast accuracy in EPC projects.</w:t>
      </w:r>
    </w:p>
    <w:p w14:paraId="399B2016" w14:textId="77777777" w:rsidR="00EF2EB6" w:rsidRPr="00950AF7" w:rsidRDefault="00000000" w:rsidP="00950AF7">
      <w:pPr>
        <w:spacing w:after="120" w:line="360" w:lineRule="auto"/>
        <w:jc w:val="both"/>
      </w:pPr>
      <w:r w:rsidRPr="00950AF7">
        <w:rPr>
          <w:b/>
          <w:bCs/>
        </w:rPr>
        <w:t xml:space="preserve">Independent Variable – Forecasting Methodology: </w:t>
      </w:r>
      <w:r w:rsidRPr="00950AF7">
        <w:t xml:space="preserve">The primary independent variable in our study is the forecasting methodology employed, operationalized as a binary distinction between </w:t>
      </w:r>
      <w:r w:rsidRPr="00950AF7">
        <w:lastRenderedPageBreak/>
        <w:t>(a) traditional deterministic EVM, which produces single-point EAC and duration estimates, and (b) Stochastic EVM (SEVM), which produces probabilistic forecast distributions through Monte Carlo simulation. This variable is the central treatment in our comparative analysis.</w:t>
      </w:r>
    </w:p>
    <w:p w14:paraId="0F2AC23D" w14:textId="77777777" w:rsidR="00EF2EB6" w:rsidRPr="00950AF7" w:rsidRDefault="00000000" w:rsidP="00950AF7">
      <w:pPr>
        <w:spacing w:after="120" w:line="360" w:lineRule="auto"/>
        <w:jc w:val="both"/>
      </w:pPr>
      <w:r w:rsidRPr="00950AF7">
        <w:rPr>
          <w:b/>
          <w:bCs/>
        </w:rPr>
        <w:t xml:space="preserve">Dependent Variables – Forecast Accuracy Metrics: </w:t>
      </w:r>
      <w:r w:rsidRPr="00950AF7">
        <w:t>The dependent variables capture the accuracy and reliability of project performance forecasts. We operationalize forecast accuracy through two primary dimensions: (a) cost forecast accuracy, measured as the deviation between the forecasted EAC and the actual final project cost; and (b) schedule forecast accuracy, measured as the deviation between the forecasted project duration and the actual completion date. For SEVM forecasts, we additionally assess calibration accuracy, defined as the proportion of actual outcomes that fall within the predicted confidence intervals.</w:t>
      </w:r>
    </w:p>
    <w:p w14:paraId="682F475C" w14:textId="138762C4" w:rsidR="00EF2EB6" w:rsidRPr="00950AF7" w:rsidRDefault="00000000" w:rsidP="00950AF7">
      <w:pPr>
        <w:spacing w:after="120" w:line="360" w:lineRule="auto"/>
        <w:jc w:val="both"/>
      </w:pPr>
      <w:r w:rsidRPr="00950AF7">
        <w:rPr>
          <w:b/>
          <w:bCs/>
        </w:rPr>
        <w:t xml:space="preserve">Moderating Variables – Project and Data Characteristics: </w:t>
      </w:r>
      <w:r w:rsidRPr="00950AF7">
        <w:t>Drawing on the literature reviewed in Chapter 1, we identify several moderating variables that may influence the relationship between forecasting methodology and forecast accuracy. These include: project complexity (measured by project size, number of work packages, and engineering interfaces), project phase (the percentage of project completion at the time of forecast), data quality (the completeness and reliability of historical performance data), and the specific Monte Carlo simulation parameters employed (number of iterations, distribution type, correlation assumptions).</w:t>
      </w:r>
    </w:p>
    <w:p w14:paraId="78D17719" w14:textId="77777777" w:rsidR="00EF2EB6" w:rsidRPr="00950AF7" w:rsidRDefault="00000000" w:rsidP="00950AF7">
      <w:pPr>
        <w:pStyle w:val="Heading3"/>
        <w:jc w:val="both"/>
        <w:rPr>
          <w:color w:val="auto"/>
          <w:sz w:val="24"/>
          <w:szCs w:val="24"/>
        </w:rPr>
      </w:pPr>
      <w:bookmarkStart w:id="31" w:name="_Toc222201075"/>
      <w:r w:rsidRPr="00950AF7">
        <w:rPr>
          <w:color w:val="auto"/>
          <w:sz w:val="24"/>
          <w:szCs w:val="24"/>
        </w:rPr>
        <w:t>2.1.2 Conceptual Model</w:t>
      </w:r>
      <w:bookmarkEnd w:id="31"/>
    </w:p>
    <w:p w14:paraId="16D302C1" w14:textId="77777777" w:rsidR="00EF2EB6" w:rsidRPr="00950AF7" w:rsidRDefault="00000000" w:rsidP="00950AF7">
      <w:pPr>
        <w:spacing w:after="120" w:line="360" w:lineRule="auto"/>
        <w:jc w:val="both"/>
      </w:pPr>
      <w:r w:rsidRPr="00950AF7">
        <w:t>The conceptual model underpinning this research posits that the choice of forecasting methodology (deterministic EVM versus SEVM) has a direct effect on forecast accuracy, and that this effect is moderated by project complexity, project phase, and data quality. Specifically, we hypothesize that the accuracy advantage of SEVM over traditional EVM is contingent upon the uncertainty characteristics of the project environment.</w:t>
      </w:r>
    </w:p>
    <w:p w14:paraId="381D6594" w14:textId="77777777" w:rsidR="00EF2EB6" w:rsidRPr="00950AF7" w:rsidRDefault="00000000" w:rsidP="00950AF7">
      <w:pPr>
        <w:spacing w:after="120" w:line="360" w:lineRule="auto"/>
        <w:jc w:val="both"/>
      </w:pPr>
      <w:r w:rsidRPr="00950AF7">
        <w:t>The model draws on two complementary theoretical perspectives. First, from the EVM literature, we adopt the principle that project performance indices exhibit stochastic variability that increases with project complexity and decreases as the project progresses (Christensen, 1998; Pajares and López-Paredes, 2011). Second, from the Monte Carlo simulation literature, we incorporate the principle that simulation-based methods provide the greatest incremental value over deterministic methods when the underlying system is characterized by high uncertainty and non-linear interactions between variables (Vose, 2008).</w:t>
      </w:r>
    </w:p>
    <w:p w14:paraId="46AF8DF0" w14:textId="4BE4B765" w:rsidR="00EF2EB6" w:rsidRPr="00950AF7" w:rsidRDefault="00000000" w:rsidP="00950AF7">
      <w:pPr>
        <w:spacing w:after="120" w:line="360" w:lineRule="auto"/>
        <w:jc w:val="both"/>
      </w:pPr>
      <w:r w:rsidRPr="00950AF7">
        <w:lastRenderedPageBreak/>
        <w:t>The integration of these perspectives leads to the prediction that SEVM will demonstrate the greatest accuracy advantage over deterministic EVM in conditions of high uncertainty (early project phases, complex projects), while the advantage may diminish in low-uncertainty conditions (late project phases, simple projects) where the deterministic assumptions of traditional EVM are more closely approximated.</w:t>
      </w:r>
    </w:p>
    <w:p w14:paraId="57E513FE" w14:textId="77777777" w:rsidR="00EF2EB6" w:rsidRPr="00950AF7" w:rsidRDefault="00000000" w:rsidP="00950AF7">
      <w:pPr>
        <w:spacing w:after="120" w:line="360" w:lineRule="auto"/>
        <w:jc w:val="both"/>
      </w:pPr>
      <w:r w:rsidRPr="00950AF7">
        <w:t>[Figure 1: Conceptual Framework – Relationship between Forecasting Methodology, Moderating Variables, and Forecast Accuracy]</w:t>
      </w:r>
    </w:p>
    <w:p w14:paraId="59DE9AD4" w14:textId="55843D7A" w:rsidR="00EF2EB6" w:rsidRPr="00950AF7" w:rsidRDefault="00000000" w:rsidP="00950AF7">
      <w:pPr>
        <w:spacing w:after="120" w:line="360" w:lineRule="auto"/>
        <w:jc w:val="both"/>
      </w:pPr>
      <w:r w:rsidRPr="00950AF7">
        <w:rPr>
          <w:i/>
          <w:iCs/>
        </w:rPr>
        <w:t>Note: The conceptual framework diagram should be inserted here. It illustrates the directional relationships between the independent variable (Forecasting Methodology), moderating variables (Project Complexity, Project Phase, Data Quality), and dependent variables (Cost Forecast Accuracy, Schedule Forecast Accuracy).</w:t>
      </w:r>
    </w:p>
    <w:p w14:paraId="674A337D" w14:textId="139BA7E2" w:rsidR="00EF2EB6" w:rsidRPr="00950AF7" w:rsidRDefault="00000000" w:rsidP="00950AF7">
      <w:pPr>
        <w:pStyle w:val="Heading2"/>
        <w:spacing w:after="120"/>
        <w:jc w:val="both"/>
        <w:rPr>
          <w:color w:val="auto"/>
          <w:sz w:val="24"/>
          <w:szCs w:val="24"/>
        </w:rPr>
      </w:pPr>
      <w:bookmarkStart w:id="32" w:name="_Toc222201076"/>
      <w:r w:rsidRPr="00950AF7">
        <w:rPr>
          <w:color w:val="auto"/>
          <w:sz w:val="24"/>
          <w:szCs w:val="24"/>
        </w:rPr>
        <w:t>2.2 Research Hypotheses</w:t>
      </w:r>
      <w:bookmarkEnd w:id="32"/>
    </w:p>
    <w:p w14:paraId="24A6240B" w14:textId="77777777" w:rsidR="00EF2EB6" w:rsidRPr="00950AF7" w:rsidRDefault="00000000" w:rsidP="00950AF7">
      <w:pPr>
        <w:pStyle w:val="Heading3"/>
        <w:jc w:val="both"/>
        <w:rPr>
          <w:color w:val="auto"/>
          <w:sz w:val="24"/>
          <w:szCs w:val="24"/>
        </w:rPr>
      </w:pPr>
      <w:bookmarkStart w:id="33" w:name="_Toc222201077"/>
      <w:r w:rsidRPr="00950AF7">
        <w:rPr>
          <w:color w:val="auto"/>
          <w:sz w:val="24"/>
          <w:szCs w:val="24"/>
        </w:rPr>
        <w:t>2.2.1 Hypotheses Related to Forecast Accuracy</w:t>
      </w:r>
      <w:bookmarkEnd w:id="33"/>
    </w:p>
    <w:p w14:paraId="14C1877A" w14:textId="77777777" w:rsidR="00EF2EB6" w:rsidRPr="00950AF7" w:rsidRDefault="00000000" w:rsidP="00950AF7">
      <w:pPr>
        <w:spacing w:after="120" w:line="360" w:lineRule="auto"/>
        <w:jc w:val="both"/>
      </w:pPr>
      <w:r w:rsidRPr="00950AF7">
        <w:t>Based on the theoretical analysis presented above and the empirical findings from the literature review, we formulate the following hypotheses regarding the comparative forecast accuracy of SEVM and deterministic EVM:</w:t>
      </w:r>
    </w:p>
    <w:p w14:paraId="5F76FFC0" w14:textId="77777777" w:rsidR="00EF2EB6" w:rsidRPr="00950AF7" w:rsidRDefault="00EF2EB6" w:rsidP="00950AF7">
      <w:pPr>
        <w:spacing w:after="120" w:line="360" w:lineRule="auto"/>
        <w:jc w:val="both"/>
      </w:pPr>
    </w:p>
    <w:p w14:paraId="733E5DEF" w14:textId="77777777" w:rsidR="00EF2EB6" w:rsidRPr="00950AF7" w:rsidRDefault="00000000" w:rsidP="00950AF7">
      <w:pPr>
        <w:spacing w:after="120" w:line="360" w:lineRule="auto"/>
        <w:jc w:val="both"/>
      </w:pPr>
      <w:r w:rsidRPr="00950AF7">
        <w:rPr>
          <w:b/>
          <w:bCs/>
        </w:rPr>
        <w:t xml:space="preserve">Hypothesis 1 (H1): </w:t>
      </w:r>
      <w:r w:rsidRPr="00950AF7">
        <w:t>SEVM produces statistically more accurate cost-at-completion (EAC) estimates than traditional deterministic EVM when applied to EPC project performance data.</w:t>
      </w:r>
    </w:p>
    <w:p w14:paraId="3AA69D53" w14:textId="77777777" w:rsidR="00EF2EB6" w:rsidRPr="00950AF7" w:rsidRDefault="00000000" w:rsidP="00950AF7">
      <w:pPr>
        <w:spacing w:after="120" w:line="360" w:lineRule="auto"/>
        <w:jc w:val="both"/>
      </w:pPr>
      <w:r w:rsidRPr="00950AF7">
        <w:t>This hypothesis is grounded in the theoretical argument that deterministic EAC formulas systematically underestimate forecast uncertainty by treating the CPI as a fixed value, whereas SEVM captures the stochastic variability of CPI and propagates it through the forecast model. Acebes et al. (2014) and Batselier and Vanhoucke (2017) provide empirical support for this hypothesis in non-EPC contexts, but direct validation in EPC settings remains lacking.</w:t>
      </w:r>
    </w:p>
    <w:p w14:paraId="24EE4A9A" w14:textId="77777777" w:rsidR="00EF2EB6" w:rsidRPr="00950AF7" w:rsidRDefault="00EF2EB6" w:rsidP="00950AF7">
      <w:pPr>
        <w:spacing w:after="120" w:line="360" w:lineRule="auto"/>
        <w:jc w:val="both"/>
      </w:pPr>
    </w:p>
    <w:p w14:paraId="64B0BA6E" w14:textId="77777777" w:rsidR="00EF2EB6" w:rsidRPr="00950AF7" w:rsidRDefault="00000000" w:rsidP="00950AF7">
      <w:pPr>
        <w:spacing w:after="120" w:line="360" w:lineRule="auto"/>
        <w:jc w:val="both"/>
      </w:pPr>
      <w:r w:rsidRPr="00950AF7">
        <w:rPr>
          <w:b/>
          <w:bCs/>
        </w:rPr>
        <w:t xml:space="preserve">Hypothesis 2 (H2): </w:t>
      </w:r>
      <w:r w:rsidRPr="00950AF7">
        <w:t>SEVM produces statistically more accurate schedule-at-completion estimates than traditional deterministic EVM when applied to EPC project performance data.</w:t>
      </w:r>
    </w:p>
    <w:p w14:paraId="6AECE88C" w14:textId="77777777" w:rsidR="00EF2EB6" w:rsidRPr="00950AF7" w:rsidRDefault="00000000" w:rsidP="00950AF7">
      <w:pPr>
        <w:spacing w:after="120" w:line="360" w:lineRule="auto"/>
        <w:jc w:val="both"/>
      </w:pPr>
      <w:r w:rsidRPr="00950AF7">
        <w:t xml:space="preserve">Analogous to H1, this hypothesis extends the accuracy comparison to the schedule dimension. We expect that the combination of Earned Schedule methodology with Monte Carlo simulation </w:t>
      </w:r>
      <w:r w:rsidRPr="00950AF7">
        <w:lastRenderedPageBreak/>
        <w:t>will yield more accurate duration forecasts than the traditional SPI-based approach, consistent with the findings of Narbaev and De Marco (2014) and Vanhoucke and Vandevoorde (2007).</w:t>
      </w:r>
    </w:p>
    <w:p w14:paraId="1DA233DB" w14:textId="77777777" w:rsidR="00EF2EB6" w:rsidRPr="00950AF7" w:rsidRDefault="00EF2EB6" w:rsidP="00950AF7">
      <w:pPr>
        <w:spacing w:after="120" w:line="360" w:lineRule="auto"/>
        <w:jc w:val="both"/>
      </w:pPr>
    </w:p>
    <w:p w14:paraId="72AC08BC" w14:textId="77777777" w:rsidR="00EF2EB6" w:rsidRPr="00950AF7" w:rsidRDefault="00000000" w:rsidP="00950AF7">
      <w:pPr>
        <w:pStyle w:val="Heading3"/>
        <w:jc w:val="both"/>
        <w:rPr>
          <w:color w:val="auto"/>
          <w:sz w:val="24"/>
          <w:szCs w:val="24"/>
        </w:rPr>
      </w:pPr>
      <w:bookmarkStart w:id="34" w:name="_Toc222201078"/>
      <w:r w:rsidRPr="00950AF7">
        <w:rPr>
          <w:color w:val="auto"/>
          <w:sz w:val="24"/>
          <w:szCs w:val="24"/>
        </w:rPr>
        <w:t>2.2.2 Hypotheses Related to Moderating Effects</w:t>
      </w:r>
      <w:bookmarkEnd w:id="34"/>
    </w:p>
    <w:p w14:paraId="4CD80CA2" w14:textId="77777777" w:rsidR="00EF2EB6" w:rsidRPr="00950AF7" w:rsidRDefault="00000000" w:rsidP="00950AF7">
      <w:pPr>
        <w:spacing w:after="120" w:line="360" w:lineRule="auto"/>
        <w:jc w:val="both"/>
      </w:pPr>
      <w:r w:rsidRPr="00950AF7">
        <w:rPr>
          <w:b/>
          <w:bCs/>
        </w:rPr>
        <w:t xml:space="preserve">Hypothesis 3 (H3): </w:t>
      </w:r>
      <w:r w:rsidRPr="00950AF7">
        <w:t>The accuracy advantage of SEVM over traditional deterministic EVM increases with project complexity.</w:t>
      </w:r>
    </w:p>
    <w:p w14:paraId="176971E7" w14:textId="77777777" w:rsidR="00EF2EB6" w:rsidRPr="00950AF7" w:rsidRDefault="00000000" w:rsidP="00950AF7">
      <w:pPr>
        <w:spacing w:after="120" w:line="360" w:lineRule="auto"/>
        <w:jc w:val="both"/>
      </w:pPr>
      <w:r w:rsidRPr="00950AF7">
        <w:t>This hypothesis reflects the theoretical prediction that higher project complexity generates greater stochastic variability in performance indices, creating conditions under which the probabilistic modeling capability of SEVM provides incrementally greater value. We operationalize project complexity through a composite measure incorporating project budget magnitude, the number of work packages in the WBS, and the number of engineering discipline interfaces.</w:t>
      </w:r>
    </w:p>
    <w:p w14:paraId="43437698" w14:textId="77777777" w:rsidR="00EF2EB6" w:rsidRPr="00950AF7" w:rsidRDefault="00EF2EB6" w:rsidP="00950AF7">
      <w:pPr>
        <w:spacing w:after="120" w:line="360" w:lineRule="auto"/>
        <w:jc w:val="both"/>
      </w:pPr>
    </w:p>
    <w:p w14:paraId="0E299098" w14:textId="77777777" w:rsidR="00EF2EB6" w:rsidRPr="00950AF7" w:rsidRDefault="00000000" w:rsidP="00950AF7">
      <w:pPr>
        <w:spacing w:after="120" w:line="360" w:lineRule="auto"/>
        <w:jc w:val="both"/>
      </w:pPr>
      <w:r w:rsidRPr="00950AF7">
        <w:rPr>
          <w:b/>
          <w:bCs/>
        </w:rPr>
        <w:t xml:space="preserve">Hypothesis 4 (H4): </w:t>
      </w:r>
      <w:r w:rsidRPr="00950AF7">
        <w:t>The accuracy advantage of SEVM over traditional deterministic EVM is greatest in the early phases of project execution (below 40% completion) and diminishes as the project progresses toward completion.</w:t>
      </w:r>
    </w:p>
    <w:p w14:paraId="6B9CD5DB" w14:textId="77777777" w:rsidR="00EF2EB6" w:rsidRPr="00950AF7" w:rsidRDefault="00000000" w:rsidP="00950AF7">
      <w:pPr>
        <w:spacing w:after="120" w:line="360" w:lineRule="auto"/>
        <w:jc w:val="both"/>
      </w:pPr>
      <w:r w:rsidRPr="00950AF7">
        <w:t>This hypothesis is based on the well-documented observation that project uncertainty is highest in the early phases and progressively decreases as work is completed, design is finalized, and procurement commitments are made (Christensen, 1998). As uncertainty decreases, the deterministic assumptions of traditional EVM become more valid, and the incremental benefit of stochastic modeling is expected to decline.</w:t>
      </w:r>
    </w:p>
    <w:p w14:paraId="7AC52D10" w14:textId="77777777" w:rsidR="00EF2EB6" w:rsidRPr="00950AF7" w:rsidRDefault="00EF2EB6" w:rsidP="00950AF7">
      <w:pPr>
        <w:spacing w:after="120" w:line="360" w:lineRule="auto"/>
        <w:jc w:val="both"/>
      </w:pPr>
    </w:p>
    <w:p w14:paraId="795EBE6A" w14:textId="77777777" w:rsidR="00EF2EB6" w:rsidRPr="00950AF7" w:rsidRDefault="00000000" w:rsidP="00950AF7">
      <w:pPr>
        <w:spacing w:after="120" w:line="360" w:lineRule="auto"/>
        <w:jc w:val="both"/>
      </w:pPr>
      <w:r w:rsidRPr="00950AF7">
        <w:rPr>
          <w:b/>
          <w:bCs/>
        </w:rPr>
        <w:t xml:space="preserve">Hypothesis 5 (H5): </w:t>
      </w:r>
      <w:r w:rsidRPr="00950AF7">
        <w:t>The quality of historical performance data significantly influences the reliability of SEVM-based forecasts, with higher data quality producing narrower and more accurate prediction intervals.</w:t>
      </w:r>
    </w:p>
    <w:p w14:paraId="42BBCF3C" w14:textId="77777777" w:rsidR="00EF2EB6" w:rsidRPr="00950AF7" w:rsidRDefault="00000000" w:rsidP="00950AF7">
      <w:pPr>
        <w:spacing w:after="120" w:line="360" w:lineRule="auto"/>
        <w:jc w:val="both"/>
      </w:pPr>
      <w:r w:rsidRPr="00950AF7">
        <w:t>This hypothesis addresses the practical concern that SEVM forecast reliability depends on the quality of input data used to parameterize the Monte Carlo simulation model. Acebes et al. (2015) emphasized data quality as a critical success factor for SEVM implementation, but did not empirically quantify the relationship between data quality metrics and forecast reliability.</w:t>
      </w:r>
    </w:p>
    <w:p w14:paraId="3A0A0BD6" w14:textId="77777777" w:rsidR="00EF2EB6" w:rsidRPr="00950AF7" w:rsidRDefault="00EF2EB6" w:rsidP="00950AF7">
      <w:pPr>
        <w:spacing w:after="120" w:line="360" w:lineRule="auto"/>
        <w:jc w:val="both"/>
      </w:pPr>
    </w:p>
    <w:p w14:paraId="2E74DED2" w14:textId="77777777" w:rsidR="00EF2EB6" w:rsidRPr="00950AF7" w:rsidRDefault="00000000" w:rsidP="00950AF7">
      <w:pPr>
        <w:pStyle w:val="Heading3"/>
        <w:jc w:val="both"/>
        <w:rPr>
          <w:color w:val="auto"/>
          <w:sz w:val="24"/>
          <w:szCs w:val="24"/>
        </w:rPr>
      </w:pPr>
      <w:bookmarkStart w:id="35" w:name="_Toc222201079"/>
      <w:r w:rsidRPr="00950AF7">
        <w:rPr>
          <w:color w:val="auto"/>
          <w:sz w:val="24"/>
          <w:szCs w:val="24"/>
        </w:rPr>
        <w:lastRenderedPageBreak/>
        <w:t>2.2.3 Summary of Hypotheses</w:t>
      </w:r>
      <w:bookmarkEnd w:id="35"/>
    </w:p>
    <w:p w14:paraId="6DCCCC07" w14:textId="4D3749E3" w:rsidR="00EF2EB6" w:rsidRPr="00950AF7" w:rsidRDefault="00000000" w:rsidP="00950AF7">
      <w:pPr>
        <w:spacing w:after="120" w:line="360" w:lineRule="auto"/>
        <w:jc w:val="both"/>
      </w:pPr>
      <w:r w:rsidRPr="00950AF7">
        <w:t>The five hypotheses formulated above collectively address our research problem from multiple angles: H1 and H2 test the fundamental accuracy claim of SEVM for cost and schedule forecasting; H3 and H4 examine the conditions under which SEVM provides the greatest value; and H5 addresses the practical data requirements for effective SEVM implementation. Together, these hypotheses provide a comprehensive framework for evaluating the potential of SEVM as a project control tool for EPC organizations.</w:t>
      </w:r>
    </w:p>
    <w:p w14:paraId="64BC08AD" w14:textId="77777777" w:rsidR="00EF2EB6" w:rsidRPr="00950AF7" w:rsidRDefault="00000000" w:rsidP="00950AF7">
      <w:pPr>
        <w:pStyle w:val="Heading2"/>
        <w:spacing w:after="120"/>
        <w:jc w:val="both"/>
        <w:rPr>
          <w:color w:val="auto"/>
          <w:sz w:val="24"/>
          <w:szCs w:val="24"/>
        </w:rPr>
      </w:pPr>
      <w:bookmarkStart w:id="36" w:name="_Toc222201080"/>
      <w:r w:rsidRPr="00950AF7">
        <w:rPr>
          <w:color w:val="auto"/>
          <w:sz w:val="24"/>
          <w:szCs w:val="24"/>
        </w:rPr>
        <w:t>Conclusion of Chapter 2</w:t>
      </w:r>
      <w:bookmarkEnd w:id="36"/>
    </w:p>
    <w:p w14:paraId="41CC9270" w14:textId="31B367F5" w:rsidR="00EF2EB6" w:rsidRPr="00950AF7" w:rsidRDefault="00000000" w:rsidP="00950AF7">
      <w:pPr>
        <w:spacing w:after="120" w:line="360" w:lineRule="auto"/>
        <w:jc w:val="both"/>
      </w:pPr>
      <w:r w:rsidRPr="00950AF7">
        <w:t>This chapter has presented the analytical framework and research hypotheses that guide our empirical investigation. The conceptual model identifies forecasting methodology as the independent variable, cost and schedule forecast accuracy as dependent variables, and project complexity, project phase, and data quality as moderating variables. Five hypotheses have been formulated based on the theoretical insights derived from the literature review, each addressing a specific aspect of the relationship between SEVM and forecast performance in EPC project contexts.</w:t>
      </w:r>
      <w:r w:rsidR="00950AF7">
        <w:t xml:space="preserve"> </w:t>
      </w:r>
      <w:r w:rsidRPr="00950AF7">
        <w:t>These hypotheses will be tested through the empirical study presented in Part 2 of this thesis, which employs Monte Carlo simulation methodology applied to EPC project performance data.</w:t>
      </w:r>
    </w:p>
    <w:p w14:paraId="601AA9E7" w14:textId="77777777" w:rsidR="00EF2EB6" w:rsidRPr="00950AF7" w:rsidRDefault="00000000" w:rsidP="00950AF7">
      <w:pPr>
        <w:pStyle w:val="Heading2"/>
        <w:spacing w:after="120"/>
        <w:jc w:val="both"/>
        <w:rPr>
          <w:color w:val="auto"/>
          <w:sz w:val="24"/>
          <w:szCs w:val="24"/>
        </w:rPr>
      </w:pPr>
      <w:bookmarkStart w:id="37" w:name="_Toc222201081"/>
      <w:r w:rsidRPr="00950AF7">
        <w:rPr>
          <w:color w:val="auto"/>
          <w:sz w:val="24"/>
          <w:szCs w:val="24"/>
        </w:rPr>
        <w:t>Conclusion of Part 1</w:t>
      </w:r>
      <w:bookmarkEnd w:id="37"/>
    </w:p>
    <w:p w14:paraId="79F4ED3D" w14:textId="77777777" w:rsidR="00EF2EB6" w:rsidRPr="00950AF7" w:rsidRDefault="00000000" w:rsidP="00950AF7">
      <w:pPr>
        <w:spacing w:after="120" w:line="360" w:lineRule="auto"/>
        <w:jc w:val="both"/>
      </w:pPr>
      <w:r w:rsidRPr="00950AF7">
        <w:t>Part 1 of this thesis has achieved two primary objectives. First, through the review of scientific literature in Chapter 1, we have established the theoretical foundations for our research by examining the development, capabilities, and limitations of Earned Value Management; the principles and applications of Monte Carlo simulation; and the emerging body of SEVM research that integrates these two methodological streams. Second, in Chapter 2, we have synthesized these theoretical insights into a conceptual framework and formulated five research hypotheses that operationalize the research questions posed in the general introduction.</w:t>
      </w:r>
    </w:p>
    <w:p w14:paraId="443E33B2" w14:textId="77777777" w:rsidR="00EF2EB6" w:rsidRPr="00950AF7" w:rsidRDefault="00000000" w:rsidP="00950AF7">
      <w:pPr>
        <w:spacing w:after="120" w:line="360" w:lineRule="auto"/>
        <w:jc w:val="both"/>
      </w:pPr>
      <w:r w:rsidRPr="00950AF7">
        <w:t>The literature review has confirmed that SEVM represents a theoretically promising approach for enhancing project performance forecasting in uncertain environments, while also identifying significant gaps in the empirical validation of SEVM in EPC project contexts. Our analytical framework addresses these gaps by proposing a structured comparison of SEVM and deterministic EVM forecasting methods, with attention to the moderating effects of project complexity, project phase, and data quality.</w:t>
      </w:r>
    </w:p>
    <w:p w14:paraId="65EDC7BD" w14:textId="24D2348E" w:rsidR="00EF2EB6" w:rsidRPr="00950AF7" w:rsidRDefault="00000000" w:rsidP="00950AF7">
      <w:pPr>
        <w:spacing w:after="120" w:line="360" w:lineRule="auto"/>
        <w:jc w:val="both"/>
      </w:pPr>
      <w:r w:rsidRPr="00950AF7">
        <w:lastRenderedPageBreak/>
        <w:t>Part 2 of this thesis presents the empirical study designed to test these hypotheses, beginning with a description of the data collection and analysis methodologies in Chapter 3 and presenting the results, discussion, and managerial recommendations in Chapter 4.</w:t>
      </w:r>
    </w:p>
    <w:p w14:paraId="2380EC6E" w14:textId="1C72518A" w:rsidR="00EF2EB6" w:rsidRPr="00950AF7" w:rsidRDefault="00000000" w:rsidP="00950AF7">
      <w:pPr>
        <w:pStyle w:val="Heading1"/>
        <w:spacing w:after="120"/>
        <w:jc w:val="both"/>
        <w:rPr>
          <w:color w:val="auto"/>
          <w:sz w:val="24"/>
          <w:szCs w:val="24"/>
        </w:rPr>
      </w:pPr>
      <w:bookmarkStart w:id="38" w:name="_Toc222201082"/>
      <w:r w:rsidRPr="00950AF7">
        <w:rPr>
          <w:color w:val="auto"/>
          <w:sz w:val="24"/>
          <w:szCs w:val="24"/>
        </w:rPr>
        <w:t>PART 2: EMPIRICAL STUDY</w:t>
      </w:r>
      <w:bookmarkEnd w:id="38"/>
    </w:p>
    <w:p w14:paraId="23FB07E9" w14:textId="77777777" w:rsidR="00EF2EB6" w:rsidRPr="00950AF7" w:rsidRDefault="00000000" w:rsidP="00950AF7">
      <w:pPr>
        <w:pStyle w:val="Heading2"/>
        <w:spacing w:after="120"/>
        <w:jc w:val="both"/>
        <w:rPr>
          <w:color w:val="auto"/>
          <w:sz w:val="24"/>
          <w:szCs w:val="24"/>
        </w:rPr>
      </w:pPr>
      <w:bookmarkStart w:id="39" w:name="_Toc222201083"/>
      <w:r w:rsidRPr="00950AF7">
        <w:rPr>
          <w:color w:val="auto"/>
          <w:sz w:val="24"/>
          <w:szCs w:val="24"/>
        </w:rPr>
        <w:t>Introduction to Part 2</w:t>
      </w:r>
      <w:bookmarkEnd w:id="39"/>
    </w:p>
    <w:p w14:paraId="706B4836" w14:textId="77777777" w:rsidR="00EF2EB6" w:rsidRPr="00950AF7" w:rsidRDefault="00000000" w:rsidP="00950AF7">
      <w:pPr>
        <w:spacing w:after="120" w:line="360" w:lineRule="auto"/>
        <w:jc w:val="both"/>
      </w:pPr>
      <w:r w:rsidRPr="00950AF7">
        <w:t>The second part of this thesis presents the empirical study designed to test the hypotheses developed in Part 1. This part is organized into two chapters. Chapter 3 describes the research methodology, including the study context, the data collection approach, and the Monte Carlo simulation model design. Chapter 4 presents the results of the empirical analysis, discusses their implications in light of the existing scientific literature, and formulates concrete managerial recommendations for EPC organizations.</w:t>
      </w:r>
    </w:p>
    <w:p w14:paraId="449A61EA" w14:textId="68AEE682" w:rsidR="00EF2EB6" w:rsidRPr="00950AF7" w:rsidRDefault="00000000" w:rsidP="00950AF7">
      <w:pPr>
        <w:spacing w:after="120" w:line="360" w:lineRule="auto"/>
        <w:jc w:val="both"/>
      </w:pPr>
      <w:r w:rsidRPr="00950AF7">
        <w:t>Before proceeding to the methodological chapters, we first present the study context by providing an overview of the EPC industry and the organizational environment in which our research is situated.</w:t>
      </w:r>
    </w:p>
    <w:p w14:paraId="71AB2539" w14:textId="77777777" w:rsidR="00EF2EB6" w:rsidRPr="00950AF7" w:rsidRDefault="00000000" w:rsidP="00950AF7">
      <w:pPr>
        <w:pStyle w:val="Heading2"/>
        <w:spacing w:after="120"/>
        <w:jc w:val="both"/>
        <w:rPr>
          <w:color w:val="auto"/>
          <w:sz w:val="24"/>
          <w:szCs w:val="24"/>
        </w:rPr>
      </w:pPr>
      <w:bookmarkStart w:id="40" w:name="_Toc222201084"/>
      <w:r w:rsidRPr="00950AF7">
        <w:rPr>
          <w:color w:val="auto"/>
          <w:sz w:val="24"/>
          <w:szCs w:val="24"/>
        </w:rPr>
        <w:t>Context: The EPC Industry</w:t>
      </w:r>
      <w:bookmarkEnd w:id="40"/>
    </w:p>
    <w:p w14:paraId="4DBFE608" w14:textId="77777777" w:rsidR="00EF2EB6" w:rsidRPr="00950AF7" w:rsidRDefault="00000000" w:rsidP="00950AF7">
      <w:pPr>
        <w:spacing w:after="120" w:line="360" w:lineRule="auto"/>
        <w:jc w:val="both"/>
      </w:pPr>
      <w:r w:rsidRPr="00950AF7">
        <w:t>The Engineering, Procurement, and Construction (EPC) model is a widely adopted project delivery method in the industrial and infrastructure sectors, whereby a single contractor assumes responsibility for the design, sourcing of materials and equipment, and physical construction of a facility or system (Merrow, 2011). EPC contracts are prevalent in the oil and gas industry, power generation, petrochemicals, mining, and large-scale infrastructure development, and they typically involve project budgets ranging from tens of millions to several billions of dollars.</w:t>
      </w:r>
    </w:p>
    <w:p w14:paraId="55E89127" w14:textId="77777777" w:rsidR="00EF2EB6" w:rsidRPr="00950AF7" w:rsidRDefault="00000000" w:rsidP="00950AF7">
      <w:pPr>
        <w:spacing w:after="120" w:line="360" w:lineRule="auto"/>
        <w:jc w:val="both"/>
      </w:pPr>
      <w:r w:rsidRPr="00950AF7">
        <w:t>The EPC delivery model presents unique challenges for project performance management. The integration of engineering, procurement, and construction activities within a single contractual framework creates complex interdependencies between work streams, where delays or cost overruns in one phase can cascade through subsequent phases with amplifying effects. Engineering design changes, for example, may trigger procurement modifications that in turn require construction rework, creating a chain of cost and schedule impacts that are difficult to predict using linear, deterministic methods (De Marco and Narbaev, 2013).</w:t>
      </w:r>
    </w:p>
    <w:p w14:paraId="5615739C" w14:textId="77777777" w:rsidR="00EF2EB6" w:rsidRPr="00950AF7" w:rsidRDefault="00000000" w:rsidP="00950AF7">
      <w:pPr>
        <w:spacing w:after="120" w:line="360" w:lineRule="auto"/>
        <w:jc w:val="both"/>
      </w:pPr>
      <w:r w:rsidRPr="00950AF7">
        <w:lastRenderedPageBreak/>
        <w:t>The global EPC industry has experienced persistent challenges with project performance. Industry benchmarking data indicates that cost overruns of 20-50% above initial estimates are common in large EPC projects, while schedule delays of 30-80% are not unusual (Merrow, 2011). These performance challenges are driven by a combination of factors including inadequate front-end planning, scope changes during execution, resource availability constraints, regulatory changes, and market volatility affecting material and equipment costs.</w:t>
      </w:r>
    </w:p>
    <w:p w14:paraId="10011DD6" w14:textId="77777777" w:rsidR="00EF2EB6" w:rsidRPr="00950AF7" w:rsidRDefault="00000000" w:rsidP="00950AF7">
      <w:pPr>
        <w:spacing w:after="120" w:line="360" w:lineRule="auto"/>
        <w:jc w:val="both"/>
      </w:pPr>
      <w:r w:rsidRPr="00950AF7">
        <w:t>Within this challenging environment, project control systems play a critical role in monitoring performance, forecasting outcomes, and enabling corrective actions. EVM is the most widely adopted project control methodology in the EPC sector, providing the framework for integrated cost and schedule performance measurement. However, as established in our literature review, the deterministic nature of traditional EVM forecasting limits its effectiveness in the inherently uncertain EPC project environment, motivating the investigation of stochastic alternatives presented in this thesis.</w:t>
      </w:r>
    </w:p>
    <w:p w14:paraId="15E25F61" w14:textId="77777777" w:rsidR="00EF2EB6" w:rsidRPr="00950AF7" w:rsidRDefault="00000000" w:rsidP="00950AF7">
      <w:pPr>
        <w:spacing w:after="120" w:line="360" w:lineRule="auto"/>
        <w:jc w:val="both"/>
      </w:pPr>
      <w:r w:rsidRPr="00950AF7">
        <w:t>The relevance of this research is further underscored by current industry trends toward digital transformation in project management. The increasing availability of real-time project performance data through integrated project management information systems (PMIS) and digital twin technologies creates opportunities for more sophisticated analytical methods, including Monte Carlo simulation. As EPC organizations invest in digital project control platforms, the marginal cost of implementing stochastic forecasting methods decreases substantially, making SEVM adoption increasingly feasible from both a technological and an economic perspective.</w:t>
      </w:r>
    </w:p>
    <w:p w14:paraId="2871CE67" w14:textId="77777777" w:rsidR="00EF2EB6" w:rsidRPr="00950AF7" w:rsidRDefault="00000000" w:rsidP="00950AF7">
      <w:pPr>
        <w:spacing w:after="120" w:line="360" w:lineRule="auto"/>
        <w:jc w:val="both"/>
      </w:pPr>
      <w:r w:rsidRPr="00950AF7">
        <w:t>Furthermore, the growing emphasis on risk-based project governance in the EPC sector, driven by regulatory requirements and investor expectations, has created demand for probabilistic performance information that traditional deterministic EVM cannot provide. Project sponsors and lenders increasingly require probabilistic cost and schedule estimates at multiple confidence levels to support investment decisions, contingency determinations, and risk transfer mechanisms such as insurance and bonding. SEVM is uniquely positioned to satisfy this demand by providing calibrated probabilistic forecasts grounded in actual project performance data.</w:t>
      </w:r>
    </w:p>
    <w:p w14:paraId="310807CE" w14:textId="77777777" w:rsidR="00EF2EB6" w:rsidRPr="00950AF7" w:rsidRDefault="00EF2EB6" w:rsidP="00950AF7">
      <w:pPr>
        <w:spacing w:after="120" w:line="360" w:lineRule="auto"/>
        <w:jc w:val="both"/>
      </w:pPr>
    </w:p>
    <w:p w14:paraId="1C204121" w14:textId="77777777" w:rsidR="00EF2EB6" w:rsidRPr="00950AF7" w:rsidRDefault="00000000" w:rsidP="00950AF7">
      <w:pPr>
        <w:pStyle w:val="Heading1"/>
        <w:spacing w:after="120"/>
        <w:jc w:val="both"/>
        <w:rPr>
          <w:color w:val="auto"/>
          <w:sz w:val="24"/>
          <w:szCs w:val="24"/>
        </w:rPr>
      </w:pPr>
      <w:bookmarkStart w:id="41" w:name="_Toc222201085"/>
      <w:r w:rsidRPr="00950AF7">
        <w:rPr>
          <w:color w:val="auto"/>
          <w:sz w:val="24"/>
          <w:szCs w:val="24"/>
        </w:rPr>
        <w:t>Chapter 3: Data Collection and Analysis Methodologies</w:t>
      </w:r>
      <w:bookmarkEnd w:id="41"/>
    </w:p>
    <w:p w14:paraId="1C6F59EB" w14:textId="77777777" w:rsidR="00EF2EB6" w:rsidRPr="00950AF7" w:rsidRDefault="00EF2EB6" w:rsidP="00950AF7">
      <w:pPr>
        <w:spacing w:after="120" w:line="360" w:lineRule="auto"/>
        <w:jc w:val="both"/>
      </w:pPr>
    </w:p>
    <w:p w14:paraId="76D9586C" w14:textId="77777777" w:rsidR="00EF2EB6" w:rsidRPr="00950AF7" w:rsidRDefault="00000000" w:rsidP="00950AF7">
      <w:pPr>
        <w:pStyle w:val="Heading2"/>
        <w:spacing w:after="120"/>
        <w:jc w:val="both"/>
        <w:rPr>
          <w:color w:val="auto"/>
          <w:sz w:val="24"/>
          <w:szCs w:val="24"/>
        </w:rPr>
      </w:pPr>
      <w:bookmarkStart w:id="42" w:name="_Toc222201086"/>
      <w:r w:rsidRPr="00950AF7">
        <w:rPr>
          <w:color w:val="auto"/>
          <w:sz w:val="24"/>
          <w:szCs w:val="24"/>
        </w:rPr>
        <w:t>Introduction</w:t>
      </w:r>
      <w:bookmarkEnd w:id="42"/>
    </w:p>
    <w:p w14:paraId="0B220F17" w14:textId="77777777" w:rsidR="00EF2EB6" w:rsidRPr="00950AF7" w:rsidRDefault="00000000" w:rsidP="00950AF7">
      <w:pPr>
        <w:spacing w:after="120" w:line="360" w:lineRule="auto"/>
        <w:jc w:val="both"/>
      </w:pPr>
      <w:r w:rsidRPr="00950AF7">
        <w:t>This chapter presents the research methodology employed in our empirical investigation. We describe the research design, the data collection approach, and the Monte Carlo simulation model that constitutes the core analytical tool of our study. The methodological choices presented here are guided by the research questions and hypotheses developed in Part 1, and are designed to enable a rigorous comparison of SEVM and traditional deterministic EVM forecasting approaches in the EPC project context.</w:t>
      </w:r>
    </w:p>
    <w:p w14:paraId="34A98F8B" w14:textId="77777777" w:rsidR="00EF2EB6" w:rsidRPr="00950AF7" w:rsidRDefault="00EF2EB6" w:rsidP="00950AF7">
      <w:pPr>
        <w:spacing w:after="120" w:line="360" w:lineRule="auto"/>
        <w:jc w:val="both"/>
      </w:pPr>
    </w:p>
    <w:p w14:paraId="67F48516" w14:textId="77777777" w:rsidR="00EF2EB6" w:rsidRPr="00950AF7" w:rsidRDefault="00000000" w:rsidP="00950AF7">
      <w:pPr>
        <w:pStyle w:val="Heading2"/>
        <w:spacing w:after="120"/>
        <w:jc w:val="both"/>
        <w:rPr>
          <w:color w:val="auto"/>
          <w:sz w:val="24"/>
          <w:szCs w:val="24"/>
        </w:rPr>
      </w:pPr>
      <w:bookmarkStart w:id="43" w:name="_Toc222201087"/>
      <w:r w:rsidRPr="00950AF7">
        <w:rPr>
          <w:color w:val="auto"/>
          <w:sz w:val="24"/>
          <w:szCs w:val="24"/>
        </w:rPr>
        <w:t>3.1 Research Design</w:t>
      </w:r>
      <w:bookmarkEnd w:id="43"/>
    </w:p>
    <w:p w14:paraId="2AA282AC" w14:textId="77777777" w:rsidR="00EF2EB6" w:rsidRPr="00950AF7" w:rsidRDefault="00EF2EB6" w:rsidP="00950AF7">
      <w:pPr>
        <w:spacing w:after="120" w:line="360" w:lineRule="auto"/>
        <w:jc w:val="both"/>
      </w:pPr>
    </w:p>
    <w:p w14:paraId="377BC69E" w14:textId="77777777" w:rsidR="00EF2EB6" w:rsidRPr="00950AF7" w:rsidRDefault="00000000" w:rsidP="00950AF7">
      <w:pPr>
        <w:pStyle w:val="Heading3"/>
        <w:jc w:val="both"/>
        <w:rPr>
          <w:color w:val="auto"/>
          <w:sz w:val="24"/>
          <w:szCs w:val="24"/>
        </w:rPr>
      </w:pPr>
      <w:bookmarkStart w:id="44" w:name="_Toc222201088"/>
      <w:r w:rsidRPr="00950AF7">
        <w:rPr>
          <w:color w:val="auto"/>
          <w:sz w:val="24"/>
          <w:szCs w:val="24"/>
        </w:rPr>
        <w:t>3.1.1 Methodological Approach</w:t>
      </w:r>
      <w:bookmarkEnd w:id="44"/>
    </w:p>
    <w:p w14:paraId="227F75D7" w14:textId="77777777" w:rsidR="00EF2EB6" w:rsidRPr="00950AF7" w:rsidRDefault="00000000" w:rsidP="00950AF7">
      <w:pPr>
        <w:spacing w:after="120" w:line="360" w:lineRule="auto"/>
        <w:jc w:val="both"/>
      </w:pPr>
      <w:r w:rsidRPr="00950AF7">
        <w:t>This study adopts a quantitative research design centered on computational simulation and comparative analysis. The quantitative approach is appropriate for our research objectives because the testing of our hypotheses requires numerical comparison of forecast accuracy metrics between SEVM and deterministic EVM methods, the operationalization of these concepts through statistical measures necessitates a quantitative framework, and the use of Monte Carlo simulation as both the analytical tool and the subject of study is inherently quantitative in nature.</w:t>
      </w:r>
    </w:p>
    <w:p w14:paraId="0ED875CD" w14:textId="77777777" w:rsidR="00EF2EB6" w:rsidRPr="00950AF7" w:rsidRDefault="00000000" w:rsidP="00950AF7">
      <w:pPr>
        <w:spacing w:after="120" w:line="360" w:lineRule="auto"/>
        <w:jc w:val="both"/>
      </w:pPr>
      <w:r w:rsidRPr="00950AF7">
        <w:t>The research design follows a three-phase structure: (1) data collection and preparation, involving the compilation and validation of historical EPC project performance data; (2) model development, involving the construction of both deterministic EVM and stochastic SEVM forecasting models; and (3) comparative analysis, involving the systematic comparison of forecast accuracy between the two approaches across different project scenarios and conditions.</w:t>
      </w:r>
    </w:p>
    <w:p w14:paraId="212BF1E5" w14:textId="77777777" w:rsidR="00EF2EB6" w:rsidRPr="00950AF7" w:rsidRDefault="00EF2EB6" w:rsidP="00950AF7">
      <w:pPr>
        <w:spacing w:after="120" w:line="360" w:lineRule="auto"/>
        <w:jc w:val="both"/>
      </w:pPr>
    </w:p>
    <w:p w14:paraId="2DEBAF6A" w14:textId="77777777" w:rsidR="00EF2EB6" w:rsidRPr="00950AF7" w:rsidRDefault="00000000" w:rsidP="00950AF7">
      <w:pPr>
        <w:pStyle w:val="Heading3"/>
        <w:jc w:val="both"/>
        <w:rPr>
          <w:color w:val="auto"/>
          <w:sz w:val="24"/>
          <w:szCs w:val="24"/>
        </w:rPr>
      </w:pPr>
      <w:bookmarkStart w:id="45" w:name="_Toc222201089"/>
      <w:r w:rsidRPr="00950AF7">
        <w:rPr>
          <w:color w:val="auto"/>
          <w:sz w:val="24"/>
          <w:szCs w:val="24"/>
        </w:rPr>
        <w:t>3.1.2 Study Scope and Delimitations</w:t>
      </w:r>
      <w:bookmarkEnd w:id="45"/>
    </w:p>
    <w:p w14:paraId="45B54B73" w14:textId="77777777" w:rsidR="00EF2EB6" w:rsidRPr="00950AF7" w:rsidRDefault="00000000" w:rsidP="00950AF7">
      <w:pPr>
        <w:spacing w:after="120" w:line="360" w:lineRule="auto"/>
        <w:jc w:val="both"/>
      </w:pPr>
      <w:r w:rsidRPr="00950AF7">
        <w:t xml:space="preserve">The scope of this study encompasses EPC projects in the industrial and infrastructure sectors, with a focus on projects of medium to large scale (budget exceeding $10 million). We limit our analysis to cost and schedule performance forecasting, excluding other dimensions of project </w:t>
      </w:r>
      <w:r w:rsidRPr="00950AF7">
        <w:lastRenderedPageBreak/>
        <w:t>performance such as quality, safety, or stakeholder satisfaction. The Monte Carlo simulation model is designed to operate with standard EVM data inputs (PV, EV, AC time series) that are available in most EPC project control systems, ensuring the practical applicability of our methodology.</w:t>
      </w:r>
    </w:p>
    <w:p w14:paraId="571C61BA" w14:textId="77777777" w:rsidR="00EF2EB6" w:rsidRPr="00950AF7" w:rsidRDefault="00EF2EB6" w:rsidP="00950AF7">
      <w:pPr>
        <w:spacing w:after="120" w:line="360" w:lineRule="auto"/>
        <w:jc w:val="both"/>
      </w:pPr>
    </w:p>
    <w:p w14:paraId="76DE0C6F" w14:textId="77777777" w:rsidR="00EF2EB6" w:rsidRPr="00950AF7" w:rsidRDefault="00000000" w:rsidP="00950AF7">
      <w:pPr>
        <w:pStyle w:val="Heading2"/>
        <w:spacing w:after="120"/>
        <w:jc w:val="both"/>
        <w:rPr>
          <w:color w:val="auto"/>
          <w:sz w:val="24"/>
          <w:szCs w:val="24"/>
        </w:rPr>
      </w:pPr>
      <w:bookmarkStart w:id="46" w:name="_Toc222201090"/>
      <w:r w:rsidRPr="00950AF7">
        <w:rPr>
          <w:color w:val="auto"/>
          <w:sz w:val="24"/>
          <w:szCs w:val="24"/>
        </w:rPr>
        <w:t>3.2 Data Collection</w:t>
      </w:r>
      <w:bookmarkEnd w:id="46"/>
    </w:p>
    <w:p w14:paraId="3F9005CB" w14:textId="77777777" w:rsidR="00EF2EB6" w:rsidRPr="00950AF7" w:rsidRDefault="00EF2EB6" w:rsidP="00950AF7">
      <w:pPr>
        <w:spacing w:after="120" w:line="360" w:lineRule="auto"/>
        <w:jc w:val="both"/>
      </w:pPr>
    </w:p>
    <w:p w14:paraId="133B262C" w14:textId="77777777" w:rsidR="00EF2EB6" w:rsidRPr="00950AF7" w:rsidRDefault="00000000" w:rsidP="00950AF7">
      <w:pPr>
        <w:pStyle w:val="Heading3"/>
        <w:jc w:val="both"/>
        <w:rPr>
          <w:color w:val="auto"/>
          <w:sz w:val="24"/>
          <w:szCs w:val="24"/>
        </w:rPr>
      </w:pPr>
      <w:bookmarkStart w:id="47" w:name="_Toc222201091"/>
      <w:r w:rsidRPr="00950AF7">
        <w:rPr>
          <w:color w:val="auto"/>
          <w:sz w:val="24"/>
          <w:szCs w:val="24"/>
        </w:rPr>
        <w:t>3.2.1 Data Sources</w:t>
      </w:r>
      <w:bookmarkEnd w:id="47"/>
    </w:p>
    <w:p w14:paraId="339D06B5" w14:textId="29AD1555" w:rsidR="00EF2EB6" w:rsidRPr="00950AF7" w:rsidRDefault="00000000" w:rsidP="00950AF7">
      <w:pPr>
        <w:spacing w:after="120" w:line="360" w:lineRule="auto"/>
        <w:jc w:val="both"/>
      </w:pPr>
      <w:r w:rsidRPr="00950AF7">
        <w:t>The empirical data for this study is drawn from historical EPC project performance records. The data collection process targeted projects meeting the following criteria: (a) completed EPC projects with full lifecycle cost and schedule data available; (b) projects with monthly or periodic EVM reporting including PV, EV, and AC values; (c) projects with documented final actual cost and actual completion date for comparison against forecasts; and (d) projects representing a range of sizes, sectors, and complexity levels to enable analysis of moderating effects.</w:t>
      </w:r>
      <w:r w:rsidR="00950AF7">
        <w:t xml:space="preserve"> </w:t>
      </w:r>
      <w:r w:rsidRPr="00950AF7">
        <w:t>Data was compiled from multiple sources including published project performance databases, academic case studies, and industry reports. The use of secondary data sources is consistent with established research practice in the EVM literature, where access to proprietary project data is often restricted and published datasets enable replication and validation of findings (Batselier and Vanhoucke, 2017).</w:t>
      </w:r>
    </w:p>
    <w:p w14:paraId="2A1715E9" w14:textId="77777777" w:rsidR="00EF2EB6" w:rsidRPr="00950AF7" w:rsidRDefault="00000000" w:rsidP="00950AF7">
      <w:pPr>
        <w:pStyle w:val="Heading3"/>
        <w:jc w:val="both"/>
        <w:rPr>
          <w:color w:val="auto"/>
          <w:sz w:val="24"/>
          <w:szCs w:val="24"/>
        </w:rPr>
      </w:pPr>
      <w:bookmarkStart w:id="48" w:name="_Toc222201092"/>
      <w:r w:rsidRPr="00950AF7">
        <w:rPr>
          <w:color w:val="auto"/>
          <w:sz w:val="24"/>
          <w:szCs w:val="24"/>
        </w:rPr>
        <w:t>3.2.2 Dataset Description</w:t>
      </w:r>
      <w:bookmarkEnd w:id="48"/>
    </w:p>
    <w:p w14:paraId="52B06269" w14:textId="77777777" w:rsidR="00EF2EB6" w:rsidRPr="00950AF7" w:rsidRDefault="00000000" w:rsidP="00950AF7">
      <w:pPr>
        <w:spacing w:after="120" w:line="360" w:lineRule="auto"/>
        <w:jc w:val="both"/>
      </w:pPr>
      <w:r w:rsidRPr="00950AF7">
        <w:t>The dataset compiled for this study comprises twelve completed EPC projects spanning five industrial sectors: oil and gas (including petrochemical, refinery, gas processing, and offshore platform projects), power generation (including a power substation and a solar farm), water treatment (including a water treatment plant and a desalination facility), industrial construction (a warehouse facility), and chemical processing (a chemical plant). The projects range in budget from $15 million (a pipeline section) to $200 million (an LNG terminal), with a total portfolio value of approximately $942 million. Project durations range from 12 months to 42 months.</w:t>
      </w:r>
    </w:p>
    <w:p w14:paraId="53BC3D05" w14:textId="77777777" w:rsidR="00EF2EB6" w:rsidRPr="00950AF7" w:rsidRDefault="00000000" w:rsidP="00950AF7">
      <w:pPr>
        <w:spacing w:after="120" w:line="360" w:lineRule="auto"/>
        <w:jc w:val="both"/>
      </w:pPr>
      <w:r w:rsidRPr="00950AF7">
        <w:t xml:space="preserve">Each project in the dataset provides monthly EVM performance data including Planned Value (PV), Earned Value (EV), and Actual Cost (AC) at each reporting period throughout the project lifecycle. The data has been validated to ensure completeness (no missing reporting periods), consistency (monotonically non-decreasing EV values), and reliability (final EV equals Budget </w:t>
      </w:r>
      <w:r w:rsidRPr="00950AF7">
        <w:lastRenderedPageBreak/>
        <w:t>at Completion within a 1% tolerance). The dataset exhibits a range of cost performance outcomes, with cumulative CPI at completion ranging from 0.776 (28.8% cost overrun) to 1.019 (1.9% under budget), consistent with the performance distribution observed in the broader EPC industry literature (Merrow, 2011).</w:t>
      </w:r>
    </w:p>
    <w:p w14:paraId="777DD1B7" w14:textId="77777777" w:rsidR="00EF2EB6" w:rsidRPr="00950AF7" w:rsidRDefault="00000000" w:rsidP="00950AF7">
      <w:pPr>
        <w:spacing w:after="120" w:line="360" w:lineRule="auto"/>
        <w:jc w:val="both"/>
      </w:pPr>
      <w:r w:rsidRPr="00950AF7">
        <w:t>Projects are classified into three complexity categories (low, medium, high) based on a composite measure incorporating budget magnitude, number of work breakdown structure elements, and the number of engineering discipline interfaces. Six projects are classified as high complexity, four as medium complexity, and two as low complexity. This distribution ensures sufficient representation across complexity levels to support the moderating effect analysis required by Hypothesis 3.</w:t>
      </w:r>
    </w:p>
    <w:p w14:paraId="30E33EB6" w14:textId="77777777" w:rsidR="00EF2EB6" w:rsidRPr="00950AF7" w:rsidRDefault="00EF2EB6" w:rsidP="00950AF7">
      <w:pPr>
        <w:spacing w:after="120" w:line="360" w:lineRule="auto"/>
        <w:jc w:val="both"/>
      </w:pPr>
    </w:p>
    <w:p w14:paraId="18E98EE2" w14:textId="77777777" w:rsidR="00EF2EB6" w:rsidRPr="00950AF7" w:rsidRDefault="00000000" w:rsidP="00950AF7">
      <w:pPr>
        <w:pStyle w:val="Heading3"/>
        <w:jc w:val="both"/>
        <w:rPr>
          <w:color w:val="auto"/>
          <w:sz w:val="24"/>
          <w:szCs w:val="24"/>
        </w:rPr>
      </w:pPr>
      <w:bookmarkStart w:id="49" w:name="_Toc222201093"/>
      <w:r w:rsidRPr="00950AF7">
        <w:rPr>
          <w:color w:val="auto"/>
          <w:sz w:val="24"/>
          <w:szCs w:val="24"/>
        </w:rPr>
        <w:t>3.2.3 Data Preparation and Validation</w:t>
      </w:r>
      <w:bookmarkEnd w:id="49"/>
    </w:p>
    <w:p w14:paraId="531B2182" w14:textId="77777777" w:rsidR="00EF2EB6" w:rsidRPr="00950AF7" w:rsidRDefault="00000000" w:rsidP="00950AF7">
      <w:pPr>
        <w:spacing w:after="120" w:line="360" w:lineRule="auto"/>
        <w:jc w:val="both"/>
      </w:pPr>
      <w:r w:rsidRPr="00950AF7">
        <w:t>Prior to analysis, the collected data undergoes a validation process to ensure suitability for Monte Carlo simulation. This process includes: verification of data completeness (confirming that PV, EV, and AC values are available for each reporting period throughout the project lifecycle); consistency checks (verifying that EV values are monotonically non-decreasing and that final EV equals the Budget at Completion); outlier detection (identifying and investigating anomalous CPI or SPI values that may indicate data errors or extraordinary project events); and normalization (adjusting for reporting period differences across projects to enable consistent comparative analysis).</w:t>
      </w:r>
    </w:p>
    <w:p w14:paraId="298362EF" w14:textId="77777777" w:rsidR="00EF2EB6" w:rsidRPr="00950AF7" w:rsidRDefault="00000000" w:rsidP="00950AF7">
      <w:pPr>
        <w:pStyle w:val="Heading2"/>
        <w:spacing w:after="120"/>
        <w:jc w:val="both"/>
        <w:rPr>
          <w:color w:val="auto"/>
          <w:sz w:val="24"/>
          <w:szCs w:val="24"/>
        </w:rPr>
      </w:pPr>
      <w:bookmarkStart w:id="50" w:name="_Toc222201094"/>
      <w:r w:rsidRPr="00950AF7">
        <w:rPr>
          <w:color w:val="auto"/>
          <w:sz w:val="24"/>
          <w:szCs w:val="24"/>
        </w:rPr>
        <w:t>3.3 Monte Carlo Simulation Model Design</w:t>
      </w:r>
      <w:bookmarkEnd w:id="50"/>
    </w:p>
    <w:p w14:paraId="6A0805A3" w14:textId="77777777" w:rsidR="00EF2EB6" w:rsidRPr="00950AF7" w:rsidRDefault="00000000" w:rsidP="00950AF7">
      <w:pPr>
        <w:pStyle w:val="Heading3"/>
        <w:jc w:val="both"/>
        <w:rPr>
          <w:color w:val="auto"/>
          <w:sz w:val="24"/>
          <w:szCs w:val="24"/>
        </w:rPr>
      </w:pPr>
      <w:bookmarkStart w:id="51" w:name="_Toc222201095"/>
      <w:r w:rsidRPr="00950AF7">
        <w:rPr>
          <w:color w:val="auto"/>
          <w:sz w:val="24"/>
          <w:szCs w:val="24"/>
        </w:rPr>
        <w:t>3.3.1 Model Architecture</w:t>
      </w:r>
      <w:bookmarkEnd w:id="51"/>
    </w:p>
    <w:p w14:paraId="50CD1D99" w14:textId="77777777" w:rsidR="00EF2EB6" w:rsidRPr="00950AF7" w:rsidRDefault="00000000" w:rsidP="00950AF7">
      <w:pPr>
        <w:spacing w:after="120" w:line="360" w:lineRule="auto"/>
        <w:jc w:val="both"/>
      </w:pPr>
      <w:r w:rsidRPr="00950AF7">
        <w:t>The SEVM model developed for this study follows the methodological framework established by Acebes et al. (2014, 2015), adapted for application to EPC project data. The model architecture consists of the following components:</w:t>
      </w:r>
    </w:p>
    <w:p w14:paraId="67F55930" w14:textId="77777777" w:rsidR="00EF2EB6" w:rsidRPr="00950AF7" w:rsidRDefault="00000000" w:rsidP="00950AF7">
      <w:pPr>
        <w:spacing w:after="120" w:line="360" w:lineRule="auto"/>
        <w:jc w:val="both"/>
      </w:pPr>
      <w:r w:rsidRPr="00950AF7">
        <w:rPr>
          <w:b/>
          <w:bCs/>
        </w:rPr>
        <w:t xml:space="preserve">Input Module: </w:t>
      </w:r>
      <w:r w:rsidRPr="00950AF7">
        <w:t>Receives historical EVM data (PV, EV, AC time series) and calculates periodic CPI and SPI values. The module also computes the cumulative CPI and SPI at each reporting period.</w:t>
      </w:r>
    </w:p>
    <w:p w14:paraId="4A6B61C6" w14:textId="77777777" w:rsidR="00EF2EB6" w:rsidRPr="00950AF7" w:rsidRDefault="00000000" w:rsidP="00950AF7">
      <w:pPr>
        <w:spacing w:after="120" w:line="360" w:lineRule="auto"/>
        <w:jc w:val="both"/>
      </w:pPr>
      <w:r w:rsidRPr="00950AF7">
        <w:rPr>
          <w:b/>
          <w:bCs/>
        </w:rPr>
        <w:t xml:space="preserve">Distribution Fitting Module: </w:t>
      </w:r>
      <w:r w:rsidRPr="00950AF7">
        <w:t xml:space="preserve">Analyzes the observed distribution of CPI and SPI values and fits appropriate probability distributions. Based on the literature guidance (Acebes et al., 2015) </w:t>
      </w:r>
      <w:r w:rsidRPr="00950AF7">
        <w:lastRenderedPageBreak/>
        <w:t>and the characteristics of our data, we test three candidate distributions: normal, lognormal, and beta. Distribution fit is assessed using the Kolmogorov-Smirnov test and the Akaike Information Criterion (AIC) to select the best-fitting distribution for each project.</w:t>
      </w:r>
    </w:p>
    <w:p w14:paraId="1492D2E2" w14:textId="77777777" w:rsidR="00EF2EB6" w:rsidRPr="00950AF7" w:rsidRDefault="00000000" w:rsidP="00950AF7">
      <w:pPr>
        <w:spacing w:after="120" w:line="360" w:lineRule="auto"/>
        <w:jc w:val="both"/>
      </w:pPr>
      <w:r w:rsidRPr="00950AF7">
        <w:rPr>
          <w:b/>
          <w:bCs/>
        </w:rPr>
        <w:t xml:space="preserve">Simulation Engine: </w:t>
      </w:r>
      <w:r w:rsidRPr="00950AF7">
        <w:t>Performs Monte Carlo simulation by randomly sampling CPI and SPI values from the fitted distributions and calculating the resulting EAC and duration estimates for each iteration. The simulation is configured to run 10,000 iterations per forecast point, a number that provides sufficient convergence of the output distribution while remaining computationally tractable (Rubinstein and Kroese, 2016).</w:t>
      </w:r>
    </w:p>
    <w:p w14:paraId="5FB0D56E" w14:textId="77777777" w:rsidR="00EF2EB6" w:rsidRPr="00950AF7" w:rsidRDefault="00000000" w:rsidP="00950AF7">
      <w:pPr>
        <w:spacing w:after="120" w:line="360" w:lineRule="auto"/>
        <w:jc w:val="both"/>
      </w:pPr>
      <w:r w:rsidRPr="00950AF7">
        <w:rPr>
          <w:b/>
          <w:bCs/>
        </w:rPr>
        <w:t xml:space="preserve">Output Module: </w:t>
      </w:r>
      <w:r w:rsidRPr="00950AF7">
        <w:t>Aggregates simulation results to produce probabilistic forecast distributions, including the mean, standard deviation, and percentile values (P10, P50, P80, P90) for both EAC and project duration. The module also generates cumulative distribution function (CDF) curves for visual presentation of results.</w:t>
      </w:r>
    </w:p>
    <w:p w14:paraId="6EAB4D0A" w14:textId="77777777" w:rsidR="00EF2EB6" w:rsidRPr="00950AF7" w:rsidRDefault="00000000" w:rsidP="00950AF7">
      <w:pPr>
        <w:pStyle w:val="Heading3"/>
        <w:jc w:val="both"/>
        <w:rPr>
          <w:color w:val="auto"/>
          <w:sz w:val="24"/>
          <w:szCs w:val="24"/>
        </w:rPr>
      </w:pPr>
      <w:bookmarkStart w:id="52" w:name="_Toc222201096"/>
      <w:r w:rsidRPr="00950AF7">
        <w:rPr>
          <w:color w:val="auto"/>
          <w:sz w:val="24"/>
          <w:szCs w:val="24"/>
        </w:rPr>
        <w:t>3.3.2 Stochastic EAC Calculation</w:t>
      </w:r>
      <w:bookmarkEnd w:id="52"/>
    </w:p>
    <w:p w14:paraId="3CB774DD" w14:textId="77777777" w:rsidR="00EF2EB6" w:rsidRPr="00950AF7" w:rsidRDefault="00000000" w:rsidP="00950AF7">
      <w:pPr>
        <w:spacing w:after="120" w:line="360" w:lineRule="auto"/>
        <w:jc w:val="both"/>
      </w:pPr>
      <w:r w:rsidRPr="00950AF7">
        <w:t>For each Monte Carlo iteration i, the stochastic EAC is calculated as:</w:t>
      </w:r>
    </w:p>
    <w:p w14:paraId="650B226B" w14:textId="77777777" w:rsidR="00EF2EB6" w:rsidRPr="00950AF7" w:rsidRDefault="00000000" w:rsidP="00950AF7">
      <w:pPr>
        <w:spacing w:after="120" w:line="360" w:lineRule="auto"/>
        <w:jc w:val="both"/>
      </w:pPr>
      <w:r w:rsidRPr="00950AF7">
        <w:rPr>
          <w:b/>
          <w:bCs/>
          <w:i/>
          <w:iCs/>
        </w:rPr>
        <w:t>EAC(i) = AC + (BAC - EV) / CPI(i)</w:t>
      </w:r>
    </w:p>
    <w:p w14:paraId="77343E6E" w14:textId="77777777" w:rsidR="00EF2EB6" w:rsidRPr="00950AF7" w:rsidRDefault="00000000" w:rsidP="00950AF7">
      <w:pPr>
        <w:spacing w:after="120" w:line="360" w:lineRule="auto"/>
        <w:jc w:val="both"/>
      </w:pPr>
      <w:r w:rsidRPr="00950AF7">
        <w:t>where CPI(i) is a random value drawn from the fitted CPI probability distribution. This formula assumes that the remaining work will be performed at a cost efficiency rate consistent with the stochastic CPI model, which accounts for the natural variability of cost performance.</w:t>
      </w:r>
    </w:p>
    <w:p w14:paraId="2A4C00D1" w14:textId="77777777" w:rsidR="00EF2EB6" w:rsidRPr="00950AF7" w:rsidRDefault="00000000" w:rsidP="00950AF7">
      <w:pPr>
        <w:spacing w:after="120" w:line="360" w:lineRule="auto"/>
        <w:jc w:val="both"/>
      </w:pPr>
      <w:r w:rsidRPr="00950AF7">
        <w:t>For the composite EAC that incorporates both cost and schedule performance, we use:</w:t>
      </w:r>
    </w:p>
    <w:p w14:paraId="40C81955" w14:textId="77777777" w:rsidR="00EF2EB6" w:rsidRPr="00950AF7" w:rsidRDefault="00000000" w:rsidP="00950AF7">
      <w:pPr>
        <w:spacing w:after="120" w:line="360" w:lineRule="auto"/>
        <w:jc w:val="both"/>
      </w:pPr>
      <w:r w:rsidRPr="00950AF7">
        <w:rPr>
          <w:b/>
          <w:bCs/>
          <w:i/>
          <w:iCs/>
        </w:rPr>
        <w:t>EAC_composite(i) = AC + (BAC - EV) / (CPI(i) x SPI(i))</w:t>
      </w:r>
    </w:p>
    <w:p w14:paraId="5780AFB0" w14:textId="77777777" w:rsidR="00EF2EB6" w:rsidRPr="00950AF7" w:rsidRDefault="00000000" w:rsidP="00950AF7">
      <w:pPr>
        <w:spacing w:after="120" w:line="360" w:lineRule="auto"/>
        <w:jc w:val="both"/>
      </w:pPr>
      <w:r w:rsidRPr="00950AF7">
        <w:t>where both CPI(i) and SPI(i) are independently sampled from their respective distributions. The inclusion of SPI in the EAC calculation reflects the well-documented relationship between schedule delays and cost increases in EPC projects.</w:t>
      </w:r>
    </w:p>
    <w:p w14:paraId="7EE0DCA8" w14:textId="77777777" w:rsidR="00EF2EB6" w:rsidRPr="00950AF7" w:rsidRDefault="00EF2EB6" w:rsidP="00950AF7">
      <w:pPr>
        <w:spacing w:after="120" w:line="360" w:lineRule="auto"/>
        <w:jc w:val="both"/>
      </w:pPr>
    </w:p>
    <w:p w14:paraId="137E248D" w14:textId="77777777" w:rsidR="00EF2EB6" w:rsidRPr="00950AF7" w:rsidRDefault="00000000" w:rsidP="00950AF7">
      <w:pPr>
        <w:pStyle w:val="Heading3"/>
        <w:jc w:val="both"/>
        <w:rPr>
          <w:color w:val="auto"/>
          <w:sz w:val="24"/>
          <w:szCs w:val="24"/>
        </w:rPr>
      </w:pPr>
      <w:bookmarkStart w:id="53" w:name="_Toc222201097"/>
      <w:r w:rsidRPr="00950AF7">
        <w:rPr>
          <w:color w:val="auto"/>
          <w:sz w:val="24"/>
          <w:szCs w:val="24"/>
        </w:rPr>
        <w:t>3.3.3 Deterministic EVM Benchmark</w:t>
      </w:r>
      <w:bookmarkEnd w:id="53"/>
    </w:p>
    <w:p w14:paraId="694CF117" w14:textId="77777777" w:rsidR="00EF2EB6" w:rsidRPr="00950AF7" w:rsidRDefault="00000000" w:rsidP="00950AF7">
      <w:pPr>
        <w:spacing w:after="120" w:line="360" w:lineRule="auto"/>
        <w:jc w:val="both"/>
      </w:pPr>
      <w:r w:rsidRPr="00950AF7">
        <w:t>To enable comparative analysis, we calculate the deterministic EVM forecast at each reporting period using the standard formula EAC = BAC/CPI_cumulative, where CPI_cumulative is the cumulative cost performance index at the reporting date. This deterministic EAC serves as the benchmark against which SEVM forecast accuracy is compared.</w:t>
      </w:r>
    </w:p>
    <w:p w14:paraId="47C9DE37" w14:textId="77777777" w:rsidR="00EF2EB6" w:rsidRPr="00950AF7" w:rsidRDefault="00EF2EB6" w:rsidP="00950AF7">
      <w:pPr>
        <w:spacing w:after="120" w:line="360" w:lineRule="auto"/>
        <w:jc w:val="both"/>
      </w:pPr>
    </w:p>
    <w:p w14:paraId="265EBC2C" w14:textId="77777777" w:rsidR="00EF2EB6" w:rsidRPr="00950AF7" w:rsidRDefault="00000000" w:rsidP="00950AF7">
      <w:pPr>
        <w:pStyle w:val="Heading3"/>
        <w:jc w:val="both"/>
        <w:rPr>
          <w:color w:val="auto"/>
          <w:sz w:val="24"/>
          <w:szCs w:val="24"/>
        </w:rPr>
      </w:pPr>
      <w:bookmarkStart w:id="54" w:name="_Toc222201098"/>
      <w:r w:rsidRPr="00950AF7">
        <w:rPr>
          <w:color w:val="auto"/>
          <w:sz w:val="24"/>
          <w:szCs w:val="24"/>
        </w:rPr>
        <w:lastRenderedPageBreak/>
        <w:t>3.3.4 Forecast Accuracy Metrics</w:t>
      </w:r>
      <w:bookmarkEnd w:id="54"/>
    </w:p>
    <w:p w14:paraId="1B65B5CF" w14:textId="77777777" w:rsidR="00EF2EB6" w:rsidRPr="00950AF7" w:rsidRDefault="00000000" w:rsidP="00950AF7">
      <w:pPr>
        <w:spacing w:after="120" w:line="360" w:lineRule="auto"/>
        <w:jc w:val="both"/>
      </w:pPr>
      <w:r w:rsidRPr="00950AF7">
        <w:t>We employ the following metrics to assess and compare forecast accuracy:</w:t>
      </w:r>
    </w:p>
    <w:p w14:paraId="27FC872A" w14:textId="77777777" w:rsidR="00EF2EB6" w:rsidRPr="00950AF7" w:rsidRDefault="00000000" w:rsidP="00950AF7">
      <w:pPr>
        <w:spacing w:after="120" w:line="360" w:lineRule="auto"/>
        <w:jc w:val="both"/>
      </w:pPr>
      <w:r w:rsidRPr="00950AF7">
        <w:rPr>
          <w:b/>
          <w:bCs/>
        </w:rPr>
        <w:t xml:space="preserve">Mean Absolute Percentage Error (MAPE): </w:t>
      </w:r>
      <w:r w:rsidRPr="00950AF7">
        <w:t>Calculated as |Forecast - Actual| / Actual x 100%, MAPE provides a standardized measure of forecast deviation that enables comparison across projects of different sizes.</w:t>
      </w:r>
    </w:p>
    <w:p w14:paraId="1DDA1C3E" w14:textId="77777777" w:rsidR="00EF2EB6" w:rsidRPr="00950AF7" w:rsidRDefault="00000000" w:rsidP="00950AF7">
      <w:pPr>
        <w:spacing w:after="120" w:line="360" w:lineRule="auto"/>
        <w:jc w:val="both"/>
      </w:pPr>
      <w:r w:rsidRPr="00950AF7">
        <w:rPr>
          <w:b/>
          <w:bCs/>
        </w:rPr>
        <w:t xml:space="preserve">Mean Percentage Error (MPE): </w:t>
      </w:r>
      <w:r w:rsidRPr="00950AF7">
        <w:t>Calculated as (Forecast - Actual) / Actual x 100%, MPE captures the direction of forecast bias (positive = overestimation, negative = underestimation) in addition to magnitude.</w:t>
      </w:r>
    </w:p>
    <w:p w14:paraId="537A4306" w14:textId="77777777" w:rsidR="00EF2EB6" w:rsidRPr="00950AF7" w:rsidRDefault="00000000" w:rsidP="00950AF7">
      <w:pPr>
        <w:spacing w:after="120" w:line="360" w:lineRule="auto"/>
        <w:jc w:val="both"/>
      </w:pPr>
      <w:r w:rsidRPr="00950AF7">
        <w:rPr>
          <w:b/>
          <w:bCs/>
        </w:rPr>
        <w:t xml:space="preserve">Calibration Score: </w:t>
      </w:r>
      <w:r w:rsidRPr="00950AF7">
        <w:t>For SEVM forecasts, calibration measures the proportion of actual outcomes that fall within the predicted confidence intervals. A well-calibrated model should have approximately X% of actual outcomes falling within its X% prediction interval (e.g., 80% of actuals within the P10-P90 interval).</w:t>
      </w:r>
    </w:p>
    <w:p w14:paraId="479FAE5B" w14:textId="77777777" w:rsidR="00EF2EB6" w:rsidRPr="00950AF7" w:rsidRDefault="00000000" w:rsidP="00950AF7">
      <w:pPr>
        <w:pStyle w:val="Heading2"/>
        <w:spacing w:after="120"/>
        <w:jc w:val="both"/>
        <w:rPr>
          <w:color w:val="auto"/>
          <w:sz w:val="24"/>
          <w:szCs w:val="24"/>
        </w:rPr>
      </w:pPr>
      <w:bookmarkStart w:id="55" w:name="_Toc222201099"/>
      <w:r w:rsidRPr="00950AF7">
        <w:rPr>
          <w:color w:val="auto"/>
          <w:sz w:val="24"/>
          <w:szCs w:val="24"/>
        </w:rPr>
        <w:t>3.4 Simulation Validation and Convergence</w:t>
      </w:r>
      <w:bookmarkEnd w:id="55"/>
    </w:p>
    <w:p w14:paraId="53CF95F1" w14:textId="77777777" w:rsidR="00EF2EB6" w:rsidRPr="00950AF7" w:rsidRDefault="00000000" w:rsidP="00950AF7">
      <w:pPr>
        <w:pStyle w:val="Heading3"/>
        <w:jc w:val="both"/>
        <w:rPr>
          <w:color w:val="auto"/>
          <w:sz w:val="24"/>
          <w:szCs w:val="24"/>
        </w:rPr>
      </w:pPr>
      <w:bookmarkStart w:id="56" w:name="_Toc222201100"/>
      <w:r w:rsidRPr="00950AF7">
        <w:rPr>
          <w:color w:val="auto"/>
          <w:sz w:val="24"/>
          <w:szCs w:val="24"/>
        </w:rPr>
        <w:t>3.4.1 Convergence Analysis</w:t>
      </w:r>
      <w:bookmarkEnd w:id="56"/>
    </w:p>
    <w:p w14:paraId="5DB821C1" w14:textId="77777777" w:rsidR="00EF2EB6" w:rsidRPr="00950AF7" w:rsidRDefault="00000000" w:rsidP="00950AF7">
      <w:pPr>
        <w:spacing w:after="120" w:line="360" w:lineRule="auto"/>
        <w:jc w:val="both"/>
      </w:pPr>
      <w:r w:rsidRPr="00950AF7">
        <w:t>A critical consideration in any Monte Carlo simulation study is ensuring that the number of iterations is sufficient to produce stable and reliable results. Insufficient iterations may lead to sampling error that distorts the output distribution, while excessive iterations waste computational resources without meaningful improvement in accuracy (Rubinstein and Kroese, 2016). We employ a convergence analysis based on the coefficient of variation (CV) of the simulated EAC mean, monitoring how this metric stabilizes as the number of iterations increases.</w:t>
      </w:r>
    </w:p>
    <w:p w14:paraId="545F3BB9" w14:textId="70181EC4" w:rsidR="00EF2EB6" w:rsidRPr="00950AF7" w:rsidRDefault="00000000" w:rsidP="00950AF7">
      <w:pPr>
        <w:spacing w:after="120" w:line="360" w:lineRule="auto"/>
        <w:jc w:val="both"/>
      </w:pPr>
      <w:r w:rsidRPr="00950AF7">
        <w:t>The convergence criterion adopted in this study requires the CV of the mean EAC to fall below 0.1% for at least 100 consecutive iteration batches, ensuring that the simulated distribution has achieved statistical stability. Our preliminary testing indicates that convergence is typically achieved within 5,000 iterations for most project scenarios, validating our selection of 10,000 iterations as providing a substantial margin of safety above the minimum convergence threshold.</w:t>
      </w:r>
    </w:p>
    <w:p w14:paraId="6482FF0C" w14:textId="77777777" w:rsidR="00EF2EB6" w:rsidRPr="00950AF7" w:rsidRDefault="00000000" w:rsidP="00950AF7">
      <w:pPr>
        <w:pStyle w:val="Heading3"/>
        <w:jc w:val="both"/>
        <w:rPr>
          <w:color w:val="auto"/>
          <w:sz w:val="24"/>
          <w:szCs w:val="24"/>
        </w:rPr>
      </w:pPr>
      <w:bookmarkStart w:id="57" w:name="_Toc222201101"/>
      <w:r w:rsidRPr="00950AF7">
        <w:rPr>
          <w:color w:val="auto"/>
          <w:sz w:val="24"/>
          <w:szCs w:val="24"/>
        </w:rPr>
        <w:t>3.4.2 Distribution Validation</w:t>
      </w:r>
      <w:bookmarkEnd w:id="57"/>
    </w:p>
    <w:p w14:paraId="107F5D35" w14:textId="77777777" w:rsidR="00EF2EB6" w:rsidRPr="00950AF7" w:rsidRDefault="00000000" w:rsidP="00950AF7">
      <w:pPr>
        <w:spacing w:after="120" w:line="360" w:lineRule="auto"/>
        <w:jc w:val="both"/>
      </w:pPr>
      <w:r w:rsidRPr="00950AF7">
        <w:t xml:space="preserve">The validity of the SEVM output depends critically on the quality of the input distributions fitted to the CPI and SPI data. We employ a two-stage validation process for distribution fitting. </w:t>
      </w:r>
      <w:r w:rsidRPr="00950AF7">
        <w:lastRenderedPageBreak/>
        <w:t>In the first stage, candidate distributions (normal, lognormal, and beta) are fitted to the observed CPI and SPI data using maximum likelihood estimation (MLE). In the second stage, the goodness of fit is assessed using the Kolmogorov-Smirnov (KS) test at the 5% significance level, supplemented by visual inspection of probability-probability (P-P) plots and quantile-quantile (Q-Q) plots.</w:t>
      </w:r>
    </w:p>
    <w:p w14:paraId="624D1DB9" w14:textId="68612A94" w:rsidR="00EF2EB6" w:rsidRPr="00950AF7" w:rsidRDefault="00000000" w:rsidP="00950AF7">
      <w:pPr>
        <w:spacing w:after="120" w:line="360" w:lineRule="auto"/>
        <w:jc w:val="both"/>
      </w:pPr>
      <w:r w:rsidRPr="00950AF7">
        <w:t>When multiple distributions pass the KS test, the Akaike Information Criterion (AIC) is used to select the best-fitting distribution, as it balances goodness of fit with model parsimony. In cases where no standard distribution adequately fits the data (KS test p &lt; 0.05 for all candidates), we employ the empirical distribution based on kernel density estimation, which makes no assumptions about the parametric form of the underlying distribution.</w:t>
      </w:r>
    </w:p>
    <w:p w14:paraId="437A27BC" w14:textId="77777777" w:rsidR="00EF2EB6" w:rsidRPr="00950AF7" w:rsidRDefault="00000000" w:rsidP="00950AF7">
      <w:pPr>
        <w:pStyle w:val="Heading3"/>
        <w:jc w:val="both"/>
        <w:rPr>
          <w:color w:val="auto"/>
          <w:sz w:val="24"/>
          <w:szCs w:val="24"/>
        </w:rPr>
      </w:pPr>
      <w:bookmarkStart w:id="58" w:name="_Toc222201102"/>
      <w:r w:rsidRPr="00950AF7">
        <w:rPr>
          <w:color w:val="auto"/>
          <w:sz w:val="24"/>
          <w:szCs w:val="24"/>
        </w:rPr>
        <w:t>3.4.3 Statistical Hypothesis Testing</w:t>
      </w:r>
      <w:bookmarkEnd w:id="58"/>
    </w:p>
    <w:p w14:paraId="40534152" w14:textId="77777777" w:rsidR="00EF2EB6" w:rsidRPr="00950AF7" w:rsidRDefault="00000000" w:rsidP="00950AF7">
      <w:pPr>
        <w:spacing w:after="120" w:line="360" w:lineRule="auto"/>
        <w:jc w:val="both"/>
      </w:pPr>
      <w:r w:rsidRPr="00950AF7">
        <w:t>The comparison of forecast accuracy between SEVM and deterministic EVM employs non-parametric statistical tests, as the assumption of normality cannot be guaranteed for the accuracy metric distributions. Specifically, we use the Wilcoxon signed-rank test for paired comparisons of MAPE values between methods at each completion stage, with the null hypothesis that the median difference in MAPE between SEVM and deterministic EVM is zero. The significance level is set at alpha = 0.05, with Bonferroni correction applied when multiple comparisons are conducted to control the family-wise error rate.</w:t>
      </w:r>
    </w:p>
    <w:p w14:paraId="25F350BD" w14:textId="72AB66D3" w:rsidR="00EF2EB6" w:rsidRPr="00950AF7" w:rsidRDefault="00000000" w:rsidP="00950AF7">
      <w:pPr>
        <w:spacing w:after="120" w:line="360" w:lineRule="auto"/>
        <w:jc w:val="both"/>
      </w:pPr>
      <w:r w:rsidRPr="00950AF7">
        <w:t>For the analysis of moderating effects (H3 and H4), we stratify the accuracy data by project complexity and completion phase, applying the Kruskal-Wallis test to assess whether the SEVM accuracy advantage varies significantly across strata. Post-hoc pairwise comparisons use the Dunn test with Bonferroni correction to identify specific group differences.</w:t>
      </w:r>
    </w:p>
    <w:p w14:paraId="026D3516" w14:textId="77777777" w:rsidR="00EF2EB6" w:rsidRPr="00950AF7" w:rsidRDefault="00000000" w:rsidP="00950AF7">
      <w:pPr>
        <w:pStyle w:val="Heading2"/>
        <w:spacing w:after="120"/>
        <w:jc w:val="both"/>
        <w:rPr>
          <w:color w:val="auto"/>
          <w:sz w:val="24"/>
          <w:szCs w:val="24"/>
        </w:rPr>
      </w:pPr>
      <w:bookmarkStart w:id="59" w:name="_Toc222201103"/>
      <w:r w:rsidRPr="00950AF7">
        <w:rPr>
          <w:color w:val="auto"/>
          <w:sz w:val="24"/>
          <w:szCs w:val="24"/>
        </w:rPr>
        <w:t>3.5 Analysis Procedure</w:t>
      </w:r>
      <w:bookmarkEnd w:id="59"/>
    </w:p>
    <w:p w14:paraId="329A38FA" w14:textId="77777777" w:rsidR="00EF2EB6" w:rsidRPr="00950AF7" w:rsidRDefault="00000000" w:rsidP="00950AF7">
      <w:pPr>
        <w:spacing w:after="120" w:line="360" w:lineRule="auto"/>
        <w:jc w:val="both"/>
      </w:pPr>
      <w:r w:rsidRPr="00950AF7">
        <w:t>The comparative analysis proceeds in four stages:</w:t>
      </w:r>
    </w:p>
    <w:p w14:paraId="61889A33" w14:textId="77777777" w:rsidR="00EF2EB6" w:rsidRPr="00950AF7" w:rsidRDefault="00000000" w:rsidP="00950AF7">
      <w:pPr>
        <w:spacing w:after="120" w:line="360" w:lineRule="auto"/>
        <w:jc w:val="both"/>
      </w:pPr>
      <w:r w:rsidRPr="00950AF7">
        <w:rPr>
          <w:b/>
          <w:bCs/>
        </w:rPr>
        <w:t xml:space="preserve">Stage 1 – Rolling Forecast Generation: </w:t>
      </w:r>
      <w:r w:rsidRPr="00950AF7">
        <w:t>For each project in the dataset, both deterministic EVM and SEVM forecasts are generated at regular intervals (every 10% of planned project completion, from 10% to 90%). This creates a series of progressive forecasts that can be compared against the known actual outcomes.</w:t>
      </w:r>
    </w:p>
    <w:p w14:paraId="50907D07" w14:textId="77777777" w:rsidR="00EF2EB6" w:rsidRPr="00950AF7" w:rsidRDefault="00000000" w:rsidP="00950AF7">
      <w:pPr>
        <w:spacing w:after="120" w:line="360" w:lineRule="auto"/>
        <w:jc w:val="both"/>
      </w:pPr>
      <w:r w:rsidRPr="00950AF7">
        <w:rPr>
          <w:b/>
          <w:bCs/>
        </w:rPr>
        <w:t xml:space="preserve">Stage 2 – Accuracy Comparison: </w:t>
      </w:r>
      <w:r w:rsidRPr="00950AF7">
        <w:t>MAPE and MPE values are calculated for each forecast at each completion stage. The accuracy metrics are then compared between SEVM (using the P50 value as the point estimate) and deterministic EVM to test H1 and H2.</w:t>
      </w:r>
    </w:p>
    <w:p w14:paraId="521961F7" w14:textId="77777777" w:rsidR="00EF2EB6" w:rsidRPr="00950AF7" w:rsidRDefault="00000000" w:rsidP="00950AF7">
      <w:pPr>
        <w:spacing w:after="120" w:line="360" w:lineRule="auto"/>
        <w:jc w:val="both"/>
      </w:pPr>
      <w:r w:rsidRPr="00950AF7">
        <w:rPr>
          <w:b/>
          <w:bCs/>
        </w:rPr>
        <w:lastRenderedPageBreak/>
        <w:t xml:space="preserve">Stage 3 – Moderating Effect Analysis: </w:t>
      </w:r>
      <w:r w:rsidRPr="00950AF7">
        <w:t>The accuracy data is stratified by project complexity categories and completion stages to test H3 and H4 regarding the moderating effects of complexity and project phase on the SEVM accuracy advantage.</w:t>
      </w:r>
    </w:p>
    <w:p w14:paraId="32D01434" w14:textId="77777777" w:rsidR="00EF2EB6" w:rsidRPr="00950AF7" w:rsidRDefault="00000000" w:rsidP="00950AF7">
      <w:pPr>
        <w:spacing w:after="120" w:line="360" w:lineRule="auto"/>
        <w:jc w:val="both"/>
      </w:pPr>
      <w:r w:rsidRPr="00950AF7">
        <w:rPr>
          <w:b/>
          <w:bCs/>
        </w:rPr>
        <w:t xml:space="preserve">Stage 4 – Data Quality Sensitivity Analysis: </w:t>
      </w:r>
      <w:r w:rsidRPr="00950AF7">
        <w:t>The impact of data quality on SEVM forecast reliability is assessed by systematically varying the number of historical data points used for distribution fitting and measuring the effect on prediction interval width and calibration accuracy, testing H5.</w:t>
      </w:r>
    </w:p>
    <w:p w14:paraId="73A3CFB3" w14:textId="77777777" w:rsidR="00EF2EB6" w:rsidRPr="00950AF7" w:rsidRDefault="00EF2EB6" w:rsidP="00950AF7">
      <w:pPr>
        <w:spacing w:after="120" w:line="360" w:lineRule="auto"/>
        <w:jc w:val="both"/>
      </w:pPr>
    </w:p>
    <w:p w14:paraId="6E640ACC" w14:textId="77777777" w:rsidR="00EF2EB6" w:rsidRPr="00950AF7" w:rsidRDefault="00000000" w:rsidP="00950AF7">
      <w:pPr>
        <w:pStyle w:val="Heading2"/>
        <w:spacing w:after="120"/>
        <w:jc w:val="both"/>
        <w:rPr>
          <w:color w:val="auto"/>
          <w:sz w:val="24"/>
          <w:szCs w:val="24"/>
        </w:rPr>
      </w:pPr>
      <w:bookmarkStart w:id="60" w:name="_Toc222201104"/>
      <w:r w:rsidRPr="00950AF7">
        <w:rPr>
          <w:color w:val="auto"/>
          <w:sz w:val="24"/>
          <w:szCs w:val="24"/>
        </w:rPr>
        <w:t>Conclusion of Chapter 3</w:t>
      </w:r>
      <w:bookmarkEnd w:id="60"/>
    </w:p>
    <w:p w14:paraId="0EFF2F38" w14:textId="77777777" w:rsidR="00EF2EB6" w:rsidRPr="00950AF7" w:rsidRDefault="00000000" w:rsidP="00950AF7">
      <w:pPr>
        <w:spacing w:after="120" w:line="360" w:lineRule="auto"/>
        <w:jc w:val="both"/>
      </w:pPr>
      <w:r w:rsidRPr="00950AF7">
        <w:t>This chapter has presented the methodology for our empirical study, describing the quantitative research design, data collection approach, Monte Carlo simulation model architecture, and analysis procedure. The methodology is designed to enable a rigorous and systematic comparison of SEVM and deterministic EVM forecasting approaches, with attention to both the main effects of forecasting methodology on accuracy and the moderating effects of project and data characteristics. The results of this analysis are presented in the following chapter.</w:t>
      </w:r>
    </w:p>
    <w:p w14:paraId="6DF8DD6A" w14:textId="040B80DC" w:rsidR="00EF2EB6" w:rsidRPr="00950AF7" w:rsidRDefault="00000000" w:rsidP="00950AF7">
      <w:pPr>
        <w:pStyle w:val="Heading1"/>
        <w:spacing w:after="120"/>
        <w:jc w:val="both"/>
        <w:rPr>
          <w:color w:val="auto"/>
          <w:sz w:val="24"/>
          <w:szCs w:val="24"/>
        </w:rPr>
      </w:pPr>
      <w:bookmarkStart w:id="61" w:name="_Toc222201105"/>
      <w:r w:rsidRPr="00950AF7">
        <w:rPr>
          <w:color w:val="auto"/>
          <w:sz w:val="24"/>
          <w:szCs w:val="24"/>
        </w:rPr>
        <w:t>Chapter 4: Results, Discussion, and Contributions</w:t>
      </w:r>
      <w:bookmarkEnd w:id="61"/>
    </w:p>
    <w:p w14:paraId="7F530EDC" w14:textId="77777777" w:rsidR="00EF2EB6" w:rsidRPr="00950AF7" w:rsidRDefault="00000000" w:rsidP="00950AF7">
      <w:pPr>
        <w:pStyle w:val="Heading2"/>
        <w:spacing w:after="120"/>
        <w:jc w:val="both"/>
        <w:rPr>
          <w:color w:val="auto"/>
          <w:sz w:val="24"/>
          <w:szCs w:val="24"/>
        </w:rPr>
      </w:pPr>
      <w:bookmarkStart w:id="62" w:name="_Toc222201106"/>
      <w:r w:rsidRPr="00950AF7">
        <w:rPr>
          <w:color w:val="auto"/>
          <w:sz w:val="24"/>
          <w:szCs w:val="24"/>
        </w:rPr>
        <w:t>Introduction</w:t>
      </w:r>
      <w:bookmarkEnd w:id="62"/>
    </w:p>
    <w:p w14:paraId="0851BCB0" w14:textId="485B3750" w:rsidR="00EF2EB6" w:rsidRPr="00950AF7" w:rsidRDefault="00000000" w:rsidP="00950AF7">
      <w:pPr>
        <w:spacing w:after="120" w:line="360" w:lineRule="auto"/>
        <w:jc w:val="both"/>
      </w:pPr>
      <w:r w:rsidRPr="00950AF7">
        <w:t>This chapter presents the results of the empirical analysis described in Chapter 3, discusses their implications in the context of the existing scientific literature, and formulates concrete managerial recommendations for EPC organizations. The presentation of results follows the structure of our five research questions, enabling a systematic evaluation of each hypothesis. We then discuss the findings in relation to the theoretical framework developed in Part 1, and conclude with actionable recommendations for SEVM implementation in EPC project control environments.</w:t>
      </w:r>
    </w:p>
    <w:p w14:paraId="688C5D84" w14:textId="1BAE31BA" w:rsidR="00EF2EB6" w:rsidRPr="00950AF7" w:rsidRDefault="00000000" w:rsidP="00950AF7">
      <w:pPr>
        <w:pStyle w:val="Heading2"/>
        <w:spacing w:after="120"/>
        <w:jc w:val="both"/>
        <w:rPr>
          <w:color w:val="auto"/>
          <w:sz w:val="24"/>
          <w:szCs w:val="24"/>
        </w:rPr>
      </w:pPr>
      <w:bookmarkStart w:id="63" w:name="_Toc222201107"/>
      <w:r w:rsidRPr="00950AF7">
        <w:rPr>
          <w:color w:val="auto"/>
          <w:sz w:val="24"/>
          <w:szCs w:val="24"/>
        </w:rPr>
        <w:t>4.1 Obtained Results</w:t>
      </w:r>
      <w:bookmarkEnd w:id="63"/>
    </w:p>
    <w:p w14:paraId="6BEC7475" w14:textId="77777777" w:rsidR="00EF2EB6" w:rsidRPr="00950AF7" w:rsidRDefault="00000000" w:rsidP="00950AF7">
      <w:pPr>
        <w:pStyle w:val="Heading3"/>
        <w:jc w:val="both"/>
        <w:rPr>
          <w:color w:val="auto"/>
          <w:sz w:val="24"/>
          <w:szCs w:val="24"/>
        </w:rPr>
      </w:pPr>
      <w:bookmarkStart w:id="64" w:name="_Toc222201108"/>
      <w:r w:rsidRPr="00950AF7">
        <w:rPr>
          <w:color w:val="auto"/>
          <w:sz w:val="24"/>
          <w:szCs w:val="24"/>
        </w:rPr>
        <w:t>4.1.1 Descriptive Analysis of the Project Dataset</w:t>
      </w:r>
      <w:bookmarkEnd w:id="64"/>
    </w:p>
    <w:p w14:paraId="693C8EBC" w14:textId="77777777" w:rsidR="00EF2EB6" w:rsidRPr="00950AF7" w:rsidRDefault="00000000" w:rsidP="00950AF7">
      <w:pPr>
        <w:spacing w:after="120" w:line="360" w:lineRule="auto"/>
        <w:jc w:val="both"/>
      </w:pPr>
      <w:r w:rsidRPr="00950AF7">
        <w:t xml:space="preserve">Our empirical analysis encompasses twelve EPC projects spanning five industrial sectors: oil and gas, power generation, water treatment, industrial construction, and renewable energy. The projects range in budget from $15 million (pipeline section) to $200 million (LNG terminal), </w:t>
      </w:r>
      <w:r w:rsidRPr="00950AF7">
        <w:lastRenderedPageBreak/>
        <w:t>representing a total portfolio value of approximately $942 million. Table 1 presents the descriptive characteristics of each project in the dataset.</w:t>
      </w:r>
    </w:p>
    <w:p w14:paraId="533CA13B" w14:textId="77777777" w:rsidR="00EF2EB6" w:rsidRPr="00950AF7" w:rsidRDefault="00EF2EB6" w:rsidP="00950AF7">
      <w:pPr>
        <w:spacing w:after="120" w:line="360" w:lineRule="auto"/>
        <w:jc w:val="both"/>
      </w:pPr>
    </w:p>
    <w:p w14:paraId="58023397" w14:textId="77777777" w:rsidR="00EF2EB6" w:rsidRPr="00950AF7" w:rsidRDefault="00000000" w:rsidP="00950AF7">
      <w:pPr>
        <w:spacing w:after="100" w:line="360" w:lineRule="auto"/>
        <w:jc w:val="both"/>
      </w:pPr>
      <w:r w:rsidRPr="00950AF7">
        <w:rPr>
          <w:b/>
          <w:bCs/>
        </w:rPr>
        <w:t>Table 1: Descriptive Characteristics of the EPC Project Dataset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019"/>
        <w:gridCol w:w="1135"/>
        <w:gridCol w:w="1094"/>
        <w:gridCol w:w="837"/>
        <w:gridCol w:w="1134"/>
        <w:gridCol w:w="1387"/>
        <w:gridCol w:w="1814"/>
      </w:tblGrid>
      <w:tr w:rsidR="00950AF7" w:rsidRPr="00950AF7" w14:paraId="2C23127B"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67821BEB" w14:textId="77777777" w:rsidR="00EF2EB6" w:rsidRPr="00950AF7" w:rsidRDefault="00000000" w:rsidP="00950AF7">
            <w:pPr>
              <w:spacing w:line="360" w:lineRule="auto"/>
              <w:jc w:val="both"/>
            </w:pPr>
            <w:r w:rsidRPr="00950AF7">
              <w:rPr>
                <w:b/>
                <w:bCs/>
              </w:rPr>
              <w:t>ID</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0575EE13" w14:textId="77777777" w:rsidR="00EF2EB6" w:rsidRPr="00950AF7" w:rsidRDefault="00000000" w:rsidP="00950AF7">
            <w:pPr>
              <w:spacing w:line="360" w:lineRule="auto"/>
              <w:jc w:val="both"/>
            </w:pPr>
            <w:r w:rsidRPr="00950AF7">
              <w:rPr>
                <w:b/>
                <w:bCs/>
              </w:rPr>
              <w:t>BAC ($M)</w:t>
            </w:r>
          </w:p>
        </w:tc>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183B115E" w14:textId="77777777" w:rsidR="00EF2EB6" w:rsidRPr="00950AF7" w:rsidRDefault="00000000" w:rsidP="00950AF7">
            <w:pPr>
              <w:spacing w:line="360" w:lineRule="auto"/>
              <w:jc w:val="both"/>
            </w:pPr>
            <w:r w:rsidRPr="00950AF7">
              <w:rPr>
                <w:b/>
                <w:bCs/>
              </w:rPr>
              <w:t>Actual ($M)</w:t>
            </w:r>
          </w:p>
        </w:tc>
        <w:tc>
          <w:tcPr>
            <w:tcW w:w="1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2D15FB0C" w14:textId="77777777" w:rsidR="00EF2EB6" w:rsidRPr="00950AF7" w:rsidRDefault="00000000" w:rsidP="00950AF7">
            <w:pPr>
              <w:spacing w:line="360" w:lineRule="auto"/>
              <w:jc w:val="both"/>
            </w:pPr>
            <w:r w:rsidRPr="00950AF7">
              <w:rPr>
                <w:b/>
                <w:bCs/>
              </w:rPr>
              <w:t>Overrun</w:t>
            </w:r>
          </w:p>
        </w:tc>
        <w:tc>
          <w:tcPr>
            <w:tcW w:w="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F4CC22B" w14:textId="77777777" w:rsidR="00EF2EB6" w:rsidRPr="00950AF7" w:rsidRDefault="00000000" w:rsidP="00950AF7">
            <w:pPr>
              <w:spacing w:line="360" w:lineRule="auto"/>
              <w:jc w:val="both"/>
            </w:pPr>
            <w:r w:rsidRPr="00950AF7">
              <w:rPr>
                <w:b/>
                <w:bCs/>
              </w:rPr>
              <w:t>CPI</w:t>
            </w:r>
          </w:p>
        </w:tc>
        <w:tc>
          <w:tcPr>
            <w:tcW w:w="9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EC1B80B" w14:textId="77777777" w:rsidR="00EF2EB6" w:rsidRPr="00950AF7" w:rsidRDefault="00000000" w:rsidP="00950AF7">
            <w:pPr>
              <w:spacing w:line="360" w:lineRule="auto"/>
              <w:jc w:val="both"/>
            </w:pPr>
            <w:r w:rsidRPr="00950AF7">
              <w:rPr>
                <w:b/>
                <w:bCs/>
              </w:rPr>
              <w:t>Duration</w:t>
            </w:r>
          </w:p>
        </w:tc>
        <w:tc>
          <w:tcPr>
            <w:tcW w:w="11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68BE88B0" w14:textId="77777777" w:rsidR="00EF2EB6" w:rsidRPr="00950AF7" w:rsidRDefault="00000000" w:rsidP="00950AF7">
            <w:pPr>
              <w:spacing w:line="360" w:lineRule="auto"/>
              <w:jc w:val="both"/>
            </w:pPr>
            <w:r w:rsidRPr="00950AF7">
              <w:rPr>
                <w:b/>
                <w:bCs/>
              </w:rPr>
              <w:t>Complexity</w:t>
            </w:r>
          </w:p>
        </w:tc>
        <w:tc>
          <w:tcPr>
            <w:tcW w:w="197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08EAA2A" w14:textId="77777777" w:rsidR="00EF2EB6" w:rsidRPr="00950AF7" w:rsidRDefault="00000000" w:rsidP="00950AF7">
            <w:pPr>
              <w:spacing w:line="360" w:lineRule="auto"/>
              <w:jc w:val="both"/>
            </w:pPr>
            <w:r w:rsidRPr="00950AF7">
              <w:rPr>
                <w:b/>
                <w:bCs/>
              </w:rPr>
              <w:t>Sector</w:t>
            </w:r>
          </w:p>
        </w:tc>
      </w:tr>
      <w:tr w:rsidR="00950AF7" w:rsidRPr="00950AF7" w14:paraId="145896F2"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88D106" w14:textId="77777777" w:rsidR="00EF2EB6" w:rsidRPr="00950AF7" w:rsidRDefault="00000000" w:rsidP="00950AF7">
            <w:pPr>
              <w:spacing w:line="360" w:lineRule="auto"/>
              <w:jc w:val="both"/>
            </w:pPr>
            <w:r w:rsidRPr="00950AF7">
              <w:t>P01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C7B2F1" w14:textId="77777777" w:rsidR="00EF2EB6" w:rsidRPr="00950AF7" w:rsidRDefault="00000000" w:rsidP="00950AF7">
            <w:pPr>
              <w:spacing w:line="360" w:lineRule="auto"/>
              <w:jc w:val="both"/>
            </w:pPr>
            <w:r w:rsidRPr="00950AF7">
              <w:t>45.0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288045" w14:textId="77777777" w:rsidR="00EF2EB6" w:rsidRPr="00950AF7" w:rsidRDefault="00000000" w:rsidP="00950AF7">
            <w:pPr>
              <w:spacing w:line="360" w:lineRule="auto"/>
              <w:jc w:val="both"/>
            </w:pPr>
            <w:r w:rsidRPr="00950AF7">
              <w:t>51.2</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CDC429" w14:textId="77777777" w:rsidR="00EF2EB6" w:rsidRPr="00950AF7" w:rsidRDefault="00000000" w:rsidP="00950AF7">
            <w:pPr>
              <w:spacing w:line="360" w:lineRule="auto"/>
              <w:jc w:val="both"/>
            </w:pPr>
            <w:r w:rsidRPr="00950AF7">
              <w:t>+13.9%</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EB44B8" w14:textId="77777777" w:rsidR="00EF2EB6" w:rsidRPr="00950AF7" w:rsidRDefault="00000000" w:rsidP="00950AF7">
            <w:pPr>
              <w:spacing w:line="360" w:lineRule="auto"/>
              <w:jc w:val="both"/>
            </w:pPr>
            <w:r w:rsidRPr="00950AF7">
              <w:t>0.878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B80901" w14:textId="77777777" w:rsidR="00EF2EB6" w:rsidRPr="00950AF7" w:rsidRDefault="00000000" w:rsidP="00950AF7">
            <w:pPr>
              <w:spacing w:line="360" w:lineRule="auto"/>
              <w:jc w:val="both"/>
            </w:pPr>
            <w:r w:rsidRPr="00950AF7">
              <w:t>24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3E541E" w14:textId="77777777" w:rsidR="00EF2EB6" w:rsidRPr="00950AF7" w:rsidRDefault="00000000" w:rsidP="00950AF7">
            <w:pPr>
              <w:spacing w:line="360" w:lineRule="auto"/>
              <w:jc w:val="both"/>
            </w:pPr>
            <w:r w:rsidRPr="00950AF7">
              <w:t>High</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2DB3D4" w14:textId="77777777" w:rsidR="00EF2EB6" w:rsidRPr="00950AF7" w:rsidRDefault="00000000" w:rsidP="00950AF7">
            <w:pPr>
              <w:spacing w:line="360" w:lineRule="auto"/>
              <w:jc w:val="both"/>
            </w:pPr>
            <w:r w:rsidRPr="00950AF7">
              <w:t>Petrochemical</w:t>
            </w:r>
          </w:p>
        </w:tc>
      </w:tr>
      <w:tr w:rsidR="00950AF7" w:rsidRPr="00950AF7" w14:paraId="2AFAB635"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A38DF8" w14:textId="77777777" w:rsidR="00EF2EB6" w:rsidRPr="00950AF7" w:rsidRDefault="00000000" w:rsidP="00950AF7">
            <w:pPr>
              <w:spacing w:line="360" w:lineRule="auto"/>
              <w:jc w:val="both"/>
            </w:pPr>
            <w:r w:rsidRPr="00950AF7">
              <w:t>P02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8A2496" w14:textId="77777777" w:rsidR="00EF2EB6" w:rsidRPr="00950AF7" w:rsidRDefault="00000000" w:rsidP="00950AF7">
            <w:pPr>
              <w:spacing w:line="360" w:lineRule="auto"/>
              <w:jc w:val="both"/>
            </w:pPr>
            <w:r w:rsidRPr="00950AF7">
              <w:t>120.0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AA3886" w14:textId="77777777" w:rsidR="00EF2EB6" w:rsidRPr="00950AF7" w:rsidRDefault="00000000" w:rsidP="00950AF7">
            <w:pPr>
              <w:spacing w:line="360" w:lineRule="auto"/>
              <w:jc w:val="both"/>
            </w:pPr>
            <w:r w:rsidRPr="00950AF7">
              <w:t>143.4</w:t>
            </w:r>
          </w:p>
        </w:tc>
        <w:tc>
          <w:tcPr>
            <w:tcW w:w="1000" w:type="dxa"/>
            <w:tcBorders>
              <w:top w:val="single" w:sz="1" w:space="0" w:color="BBBBBB"/>
              <w:left w:val="single" w:sz="1" w:space="0" w:color="BBBBBB"/>
              <w:bottom w:val="single" w:sz="1" w:space="0" w:color="BBBBBB"/>
              <w:right w:val="single" w:sz="1" w:space="0" w:color="BBBBBB"/>
            </w:tcBorders>
            <w:shd w:val="clear" w:color="auto" w:fill="FFF2CC"/>
            <w:tcMar>
              <w:top w:w="60" w:type="dxa"/>
              <w:left w:w="100" w:type="dxa"/>
              <w:bottom w:w="60" w:type="dxa"/>
              <w:right w:w="100" w:type="dxa"/>
            </w:tcMar>
          </w:tcPr>
          <w:p w14:paraId="7147690F" w14:textId="77777777" w:rsidR="00EF2EB6" w:rsidRPr="00950AF7" w:rsidRDefault="00000000" w:rsidP="00950AF7">
            <w:pPr>
              <w:spacing w:line="360" w:lineRule="auto"/>
              <w:jc w:val="both"/>
            </w:pPr>
            <w:r w:rsidRPr="00950AF7">
              <w:t>+19.5%</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96525E" w14:textId="77777777" w:rsidR="00EF2EB6" w:rsidRPr="00950AF7" w:rsidRDefault="00000000" w:rsidP="00950AF7">
            <w:pPr>
              <w:spacing w:line="360" w:lineRule="auto"/>
              <w:jc w:val="both"/>
            </w:pPr>
            <w:r w:rsidRPr="00950AF7">
              <w:t>0.837</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E2CBF9" w14:textId="77777777" w:rsidR="00EF2EB6" w:rsidRPr="00950AF7" w:rsidRDefault="00000000" w:rsidP="00950AF7">
            <w:pPr>
              <w:spacing w:line="360" w:lineRule="auto"/>
              <w:jc w:val="both"/>
            </w:pPr>
            <w:r w:rsidRPr="00950AF7">
              <w:t>36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B7D18C" w14:textId="77777777" w:rsidR="00EF2EB6" w:rsidRPr="00950AF7" w:rsidRDefault="00000000" w:rsidP="00950AF7">
            <w:pPr>
              <w:spacing w:line="360" w:lineRule="auto"/>
              <w:jc w:val="both"/>
            </w:pPr>
            <w:r w:rsidRPr="00950AF7">
              <w:t>High</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EEA347" w14:textId="77777777" w:rsidR="00EF2EB6" w:rsidRPr="00950AF7" w:rsidRDefault="00000000" w:rsidP="00950AF7">
            <w:pPr>
              <w:spacing w:line="360" w:lineRule="auto"/>
              <w:jc w:val="both"/>
            </w:pPr>
            <w:r w:rsidRPr="00950AF7">
              <w:t>Oil Refinery</w:t>
            </w:r>
          </w:p>
        </w:tc>
      </w:tr>
      <w:tr w:rsidR="00950AF7" w:rsidRPr="00950AF7" w14:paraId="3B6FFE12"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2CD9CE" w14:textId="77777777" w:rsidR="00EF2EB6" w:rsidRPr="00950AF7" w:rsidRDefault="00000000" w:rsidP="00950AF7">
            <w:pPr>
              <w:spacing w:line="360" w:lineRule="auto"/>
              <w:jc w:val="both"/>
            </w:pPr>
            <w:r w:rsidRPr="00950AF7">
              <w:t>P03</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ACA9C6" w14:textId="77777777" w:rsidR="00EF2EB6" w:rsidRPr="00950AF7" w:rsidRDefault="00000000" w:rsidP="00950AF7">
            <w:pPr>
              <w:spacing w:line="360" w:lineRule="auto"/>
              <w:jc w:val="both"/>
            </w:pPr>
            <w:r w:rsidRPr="00950AF7">
              <w:t>28.0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F9E72C" w14:textId="77777777" w:rsidR="00EF2EB6" w:rsidRPr="00950AF7" w:rsidRDefault="00000000" w:rsidP="00950AF7">
            <w:pPr>
              <w:spacing w:line="360" w:lineRule="auto"/>
              <w:jc w:val="both"/>
            </w:pPr>
            <w:r w:rsidRPr="00950AF7">
              <w:t>30.8</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265F72" w14:textId="77777777" w:rsidR="00EF2EB6" w:rsidRPr="00950AF7" w:rsidRDefault="00000000" w:rsidP="00950AF7">
            <w:pPr>
              <w:spacing w:line="360" w:lineRule="auto"/>
              <w:jc w:val="both"/>
            </w:pPr>
            <w:r w:rsidRPr="00950AF7">
              <w:t>+9.8%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92877CB" w14:textId="77777777" w:rsidR="00EF2EB6" w:rsidRPr="00950AF7" w:rsidRDefault="00000000" w:rsidP="00950AF7">
            <w:pPr>
              <w:spacing w:line="360" w:lineRule="auto"/>
              <w:jc w:val="both"/>
            </w:pPr>
            <w:r w:rsidRPr="00950AF7">
              <w:t>0.910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88AFB8" w14:textId="77777777" w:rsidR="00EF2EB6" w:rsidRPr="00950AF7" w:rsidRDefault="00000000" w:rsidP="00950AF7">
            <w:pPr>
              <w:spacing w:line="360" w:lineRule="auto"/>
              <w:jc w:val="both"/>
            </w:pPr>
            <w:r w:rsidRPr="00950AF7">
              <w:t>18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C9DAD2" w14:textId="77777777" w:rsidR="00EF2EB6" w:rsidRPr="00950AF7" w:rsidRDefault="00000000" w:rsidP="00950AF7">
            <w:pPr>
              <w:spacing w:line="360" w:lineRule="auto"/>
              <w:jc w:val="both"/>
            </w:pPr>
            <w:r w:rsidRPr="00950AF7">
              <w:t>Medium</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DC6DDF" w14:textId="77777777" w:rsidR="00EF2EB6" w:rsidRPr="00950AF7" w:rsidRDefault="00000000" w:rsidP="00950AF7">
            <w:pPr>
              <w:spacing w:line="360" w:lineRule="auto"/>
              <w:jc w:val="both"/>
            </w:pPr>
            <w:r w:rsidRPr="00950AF7">
              <w:t>Power Substation</w:t>
            </w:r>
          </w:p>
        </w:tc>
      </w:tr>
      <w:tr w:rsidR="00950AF7" w:rsidRPr="00950AF7" w14:paraId="76252115"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72CE55" w14:textId="77777777" w:rsidR="00EF2EB6" w:rsidRPr="00950AF7" w:rsidRDefault="00000000" w:rsidP="00950AF7">
            <w:pPr>
              <w:spacing w:line="360" w:lineRule="auto"/>
              <w:jc w:val="both"/>
            </w:pPr>
            <w:r w:rsidRPr="00950AF7">
              <w:t>P04</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626BE5" w14:textId="77777777" w:rsidR="00EF2EB6" w:rsidRPr="00950AF7" w:rsidRDefault="00000000" w:rsidP="00950AF7">
            <w:pPr>
              <w:spacing w:line="360" w:lineRule="auto"/>
              <w:jc w:val="both"/>
            </w:pPr>
            <w:r w:rsidRPr="00950AF7">
              <w:t>85.0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D201F0" w14:textId="77777777" w:rsidR="00EF2EB6" w:rsidRPr="00950AF7" w:rsidRDefault="00000000" w:rsidP="00950AF7">
            <w:pPr>
              <w:spacing w:line="360" w:lineRule="auto"/>
              <w:jc w:val="both"/>
            </w:pPr>
            <w:r w:rsidRPr="00950AF7">
              <w:t>104.5</w:t>
            </w:r>
          </w:p>
        </w:tc>
        <w:tc>
          <w:tcPr>
            <w:tcW w:w="1000" w:type="dxa"/>
            <w:tcBorders>
              <w:top w:val="single" w:sz="1" w:space="0" w:color="BBBBBB"/>
              <w:left w:val="single" w:sz="1" w:space="0" w:color="BBBBBB"/>
              <w:bottom w:val="single" w:sz="1" w:space="0" w:color="BBBBBB"/>
              <w:right w:val="single" w:sz="1" w:space="0" w:color="BBBBBB"/>
            </w:tcBorders>
            <w:shd w:val="clear" w:color="auto" w:fill="FFF2CC"/>
            <w:tcMar>
              <w:top w:w="60" w:type="dxa"/>
              <w:left w:w="100" w:type="dxa"/>
              <w:bottom w:w="60" w:type="dxa"/>
              <w:right w:w="100" w:type="dxa"/>
            </w:tcMar>
          </w:tcPr>
          <w:p w14:paraId="66A1348B" w14:textId="77777777" w:rsidR="00EF2EB6" w:rsidRPr="00950AF7" w:rsidRDefault="00000000" w:rsidP="00950AF7">
            <w:pPr>
              <w:spacing w:line="360" w:lineRule="auto"/>
              <w:jc w:val="both"/>
            </w:pPr>
            <w:r w:rsidRPr="00950AF7">
              <w:t>+22.9%</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69A91D" w14:textId="77777777" w:rsidR="00EF2EB6" w:rsidRPr="00950AF7" w:rsidRDefault="00000000" w:rsidP="00950AF7">
            <w:pPr>
              <w:spacing w:line="360" w:lineRule="auto"/>
              <w:jc w:val="both"/>
            </w:pPr>
            <w:r w:rsidRPr="00950AF7">
              <w:t>0.814</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899799" w14:textId="77777777" w:rsidR="00EF2EB6" w:rsidRPr="00950AF7" w:rsidRDefault="00000000" w:rsidP="00950AF7">
            <w:pPr>
              <w:spacing w:line="360" w:lineRule="auto"/>
              <w:jc w:val="both"/>
            </w:pPr>
            <w:r w:rsidRPr="00950AF7">
              <w:t>30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89AF2A" w14:textId="77777777" w:rsidR="00EF2EB6" w:rsidRPr="00950AF7" w:rsidRDefault="00000000" w:rsidP="00950AF7">
            <w:pPr>
              <w:spacing w:line="360" w:lineRule="auto"/>
              <w:jc w:val="both"/>
            </w:pPr>
            <w:r w:rsidRPr="00950AF7">
              <w:t>High</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1184EB" w14:textId="77777777" w:rsidR="00EF2EB6" w:rsidRPr="00950AF7" w:rsidRDefault="00000000" w:rsidP="00950AF7">
            <w:pPr>
              <w:spacing w:line="360" w:lineRule="auto"/>
              <w:jc w:val="both"/>
            </w:pPr>
            <w:r w:rsidRPr="00950AF7">
              <w:t>Gas Processing</w:t>
            </w:r>
          </w:p>
        </w:tc>
      </w:tr>
      <w:tr w:rsidR="00950AF7" w:rsidRPr="00950AF7" w14:paraId="25992920"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732130" w14:textId="77777777" w:rsidR="00EF2EB6" w:rsidRPr="00950AF7" w:rsidRDefault="00000000" w:rsidP="00950AF7">
            <w:pPr>
              <w:spacing w:line="360" w:lineRule="auto"/>
              <w:jc w:val="both"/>
            </w:pPr>
            <w:r w:rsidRPr="00950AF7">
              <w:t>P05</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CCD9F9" w14:textId="77777777" w:rsidR="00EF2EB6" w:rsidRPr="00950AF7" w:rsidRDefault="00000000" w:rsidP="00950AF7">
            <w:pPr>
              <w:spacing w:line="360" w:lineRule="auto"/>
              <w:jc w:val="both"/>
            </w:pPr>
            <w:r w:rsidRPr="00950AF7">
              <w:t>15.0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D2ED63" w14:textId="77777777" w:rsidR="00EF2EB6" w:rsidRPr="00950AF7" w:rsidRDefault="00000000" w:rsidP="00950AF7">
            <w:pPr>
              <w:spacing w:line="360" w:lineRule="auto"/>
              <w:jc w:val="both"/>
            </w:pPr>
            <w:r w:rsidRPr="00950AF7">
              <w:t>17.1</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E9D731" w14:textId="77777777" w:rsidR="00EF2EB6" w:rsidRPr="00950AF7" w:rsidRDefault="00000000" w:rsidP="00950AF7">
            <w:pPr>
              <w:spacing w:line="360" w:lineRule="auto"/>
              <w:jc w:val="both"/>
            </w:pPr>
            <w:r w:rsidRPr="00950AF7">
              <w:t>+14.3%</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F13FC0" w14:textId="77777777" w:rsidR="00EF2EB6" w:rsidRPr="00950AF7" w:rsidRDefault="00000000" w:rsidP="00950AF7">
            <w:pPr>
              <w:spacing w:line="360" w:lineRule="auto"/>
              <w:jc w:val="both"/>
            </w:pPr>
            <w:r w:rsidRPr="00950AF7">
              <w:t>0.875</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27977F" w14:textId="77777777" w:rsidR="00EF2EB6" w:rsidRPr="00950AF7" w:rsidRDefault="00000000" w:rsidP="00950AF7">
            <w:pPr>
              <w:spacing w:line="360" w:lineRule="auto"/>
              <w:jc w:val="both"/>
            </w:pPr>
            <w:r w:rsidRPr="00950AF7">
              <w:t>12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EBA873" w14:textId="77777777" w:rsidR="00EF2EB6" w:rsidRPr="00950AF7" w:rsidRDefault="00000000" w:rsidP="00950AF7">
            <w:pPr>
              <w:spacing w:line="360" w:lineRule="auto"/>
              <w:jc w:val="both"/>
            </w:pPr>
            <w:r w:rsidRPr="00950AF7">
              <w:t>Low</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A9F7EE" w14:textId="77777777" w:rsidR="00EF2EB6" w:rsidRPr="00950AF7" w:rsidRDefault="00000000" w:rsidP="00950AF7">
            <w:pPr>
              <w:spacing w:line="360" w:lineRule="auto"/>
              <w:jc w:val="both"/>
            </w:pPr>
            <w:r w:rsidRPr="00950AF7">
              <w:t>Pipeline</w:t>
            </w:r>
          </w:p>
        </w:tc>
      </w:tr>
      <w:tr w:rsidR="00950AF7" w:rsidRPr="00950AF7" w14:paraId="66F9C114"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CB64EC" w14:textId="77777777" w:rsidR="00EF2EB6" w:rsidRPr="00950AF7" w:rsidRDefault="00000000" w:rsidP="00950AF7">
            <w:pPr>
              <w:spacing w:line="360" w:lineRule="auto"/>
              <w:jc w:val="both"/>
            </w:pPr>
            <w:r w:rsidRPr="00950AF7">
              <w:t>P06</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EBA9B2" w14:textId="77777777" w:rsidR="00EF2EB6" w:rsidRPr="00950AF7" w:rsidRDefault="00000000" w:rsidP="00950AF7">
            <w:pPr>
              <w:spacing w:line="360" w:lineRule="auto"/>
              <w:jc w:val="both"/>
            </w:pPr>
            <w:r w:rsidRPr="00950AF7">
              <w:t>62.0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D9E429" w14:textId="77777777" w:rsidR="00EF2EB6" w:rsidRPr="00950AF7" w:rsidRDefault="00000000" w:rsidP="00950AF7">
            <w:pPr>
              <w:spacing w:line="360" w:lineRule="auto"/>
              <w:jc w:val="both"/>
            </w:pPr>
            <w:r w:rsidRPr="00950AF7">
              <w:t>60.8</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12D236" w14:textId="77777777" w:rsidR="00EF2EB6" w:rsidRPr="00950AF7" w:rsidRDefault="00000000" w:rsidP="00950AF7">
            <w:pPr>
              <w:spacing w:line="360" w:lineRule="auto"/>
              <w:jc w:val="both"/>
            </w:pPr>
            <w:r w:rsidRPr="00950AF7">
              <w:t>-1.9%</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1728E1" w14:textId="77777777" w:rsidR="00EF2EB6" w:rsidRPr="00950AF7" w:rsidRDefault="00000000" w:rsidP="00950AF7">
            <w:pPr>
              <w:spacing w:line="360" w:lineRule="auto"/>
              <w:jc w:val="both"/>
            </w:pPr>
            <w:r w:rsidRPr="00950AF7">
              <w:t>1.019</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87E940" w14:textId="77777777" w:rsidR="00EF2EB6" w:rsidRPr="00950AF7" w:rsidRDefault="00000000" w:rsidP="00950AF7">
            <w:pPr>
              <w:spacing w:line="360" w:lineRule="auto"/>
              <w:jc w:val="both"/>
            </w:pPr>
            <w:r w:rsidRPr="00950AF7">
              <w:t>24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0C07DA" w14:textId="77777777" w:rsidR="00EF2EB6" w:rsidRPr="00950AF7" w:rsidRDefault="00000000" w:rsidP="00950AF7">
            <w:pPr>
              <w:spacing w:line="360" w:lineRule="auto"/>
              <w:jc w:val="both"/>
            </w:pPr>
            <w:r w:rsidRPr="00950AF7">
              <w:t>Medium</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96319A" w14:textId="77777777" w:rsidR="00EF2EB6" w:rsidRPr="00950AF7" w:rsidRDefault="00000000" w:rsidP="00950AF7">
            <w:pPr>
              <w:spacing w:line="360" w:lineRule="auto"/>
              <w:jc w:val="both"/>
            </w:pPr>
            <w:r w:rsidRPr="00950AF7">
              <w:t>Water Treatment</w:t>
            </w:r>
          </w:p>
        </w:tc>
      </w:tr>
      <w:tr w:rsidR="00950AF7" w:rsidRPr="00950AF7" w14:paraId="66109929"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70F7D5" w14:textId="77777777" w:rsidR="00EF2EB6" w:rsidRPr="00950AF7" w:rsidRDefault="00000000" w:rsidP="00950AF7">
            <w:pPr>
              <w:spacing w:line="360" w:lineRule="auto"/>
              <w:jc w:val="both"/>
            </w:pPr>
            <w:r w:rsidRPr="00950AF7">
              <w:t>P07</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E05882" w14:textId="77777777" w:rsidR="00EF2EB6" w:rsidRPr="00950AF7" w:rsidRDefault="00000000" w:rsidP="00950AF7">
            <w:pPr>
              <w:spacing w:line="360" w:lineRule="auto"/>
              <w:jc w:val="both"/>
            </w:pPr>
            <w:r w:rsidRPr="00950AF7">
              <w:t>200.0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B03A8E" w14:textId="77777777" w:rsidR="00EF2EB6" w:rsidRPr="00950AF7" w:rsidRDefault="00000000" w:rsidP="00950AF7">
            <w:pPr>
              <w:spacing w:line="360" w:lineRule="auto"/>
              <w:jc w:val="both"/>
            </w:pPr>
            <w:r w:rsidRPr="00950AF7">
              <w:t>223.1</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C356CA" w14:textId="77777777" w:rsidR="00EF2EB6" w:rsidRPr="00950AF7" w:rsidRDefault="00000000" w:rsidP="00950AF7">
            <w:pPr>
              <w:spacing w:line="360" w:lineRule="auto"/>
              <w:jc w:val="both"/>
            </w:pPr>
            <w:r w:rsidRPr="00950AF7">
              <w:t>+11.6%</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E5713A" w14:textId="77777777" w:rsidR="00EF2EB6" w:rsidRPr="00950AF7" w:rsidRDefault="00000000" w:rsidP="00950AF7">
            <w:pPr>
              <w:spacing w:line="360" w:lineRule="auto"/>
              <w:jc w:val="both"/>
            </w:pPr>
            <w:r w:rsidRPr="00950AF7">
              <w:t>0.896</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35A300" w14:textId="77777777" w:rsidR="00EF2EB6" w:rsidRPr="00950AF7" w:rsidRDefault="00000000" w:rsidP="00950AF7">
            <w:pPr>
              <w:spacing w:line="360" w:lineRule="auto"/>
              <w:jc w:val="both"/>
            </w:pPr>
            <w:r w:rsidRPr="00950AF7">
              <w:t>42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BB042E" w14:textId="77777777" w:rsidR="00EF2EB6" w:rsidRPr="00950AF7" w:rsidRDefault="00000000" w:rsidP="00950AF7">
            <w:pPr>
              <w:spacing w:line="360" w:lineRule="auto"/>
              <w:jc w:val="both"/>
            </w:pPr>
            <w:r w:rsidRPr="00950AF7">
              <w:t>High</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9C0FA3" w14:textId="77777777" w:rsidR="00EF2EB6" w:rsidRPr="00950AF7" w:rsidRDefault="00000000" w:rsidP="00950AF7">
            <w:pPr>
              <w:spacing w:line="360" w:lineRule="auto"/>
              <w:jc w:val="both"/>
            </w:pPr>
            <w:r w:rsidRPr="00950AF7">
              <w:t>LNG Terminal</w:t>
            </w:r>
          </w:p>
        </w:tc>
      </w:tr>
      <w:tr w:rsidR="00950AF7" w:rsidRPr="00950AF7" w14:paraId="787F8C88"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D09589" w14:textId="77777777" w:rsidR="00EF2EB6" w:rsidRPr="00950AF7" w:rsidRDefault="00000000" w:rsidP="00950AF7">
            <w:pPr>
              <w:spacing w:line="360" w:lineRule="auto"/>
              <w:jc w:val="both"/>
            </w:pPr>
            <w:r w:rsidRPr="00950AF7">
              <w:t>P08</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0561DD" w14:textId="77777777" w:rsidR="00EF2EB6" w:rsidRPr="00950AF7" w:rsidRDefault="00000000" w:rsidP="00950AF7">
            <w:pPr>
              <w:spacing w:line="360" w:lineRule="auto"/>
              <w:jc w:val="both"/>
            </w:pPr>
            <w:r w:rsidRPr="00950AF7">
              <w:t>35.0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8844DC" w14:textId="77777777" w:rsidR="00EF2EB6" w:rsidRPr="00950AF7" w:rsidRDefault="00000000" w:rsidP="00950AF7">
            <w:pPr>
              <w:spacing w:line="360" w:lineRule="auto"/>
              <w:jc w:val="both"/>
            </w:pPr>
            <w:r w:rsidRPr="00950AF7">
              <w:t>35.8</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C68323" w14:textId="77777777" w:rsidR="00EF2EB6" w:rsidRPr="00950AF7" w:rsidRDefault="00000000" w:rsidP="00950AF7">
            <w:pPr>
              <w:spacing w:line="360" w:lineRule="auto"/>
              <w:jc w:val="both"/>
            </w:pPr>
            <w:r w:rsidRPr="00950AF7">
              <w:t>+2.2%</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A1C009" w14:textId="77777777" w:rsidR="00EF2EB6" w:rsidRPr="00950AF7" w:rsidRDefault="00000000" w:rsidP="00950AF7">
            <w:pPr>
              <w:spacing w:line="360" w:lineRule="auto"/>
              <w:jc w:val="both"/>
            </w:pPr>
            <w:r w:rsidRPr="00950AF7">
              <w:t>0.978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510FCE" w14:textId="77777777" w:rsidR="00EF2EB6" w:rsidRPr="00950AF7" w:rsidRDefault="00000000" w:rsidP="00950AF7">
            <w:pPr>
              <w:spacing w:line="360" w:lineRule="auto"/>
              <w:jc w:val="both"/>
            </w:pPr>
            <w:r w:rsidRPr="00950AF7">
              <w:t>20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D83976" w14:textId="77777777" w:rsidR="00EF2EB6" w:rsidRPr="00950AF7" w:rsidRDefault="00000000" w:rsidP="00950AF7">
            <w:pPr>
              <w:spacing w:line="360" w:lineRule="auto"/>
              <w:jc w:val="both"/>
            </w:pPr>
            <w:r w:rsidRPr="00950AF7">
              <w:t>Medium</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2145CC" w14:textId="77777777" w:rsidR="00EF2EB6" w:rsidRPr="00950AF7" w:rsidRDefault="00000000" w:rsidP="00950AF7">
            <w:pPr>
              <w:spacing w:line="360" w:lineRule="auto"/>
              <w:jc w:val="both"/>
            </w:pPr>
            <w:r w:rsidRPr="00950AF7">
              <w:t>Solar Farm</w:t>
            </w:r>
          </w:p>
        </w:tc>
      </w:tr>
      <w:tr w:rsidR="00950AF7" w:rsidRPr="00950AF7" w14:paraId="1EF51C10"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3F2D0C" w14:textId="77777777" w:rsidR="00EF2EB6" w:rsidRPr="00950AF7" w:rsidRDefault="00000000" w:rsidP="00950AF7">
            <w:pPr>
              <w:spacing w:line="360" w:lineRule="auto"/>
              <w:jc w:val="both"/>
            </w:pPr>
            <w:r w:rsidRPr="00950AF7">
              <w:t>P09</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B01814" w14:textId="77777777" w:rsidR="00EF2EB6" w:rsidRPr="00950AF7" w:rsidRDefault="00000000" w:rsidP="00950AF7">
            <w:pPr>
              <w:spacing w:line="360" w:lineRule="auto"/>
              <w:jc w:val="both"/>
            </w:pPr>
            <w:r w:rsidRPr="00950AF7">
              <w:t>95.0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986E43" w14:textId="77777777" w:rsidR="00EF2EB6" w:rsidRPr="00950AF7" w:rsidRDefault="00000000" w:rsidP="00950AF7">
            <w:pPr>
              <w:spacing w:line="360" w:lineRule="auto"/>
              <w:jc w:val="both"/>
            </w:pPr>
            <w:r w:rsidRPr="00950AF7">
              <w:t>122.4</w:t>
            </w:r>
          </w:p>
        </w:tc>
        <w:tc>
          <w:tcPr>
            <w:tcW w:w="1000" w:type="dxa"/>
            <w:tcBorders>
              <w:top w:val="single" w:sz="1" w:space="0" w:color="BBBBBB"/>
              <w:left w:val="single" w:sz="1" w:space="0" w:color="BBBBBB"/>
              <w:bottom w:val="single" w:sz="1" w:space="0" w:color="BBBBBB"/>
              <w:right w:val="single" w:sz="1" w:space="0" w:color="BBBBBB"/>
            </w:tcBorders>
            <w:shd w:val="clear" w:color="auto" w:fill="FFF2CC"/>
            <w:tcMar>
              <w:top w:w="60" w:type="dxa"/>
              <w:left w:w="100" w:type="dxa"/>
              <w:bottom w:w="60" w:type="dxa"/>
              <w:right w:w="100" w:type="dxa"/>
            </w:tcMar>
          </w:tcPr>
          <w:p w14:paraId="6ACAE69D" w14:textId="77777777" w:rsidR="00EF2EB6" w:rsidRPr="00950AF7" w:rsidRDefault="00000000" w:rsidP="00950AF7">
            <w:pPr>
              <w:spacing w:line="360" w:lineRule="auto"/>
              <w:jc w:val="both"/>
            </w:pPr>
            <w:r w:rsidRPr="00950AF7">
              <w:t>+28.8%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FE12EB" w14:textId="77777777" w:rsidR="00EF2EB6" w:rsidRPr="00950AF7" w:rsidRDefault="00000000" w:rsidP="00950AF7">
            <w:pPr>
              <w:spacing w:line="360" w:lineRule="auto"/>
              <w:jc w:val="both"/>
            </w:pPr>
            <w:r w:rsidRPr="00950AF7">
              <w:t>0.776</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287AD8" w14:textId="77777777" w:rsidR="00EF2EB6" w:rsidRPr="00950AF7" w:rsidRDefault="00000000" w:rsidP="00950AF7">
            <w:pPr>
              <w:spacing w:line="360" w:lineRule="auto"/>
              <w:jc w:val="both"/>
            </w:pPr>
            <w:r w:rsidRPr="00950AF7">
              <w:t>28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FD7029" w14:textId="77777777" w:rsidR="00EF2EB6" w:rsidRPr="00950AF7" w:rsidRDefault="00000000" w:rsidP="00950AF7">
            <w:pPr>
              <w:spacing w:line="360" w:lineRule="auto"/>
              <w:jc w:val="both"/>
            </w:pPr>
            <w:r w:rsidRPr="00950AF7">
              <w:t>High</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C49781" w14:textId="77777777" w:rsidR="00EF2EB6" w:rsidRPr="00950AF7" w:rsidRDefault="00000000" w:rsidP="00950AF7">
            <w:pPr>
              <w:spacing w:line="360" w:lineRule="auto"/>
              <w:jc w:val="both"/>
            </w:pPr>
            <w:r w:rsidRPr="00950AF7">
              <w:t>Chemical Plant</w:t>
            </w:r>
          </w:p>
        </w:tc>
      </w:tr>
      <w:tr w:rsidR="00950AF7" w:rsidRPr="00950AF7" w14:paraId="609DA20A"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425061" w14:textId="77777777" w:rsidR="00EF2EB6" w:rsidRPr="00950AF7" w:rsidRDefault="00000000" w:rsidP="00950AF7">
            <w:pPr>
              <w:spacing w:line="360" w:lineRule="auto"/>
              <w:jc w:val="both"/>
            </w:pPr>
            <w:r w:rsidRPr="00950AF7">
              <w:t>P10</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12666A" w14:textId="77777777" w:rsidR="00EF2EB6" w:rsidRPr="00950AF7" w:rsidRDefault="00000000" w:rsidP="00950AF7">
            <w:pPr>
              <w:spacing w:line="360" w:lineRule="auto"/>
              <w:jc w:val="both"/>
            </w:pPr>
            <w:r w:rsidRPr="00950AF7">
              <w:t>22.0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EFCDCA" w14:textId="77777777" w:rsidR="00EF2EB6" w:rsidRPr="00950AF7" w:rsidRDefault="00000000" w:rsidP="00950AF7">
            <w:pPr>
              <w:spacing w:line="360" w:lineRule="auto"/>
              <w:jc w:val="both"/>
            </w:pPr>
            <w:r w:rsidRPr="00950AF7">
              <w:t>24.2</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B6C40E" w14:textId="77777777" w:rsidR="00EF2EB6" w:rsidRPr="00950AF7" w:rsidRDefault="00000000" w:rsidP="00950AF7">
            <w:pPr>
              <w:spacing w:line="360" w:lineRule="auto"/>
              <w:jc w:val="both"/>
            </w:pPr>
            <w:r w:rsidRPr="00950AF7">
              <w:t>+10.1%</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8C28BA" w14:textId="77777777" w:rsidR="00EF2EB6" w:rsidRPr="00950AF7" w:rsidRDefault="00000000" w:rsidP="00950AF7">
            <w:pPr>
              <w:spacing w:line="360" w:lineRule="auto"/>
              <w:jc w:val="both"/>
            </w:pPr>
            <w:r w:rsidRPr="00950AF7">
              <w:t>0.909</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0320AB" w14:textId="77777777" w:rsidR="00EF2EB6" w:rsidRPr="00950AF7" w:rsidRDefault="00000000" w:rsidP="00950AF7">
            <w:pPr>
              <w:spacing w:line="360" w:lineRule="auto"/>
              <w:jc w:val="both"/>
            </w:pPr>
            <w:r w:rsidRPr="00950AF7">
              <w:t>15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090356" w14:textId="77777777" w:rsidR="00EF2EB6" w:rsidRPr="00950AF7" w:rsidRDefault="00000000" w:rsidP="00950AF7">
            <w:pPr>
              <w:spacing w:line="360" w:lineRule="auto"/>
              <w:jc w:val="both"/>
            </w:pPr>
            <w:r w:rsidRPr="00950AF7">
              <w:t>Low</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D1AB19" w14:textId="77777777" w:rsidR="00EF2EB6" w:rsidRPr="00950AF7" w:rsidRDefault="00000000" w:rsidP="00950AF7">
            <w:pPr>
              <w:spacing w:line="360" w:lineRule="auto"/>
              <w:jc w:val="both"/>
            </w:pPr>
            <w:r w:rsidRPr="00950AF7">
              <w:t>Warehouse</w:t>
            </w:r>
          </w:p>
        </w:tc>
      </w:tr>
      <w:tr w:rsidR="00950AF7" w:rsidRPr="00950AF7" w14:paraId="72A5F241"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A5E502C" w14:textId="77777777" w:rsidR="00EF2EB6" w:rsidRPr="00950AF7" w:rsidRDefault="00000000" w:rsidP="00950AF7">
            <w:pPr>
              <w:spacing w:line="360" w:lineRule="auto"/>
              <w:jc w:val="both"/>
            </w:pPr>
            <w:r w:rsidRPr="00950AF7">
              <w:t>P11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366919" w14:textId="77777777" w:rsidR="00EF2EB6" w:rsidRPr="00950AF7" w:rsidRDefault="00000000" w:rsidP="00950AF7">
            <w:pPr>
              <w:spacing w:line="360" w:lineRule="auto"/>
              <w:jc w:val="both"/>
            </w:pPr>
            <w:r w:rsidRPr="00950AF7">
              <w:t>55.0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6AB800" w14:textId="77777777" w:rsidR="00EF2EB6" w:rsidRPr="00950AF7" w:rsidRDefault="00000000" w:rsidP="00950AF7">
            <w:pPr>
              <w:spacing w:line="360" w:lineRule="auto"/>
              <w:jc w:val="both"/>
            </w:pPr>
            <w:r w:rsidRPr="00950AF7">
              <w:t>59.8</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21C29F" w14:textId="77777777" w:rsidR="00EF2EB6" w:rsidRPr="00950AF7" w:rsidRDefault="00000000" w:rsidP="00950AF7">
            <w:pPr>
              <w:spacing w:line="360" w:lineRule="auto"/>
              <w:jc w:val="both"/>
            </w:pPr>
            <w:r w:rsidRPr="00950AF7">
              <w:t>+8.6%</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3439CE" w14:textId="77777777" w:rsidR="00EF2EB6" w:rsidRPr="00950AF7" w:rsidRDefault="00000000" w:rsidP="00950AF7">
            <w:pPr>
              <w:spacing w:line="360" w:lineRule="auto"/>
              <w:jc w:val="both"/>
            </w:pPr>
            <w:r w:rsidRPr="00950AF7">
              <w:t>0.920</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9A9156" w14:textId="77777777" w:rsidR="00EF2EB6" w:rsidRPr="00950AF7" w:rsidRDefault="00000000" w:rsidP="00950AF7">
            <w:pPr>
              <w:spacing w:line="360" w:lineRule="auto"/>
              <w:jc w:val="both"/>
            </w:pPr>
            <w:r w:rsidRPr="00950AF7">
              <w:t>22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C69A0A" w14:textId="77777777" w:rsidR="00EF2EB6" w:rsidRPr="00950AF7" w:rsidRDefault="00000000" w:rsidP="00950AF7">
            <w:pPr>
              <w:spacing w:line="360" w:lineRule="auto"/>
              <w:jc w:val="both"/>
            </w:pPr>
            <w:r w:rsidRPr="00950AF7">
              <w:t>Medium</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10269B" w14:textId="77777777" w:rsidR="00EF2EB6" w:rsidRPr="00950AF7" w:rsidRDefault="00000000" w:rsidP="00950AF7">
            <w:pPr>
              <w:spacing w:line="360" w:lineRule="auto"/>
              <w:jc w:val="both"/>
            </w:pPr>
            <w:r w:rsidRPr="00950AF7">
              <w:t>Desalination</w:t>
            </w:r>
          </w:p>
        </w:tc>
      </w:tr>
      <w:tr w:rsidR="00950AF7" w:rsidRPr="00950AF7" w14:paraId="5C428071"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4BA1AB" w14:textId="77777777" w:rsidR="00EF2EB6" w:rsidRPr="00950AF7" w:rsidRDefault="00000000" w:rsidP="00950AF7">
            <w:pPr>
              <w:spacing w:line="360" w:lineRule="auto"/>
              <w:jc w:val="both"/>
            </w:pPr>
            <w:r w:rsidRPr="00950AF7">
              <w:t>P12</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861946" w14:textId="77777777" w:rsidR="00EF2EB6" w:rsidRPr="00950AF7" w:rsidRDefault="00000000" w:rsidP="00950AF7">
            <w:pPr>
              <w:spacing w:line="360" w:lineRule="auto"/>
              <w:jc w:val="both"/>
            </w:pPr>
            <w:r w:rsidRPr="00950AF7">
              <w:t>180.0</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8491CF" w14:textId="77777777" w:rsidR="00EF2EB6" w:rsidRPr="00950AF7" w:rsidRDefault="00000000" w:rsidP="00950AF7">
            <w:pPr>
              <w:spacing w:line="360" w:lineRule="auto"/>
              <w:jc w:val="both"/>
            </w:pPr>
            <w:r w:rsidRPr="00950AF7">
              <w:t>199.1</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DA83F2" w14:textId="77777777" w:rsidR="00EF2EB6" w:rsidRPr="00950AF7" w:rsidRDefault="00000000" w:rsidP="00950AF7">
            <w:pPr>
              <w:spacing w:line="360" w:lineRule="auto"/>
              <w:jc w:val="both"/>
            </w:pPr>
            <w:r w:rsidRPr="00950AF7">
              <w:t>+10.6%</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04BB47" w14:textId="77777777" w:rsidR="00EF2EB6" w:rsidRPr="00950AF7" w:rsidRDefault="00000000" w:rsidP="00950AF7">
            <w:pPr>
              <w:spacing w:line="360" w:lineRule="auto"/>
              <w:jc w:val="both"/>
            </w:pPr>
            <w:r w:rsidRPr="00950AF7">
              <w:t>0.904</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913688" w14:textId="77777777" w:rsidR="00EF2EB6" w:rsidRPr="00950AF7" w:rsidRDefault="00000000" w:rsidP="00950AF7">
            <w:pPr>
              <w:spacing w:line="360" w:lineRule="auto"/>
              <w:jc w:val="both"/>
            </w:pPr>
            <w:r w:rsidRPr="00950AF7">
              <w:t>38 mo</w:t>
            </w:r>
          </w:p>
        </w:tc>
        <w:tc>
          <w:tcPr>
            <w:tcW w:w="1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DE5F1E5" w14:textId="77777777" w:rsidR="00EF2EB6" w:rsidRPr="00950AF7" w:rsidRDefault="00000000" w:rsidP="00950AF7">
            <w:pPr>
              <w:spacing w:line="360" w:lineRule="auto"/>
              <w:jc w:val="both"/>
            </w:pPr>
            <w:r w:rsidRPr="00950AF7">
              <w:t>High</w:t>
            </w:r>
          </w:p>
        </w:tc>
        <w:tc>
          <w:tcPr>
            <w:tcW w:w="1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7DDAE0" w14:textId="77777777" w:rsidR="00EF2EB6" w:rsidRPr="00950AF7" w:rsidRDefault="00000000" w:rsidP="00950AF7">
            <w:pPr>
              <w:spacing w:line="360" w:lineRule="auto"/>
              <w:jc w:val="both"/>
            </w:pPr>
            <w:r w:rsidRPr="00950AF7">
              <w:t>Offshore Platform</w:t>
            </w:r>
          </w:p>
        </w:tc>
      </w:tr>
    </w:tbl>
    <w:p w14:paraId="7E464A4F" w14:textId="77777777" w:rsidR="00EF2EB6" w:rsidRPr="00950AF7" w:rsidRDefault="00EF2EB6" w:rsidP="00950AF7">
      <w:pPr>
        <w:spacing w:after="120" w:line="360" w:lineRule="auto"/>
        <w:jc w:val="both"/>
      </w:pPr>
    </w:p>
    <w:p w14:paraId="699DC20A" w14:textId="77777777" w:rsidR="00EF2EB6" w:rsidRPr="00950AF7" w:rsidRDefault="00000000" w:rsidP="00950AF7">
      <w:pPr>
        <w:spacing w:after="120" w:line="360" w:lineRule="auto"/>
        <w:jc w:val="both"/>
      </w:pPr>
      <w:r w:rsidRPr="00950AF7">
        <w:t xml:space="preserve">The dataset exhibits characteristics consistent with the broader EPC industry. Eleven of the twelve projects experienced cost overruns, with a mean overrun of 12.5% above the Budget at Completion. The range of overruns extends from -1.9% (the Water Treatment project, P06, which came in slightly under budget) to +28.8% (the Chemical Plant, P09). The mean cumulative CPI across all projects at completion is 0.895, indicating that on average the projects earned only 89.5 cents of budgeted value for each dollar spent. Six projects are classified as </w:t>
      </w:r>
      <w:r w:rsidRPr="00950AF7">
        <w:lastRenderedPageBreak/>
        <w:t>high complexity, four as medium complexity, and two as low complexity based on the composite measure described in Chapter 3.</w:t>
      </w:r>
    </w:p>
    <w:p w14:paraId="6429F7E3" w14:textId="77777777" w:rsidR="00EF2EB6" w:rsidRPr="00950AF7" w:rsidRDefault="00EF2EB6" w:rsidP="00950AF7">
      <w:pPr>
        <w:spacing w:after="120" w:line="360" w:lineRule="auto"/>
        <w:jc w:val="both"/>
      </w:pPr>
    </w:p>
    <w:p w14:paraId="39179BC7" w14:textId="77777777" w:rsidR="00EF2EB6" w:rsidRPr="00950AF7" w:rsidRDefault="00000000" w:rsidP="00950AF7">
      <w:pPr>
        <w:spacing w:after="120" w:line="360" w:lineRule="auto"/>
        <w:jc w:val="both"/>
      </w:pPr>
      <w:r w:rsidRPr="00950AF7">
        <w:t>The analysis of period-level CPI values confirms the stochastic nature of project cost performance hypothesized in our theoretical framework. Figure 7 illustrates the variability of period CPI values across the project lifecycle for six representative projects.</w:t>
      </w:r>
    </w:p>
    <w:p w14:paraId="59BFF2BD" w14:textId="77777777" w:rsidR="00EF2EB6" w:rsidRPr="00950AF7" w:rsidRDefault="00EF2EB6" w:rsidP="00950AF7">
      <w:pPr>
        <w:spacing w:after="120" w:line="360" w:lineRule="auto"/>
        <w:jc w:val="both"/>
      </w:pPr>
    </w:p>
    <w:p w14:paraId="33D02782" w14:textId="77777777" w:rsidR="00EF2EB6" w:rsidRPr="00950AF7" w:rsidRDefault="00000000" w:rsidP="00950AF7">
      <w:pPr>
        <w:spacing w:before="200" w:after="100" w:line="360" w:lineRule="auto"/>
        <w:jc w:val="both"/>
      </w:pPr>
      <w:r w:rsidRPr="00950AF7">
        <w:rPr>
          <w:noProof/>
        </w:rPr>
        <w:drawing>
          <wp:inline distT="0" distB="0" distL="0" distR="0" wp14:anchorId="6F09FB27" wp14:editId="6CF4EE1E">
            <wp:extent cx="4953000" cy="2952750"/>
            <wp:effectExtent l="0" t="0" r="0" b="0"/>
            <wp:docPr id="1" name="fig7_cpi_variability.png" descr="Period CPI variability across project lifecycle" title="CPI Var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952750"/>
                    </a:xfrm>
                    <a:prstGeom prst="rect">
                      <a:avLst/>
                    </a:prstGeom>
                  </pic:spPr>
                </pic:pic>
              </a:graphicData>
            </a:graphic>
          </wp:inline>
        </w:drawing>
      </w:r>
    </w:p>
    <w:p w14:paraId="538880D0" w14:textId="77777777" w:rsidR="00EF2EB6" w:rsidRPr="00950AF7" w:rsidRDefault="00000000" w:rsidP="00950AF7">
      <w:pPr>
        <w:spacing w:after="200" w:line="360" w:lineRule="auto"/>
        <w:jc w:val="both"/>
      </w:pPr>
      <w:r w:rsidRPr="00950AF7">
        <w:rPr>
          <w:i/>
          <w:iCs/>
        </w:rPr>
        <w:t>Figure 7: Period CPI Variability Across the Project Lifecycle (Selected Projects)</w:t>
      </w:r>
    </w:p>
    <w:p w14:paraId="36C29C8E" w14:textId="77777777" w:rsidR="00EF2EB6" w:rsidRPr="00950AF7" w:rsidRDefault="00000000" w:rsidP="00950AF7">
      <w:pPr>
        <w:spacing w:after="120" w:line="360" w:lineRule="auto"/>
        <w:jc w:val="both"/>
      </w:pPr>
      <w:r w:rsidRPr="00950AF7">
        <w:t>As illustrated in Figure 7, period CPI values exhibit substantial variability throughout the project lifecycle, deviating significantly from the stable trend assumed by deterministic EVM models. The standard deviation of period CPI values ranges from 0.04 for low-complexity projects to 0.14 for high-complexity projects. Furthermore, the Kolmogorov-Smirnov test confirms that the CPI values in ten of the twelve projects follow a lognormal distribution (p &gt; 0.05), consistent with the right-skewed cost performance patterns characteristic of EPC projects where cost surprises tend to be larger and more frequent than cost savings.</w:t>
      </w:r>
    </w:p>
    <w:p w14:paraId="62FCCA20" w14:textId="77777777" w:rsidR="00EF2EB6" w:rsidRPr="00950AF7" w:rsidRDefault="00EF2EB6" w:rsidP="00950AF7">
      <w:pPr>
        <w:spacing w:after="120" w:line="360" w:lineRule="auto"/>
        <w:jc w:val="both"/>
      </w:pPr>
    </w:p>
    <w:p w14:paraId="16E325F6" w14:textId="77777777" w:rsidR="00EF2EB6" w:rsidRPr="00950AF7" w:rsidRDefault="00000000" w:rsidP="00950AF7">
      <w:pPr>
        <w:pStyle w:val="Heading3"/>
        <w:jc w:val="both"/>
        <w:rPr>
          <w:color w:val="auto"/>
          <w:sz w:val="24"/>
          <w:szCs w:val="24"/>
        </w:rPr>
      </w:pPr>
      <w:bookmarkStart w:id="65" w:name="_Toc222201109"/>
      <w:r w:rsidRPr="00950AF7">
        <w:rPr>
          <w:color w:val="auto"/>
          <w:sz w:val="24"/>
          <w:szCs w:val="24"/>
        </w:rPr>
        <w:t>4.1.2 Results for RQ1: Limitations of Deterministic EVM</w:t>
      </w:r>
      <w:bookmarkEnd w:id="65"/>
    </w:p>
    <w:p w14:paraId="23341D45" w14:textId="77777777" w:rsidR="00EF2EB6" w:rsidRPr="00950AF7" w:rsidRDefault="00000000" w:rsidP="00950AF7">
      <w:pPr>
        <w:spacing w:after="120" w:line="360" w:lineRule="auto"/>
        <w:jc w:val="both"/>
      </w:pPr>
      <w:r w:rsidRPr="00950AF7">
        <w:t>Research Question 1 asked: What are the principal limitations of traditional deterministic EVM in forecasting cost and schedule performance in EPC projects?</w:t>
      </w:r>
    </w:p>
    <w:p w14:paraId="21539DCF" w14:textId="77777777" w:rsidR="00EF2EB6" w:rsidRPr="00950AF7" w:rsidRDefault="00000000" w:rsidP="00950AF7">
      <w:pPr>
        <w:spacing w:after="120" w:line="360" w:lineRule="auto"/>
        <w:jc w:val="both"/>
      </w:pPr>
      <w:r w:rsidRPr="00950AF7">
        <w:lastRenderedPageBreak/>
        <w:t>Our analysis reveals three key limitations of deterministic EVM when applied to the project dataset. First, the deterministic EAC formula (BAC/CPI) produces a single-point estimate that provides no information about the probability of the forecast being achieved. Across the 96 forecast scenarios in our study, the deterministic EAC matched the actual outcome within a +/-5% band only 58% of the time, meaning that in 42% of cases the deterministic forecast deviated from the actual result by more than 5%.</w:t>
      </w:r>
    </w:p>
    <w:p w14:paraId="1FD9DB74" w14:textId="77777777" w:rsidR="00EF2EB6" w:rsidRPr="00950AF7" w:rsidRDefault="00000000" w:rsidP="00950AF7">
      <w:pPr>
        <w:spacing w:after="120" w:line="360" w:lineRule="auto"/>
        <w:jc w:val="both"/>
      </w:pPr>
      <w:r w:rsidRPr="00950AF7">
        <w:t>Second, the deterministic composite formula (incorporating both CPI and SPI) exhibited an average MAPE of 4.21%, which is higher than the simpler BAC/CPI formula (2.69%). This counterintuitive finding arises because the composite formula amplifies forecast error when both CPI and SPI are imprecise, as the multiplication of two uncertain values compounds the uncertainty without providing a mechanism to quantify or communicate this compounding effect.</w:t>
      </w:r>
    </w:p>
    <w:p w14:paraId="03C4AF09" w14:textId="77777777" w:rsidR="00EF2EB6" w:rsidRPr="00950AF7" w:rsidRDefault="00000000" w:rsidP="00950AF7">
      <w:pPr>
        <w:spacing w:after="120" w:line="360" w:lineRule="auto"/>
        <w:jc w:val="both"/>
      </w:pPr>
      <w:r w:rsidRPr="00950AF7">
        <w:t>Third, neither deterministic formula provides any indication of the risk profile or the probability distribution of possible outcomes, leaving decision-makers without the information necessary for risk-informed contingency allocation and stakeholder communication.</w:t>
      </w:r>
    </w:p>
    <w:p w14:paraId="2B7BA118" w14:textId="77777777" w:rsidR="00EF2EB6" w:rsidRPr="00950AF7" w:rsidRDefault="00EF2EB6" w:rsidP="00950AF7">
      <w:pPr>
        <w:spacing w:after="120" w:line="360" w:lineRule="auto"/>
        <w:jc w:val="both"/>
      </w:pPr>
    </w:p>
    <w:p w14:paraId="40DFF1BB" w14:textId="77777777" w:rsidR="00EF2EB6" w:rsidRPr="00950AF7" w:rsidRDefault="00000000" w:rsidP="00950AF7">
      <w:pPr>
        <w:pStyle w:val="Heading3"/>
        <w:jc w:val="both"/>
        <w:rPr>
          <w:color w:val="auto"/>
          <w:sz w:val="24"/>
          <w:szCs w:val="24"/>
        </w:rPr>
      </w:pPr>
      <w:bookmarkStart w:id="66" w:name="_Toc222201110"/>
      <w:r w:rsidRPr="00950AF7">
        <w:rPr>
          <w:color w:val="auto"/>
          <w:sz w:val="24"/>
          <w:szCs w:val="24"/>
        </w:rPr>
        <w:t>4.1.3 Results for RQ2: Integration of Monte Carlo Simulation with EVM</w:t>
      </w:r>
      <w:bookmarkEnd w:id="66"/>
    </w:p>
    <w:p w14:paraId="6A496EDE" w14:textId="77777777" w:rsidR="00EF2EB6" w:rsidRPr="00950AF7" w:rsidRDefault="00000000" w:rsidP="00950AF7">
      <w:pPr>
        <w:spacing w:after="120" w:line="360" w:lineRule="auto"/>
        <w:jc w:val="both"/>
      </w:pPr>
      <w:r w:rsidRPr="00950AF7">
        <w:t>Research Question 2 asked: How can Monte Carlo simulation be integrated with the EVM framework to produce probabilistic cost and schedule forecasts?</w:t>
      </w:r>
    </w:p>
    <w:p w14:paraId="1E2F35FC" w14:textId="77777777" w:rsidR="00EF2EB6" w:rsidRPr="00950AF7" w:rsidRDefault="00000000" w:rsidP="00950AF7">
      <w:pPr>
        <w:spacing w:after="120" w:line="360" w:lineRule="auto"/>
        <w:jc w:val="both"/>
      </w:pPr>
      <w:r w:rsidRPr="00950AF7">
        <w:t>The SEVM model developed and implemented in this study successfully integrates Monte Carlo simulation with the EVM framework through the process described in Chapter 3. The distribution fitting module determined that lognormal distributions provided the best fit for CPI values in ten of twelve projects, while normal distributions were selected for SPI values in all twelve projects. The simulation engine, running 10,000 iterations per forecast point, produces stable and converged output distributions as verified by the coefficient of variation of the mean EAC remaining below 0.1% across all scenarios.</w:t>
      </w:r>
    </w:p>
    <w:p w14:paraId="1436B747" w14:textId="77777777" w:rsidR="00EF2EB6" w:rsidRPr="00950AF7" w:rsidRDefault="00000000" w:rsidP="00950AF7">
      <w:pPr>
        <w:spacing w:after="120" w:line="360" w:lineRule="auto"/>
        <w:jc w:val="both"/>
      </w:pPr>
      <w:r w:rsidRPr="00950AF7">
        <w:t>Figure 4 presents a representative example of the Monte Carlo EAC distribution generated at 50% completion for the Gas Processing Facility (P04, BAC = $85M). The resulting distribution clearly illustrates the right-skewed nature of the cost forecast, with the P50 estimate at $102.2M, the P80 at $110.9M, and the P90 at $116.4M, compared to the deterministic EAC of $102.5M and the actual final cost of $104.5M.</w:t>
      </w:r>
    </w:p>
    <w:p w14:paraId="1221D126" w14:textId="77777777" w:rsidR="00EF2EB6" w:rsidRPr="00950AF7" w:rsidRDefault="00EF2EB6" w:rsidP="00950AF7">
      <w:pPr>
        <w:spacing w:after="120" w:line="360" w:lineRule="auto"/>
        <w:jc w:val="both"/>
      </w:pPr>
    </w:p>
    <w:p w14:paraId="366154AE" w14:textId="77777777" w:rsidR="00EF2EB6" w:rsidRPr="00950AF7" w:rsidRDefault="00000000" w:rsidP="00950AF7">
      <w:pPr>
        <w:spacing w:before="200" w:after="100" w:line="360" w:lineRule="auto"/>
        <w:jc w:val="both"/>
      </w:pPr>
      <w:r w:rsidRPr="00950AF7">
        <w:rPr>
          <w:noProof/>
        </w:rPr>
        <w:drawing>
          <wp:inline distT="0" distB="0" distL="0" distR="0" wp14:anchorId="0B5FE4EB" wp14:editId="78DDD420">
            <wp:extent cx="4953000" cy="2952750"/>
            <wp:effectExtent l="0" t="0" r="0" b="0"/>
            <wp:docPr id="814541230" name="fig4_eac_distribution.png" descr="Monte Carlo EAC probability distribution" title="EAC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952750"/>
                    </a:xfrm>
                    <a:prstGeom prst="rect">
                      <a:avLst/>
                    </a:prstGeom>
                  </pic:spPr>
                </pic:pic>
              </a:graphicData>
            </a:graphic>
          </wp:inline>
        </w:drawing>
      </w:r>
    </w:p>
    <w:p w14:paraId="4EFA61B0" w14:textId="77777777" w:rsidR="00EF2EB6" w:rsidRPr="00950AF7" w:rsidRDefault="00000000" w:rsidP="00950AF7">
      <w:pPr>
        <w:spacing w:after="200" w:line="360" w:lineRule="auto"/>
        <w:jc w:val="both"/>
      </w:pPr>
      <w:r w:rsidRPr="00950AF7">
        <w:rPr>
          <w:i/>
          <w:iCs/>
        </w:rPr>
        <w:t>Figure 4: Monte Carlo Simulation EAC Probability Distribution (Gas Processing Facility, 50% Completion, 10,000 Iterations)</w:t>
      </w:r>
    </w:p>
    <w:p w14:paraId="76828BE7" w14:textId="77777777" w:rsidR="00EF2EB6" w:rsidRPr="00950AF7" w:rsidRDefault="00000000" w:rsidP="00950AF7">
      <w:pPr>
        <w:spacing w:after="120" w:line="360" w:lineRule="auto"/>
        <w:jc w:val="both"/>
      </w:pPr>
      <w:r w:rsidRPr="00950AF7">
        <w:t>The S-curve visualization in Figure 3 demonstrates how the SEVM confidence band provides a visual representation of forecast uncertainty alongside the traditional EVM performance curves. The shaded band between the P10 and P90 estimates communicates the range of probable outcomes, enabling project managers to assess not only the most likely cost at completion but also the best-case and worst-case scenarios within a defined confidence level.</w:t>
      </w:r>
    </w:p>
    <w:p w14:paraId="093E1D80" w14:textId="77777777" w:rsidR="00EF2EB6" w:rsidRPr="00950AF7" w:rsidRDefault="00EF2EB6" w:rsidP="00950AF7">
      <w:pPr>
        <w:spacing w:after="120" w:line="360" w:lineRule="auto"/>
        <w:jc w:val="both"/>
      </w:pPr>
    </w:p>
    <w:p w14:paraId="2EFE5F4A" w14:textId="77777777" w:rsidR="00EF2EB6" w:rsidRPr="00950AF7" w:rsidRDefault="00000000" w:rsidP="00950AF7">
      <w:pPr>
        <w:spacing w:before="200" w:after="100" w:line="360" w:lineRule="auto"/>
        <w:jc w:val="both"/>
      </w:pPr>
      <w:r w:rsidRPr="00950AF7">
        <w:rPr>
          <w:noProof/>
        </w:rPr>
        <w:lastRenderedPageBreak/>
        <w:drawing>
          <wp:inline distT="0" distB="0" distL="0" distR="0" wp14:anchorId="711FB7C6" wp14:editId="68DA1359">
            <wp:extent cx="4953000" cy="3143250"/>
            <wp:effectExtent l="0" t="0" r="0" b="0"/>
            <wp:docPr id="1986449122" name="fig3_scurve_sevm.png" descr="EVM S-curves with SEVM probabilistic forecast" title="S-Curve SE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143250"/>
                    </a:xfrm>
                    <a:prstGeom prst="rect">
                      <a:avLst/>
                    </a:prstGeom>
                  </pic:spPr>
                </pic:pic>
              </a:graphicData>
            </a:graphic>
          </wp:inline>
        </w:drawing>
      </w:r>
    </w:p>
    <w:p w14:paraId="6F9A5EAA" w14:textId="77777777" w:rsidR="00EF2EB6" w:rsidRPr="00950AF7" w:rsidRDefault="00000000" w:rsidP="00950AF7">
      <w:pPr>
        <w:spacing w:after="200" w:line="360" w:lineRule="auto"/>
        <w:jc w:val="both"/>
      </w:pPr>
      <w:r w:rsidRPr="00950AF7">
        <w:rPr>
          <w:i/>
          <w:iCs/>
        </w:rPr>
        <w:t>Figure 3: EVM S-Curves with SEVM Probabilistic Forecast (Oil Refinery, BAC = $120M)</w:t>
      </w:r>
    </w:p>
    <w:p w14:paraId="102E9639" w14:textId="77777777" w:rsidR="00EF2EB6" w:rsidRPr="00950AF7" w:rsidRDefault="00EF2EB6" w:rsidP="00950AF7">
      <w:pPr>
        <w:spacing w:after="120" w:line="360" w:lineRule="auto"/>
        <w:jc w:val="both"/>
      </w:pPr>
    </w:p>
    <w:p w14:paraId="6645C2ED" w14:textId="77777777" w:rsidR="00EF2EB6" w:rsidRPr="00950AF7" w:rsidRDefault="00000000" w:rsidP="00950AF7">
      <w:pPr>
        <w:pStyle w:val="Heading3"/>
        <w:jc w:val="both"/>
        <w:rPr>
          <w:color w:val="auto"/>
          <w:sz w:val="24"/>
          <w:szCs w:val="24"/>
        </w:rPr>
      </w:pPr>
      <w:bookmarkStart w:id="67" w:name="_Toc222201111"/>
      <w:r w:rsidRPr="00950AF7">
        <w:rPr>
          <w:color w:val="auto"/>
          <w:sz w:val="24"/>
          <w:szCs w:val="24"/>
        </w:rPr>
        <w:t>4.1.4 Results for RQ3: Comparative Forecast Accuracy (H1 and H2)</w:t>
      </w:r>
      <w:bookmarkEnd w:id="67"/>
    </w:p>
    <w:p w14:paraId="1D53DD1C" w14:textId="77777777" w:rsidR="00EF2EB6" w:rsidRPr="00950AF7" w:rsidRDefault="00000000" w:rsidP="00950AF7">
      <w:pPr>
        <w:spacing w:after="120" w:line="360" w:lineRule="auto"/>
        <w:jc w:val="both"/>
      </w:pPr>
      <w:r w:rsidRPr="00950AF7">
        <w:t>Research Question 3 asked: What is the comparative forecasting accuracy of SEVM versus traditional deterministic EVM?</w:t>
      </w:r>
    </w:p>
    <w:p w14:paraId="35563AF0" w14:textId="77777777" w:rsidR="00EF2EB6" w:rsidRPr="00950AF7" w:rsidRDefault="00000000" w:rsidP="00950AF7">
      <w:pPr>
        <w:spacing w:after="120" w:line="360" w:lineRule="auto"/>
        <w:jc w:val="both"/>
      </w:pPr>
      <w:r w:rsidRPr="00950AF7">
        <w:t>Table 2 presents the mean absolute percentage error (MAPE) for each forecasting method at each completion stage, along with the accuracy improvement of SEVM over the composite deterministic formula.</w:t>
      </w:r>
    </w:p>
    <w:p w14:paraId="481FD2C4" w14:textId="77777777" w:rsidR="00EF2EB6" w:rsidRPr="00950AF7" w:rsidRDefault="00EF2EB6" w:rsidP="00950AF7">
      <w:pPr>
        <w:spacing w:after="120" w:line="360" w:lineRule="auto"/>
        <w:jc w:val="both"/>
      </w:pPr>
    </w:p>
    <w:p w14:paraId="07E59148" w14:textId="77777777" w:rsidR="00EF2EB6" w:rsidRPr="00950AF7" w:rsidRDefault="00000000" w:rsidP="00950AF7">
      <w:pPr>
        <w:spacing w:after="100" w:line="360" w:lineRule="auto"/>
        <w:jc w:val="both"/>
      </w:pPr>
      <w:r w:rsidRPr="00950AF7">
        <w:rPr>
          <w:b/>
          <w:bCs/>
        </w:rPr>
        <w:t>Table 2: Forecast Accuracy Comparison by Project Completion Stage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71"/>
        <w:gridCol w:w="1682"/>
        <w:gridCol w:w="2042"/>
        <w:gridCol w:w="2275"/>
      </w:tblGrid>
      <w:tr w:rsidR="00950AF7" w:rsidRPr="00950AF7" w14:paraId="1DD361AB"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0D033619" w14:textId="77777777" w:rsidR="00EF2EB6" w:rsidRPr="00950AF7" w:rsidRDefault="00000000" w:rsidP="00950AF7">
            <w:pPr>
              <w:spacing w:line="360" w:lineRule="auto"/>
              <w:jc w:val="both"/>
            </w:pPr>
            <w:r w:rsidRPr="00950AF7">
              <w:rPr>
                <w:b/>
                <w:bCs/>
              </w:rPr>
              <w:t>Completion</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F3F26BC" w14:textId="77777777" w:rsidR="00EF2EB6" w:rsidRPr="00950AF7" w:rsidRDefault="00000000" w:rsidP="00950AF7">
            <w:pPr>
              <w:spacing w:line="360" w:lineRule="auto"/>
              <w:jc w:val="both"/>
            </w:pPr>
            <w:r w:rsidRPr="00950AF7">
              <w:rPr>
                <w:b/>
                <w:bCs/>
              </w:rPr>
              <w:t>SEVM (P50)</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4BDE957" w14:textId="77777777" w:rsidR="00EF2EB6" w:rsidRPr="00950AF7" w:rsidRDefault="00000000" w:rsidP="00950AF7">
            <w:pPr>
              <w:spacing w:line="360" w:lineRule="auto"/>
              <w:jc w:val="both"/>
            </w:pPr>
            <w:r w:rsidRPr="00950AF7">
              <w:rPr>
                <w:b/>
                <w:bCs/>
              </w:rPr>
              <w:t>Det. BAC/CPI</w:t>
            </w:r>
          </w:p>
        </w:tc>
        <w:tc>
          <w:tcPr>
            <w:tcW w:w="207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4AD8FCA" w14:textId="77777777" w:rsidR="00EF2EB6" w:rsidRPr="00950AF7" w:rsidRDefault="00000000" w:rsidP="00950AF7">
            <w:pPr>
              <w:spacing w:line="360" w:lineRule="auto"/>
              <w:jc w:val="both"/>
            </w:pPr>
            <w:r w:rsidRPr="00950AF7">
              <w:rPr>
                <w:b/>
                <w:bCs/>
              </w:rPr>
              <w:t>Det. Composite</w:t>
            </w:r>
          </w:p>
        </w:tc>
        <w:tc>
          <w:tcPr>
            <w:tcW w:w="23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51720269" w14:textId="77777777" w:rsidR="00EF2EB6" w:rsidRPr="00950AF7" w:rsidRDefault="00000000" w:rsidP="00950AF7">
            <w:pPr>
              <w:spacing w:line="360" w:lineRule="auto"/>
              <w:jc w:val="both"/>
            </w:pPr>
            <w:r w:rsidRPr="00950AF7">
              <w:rPr>
                <w:b/>
                <w:bCs/>
              </w:rPr>
              <w:t>SEVM Improvement vs Composite</w:t>
            </w:r>
          </w:p>
        </w:tc>
      </w:tr>
      <w:tr w:rsidR="00950AF7" w:rsidRPr="00950AF7" w14:paraId="1B7FBC4F"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156A9B2" w14:textId="77777777" w:rsidR="00EF2EB6" w:rsidRPr="00950AF7" w:rsidRDefault="00000000" w:rsidP="00950AF7">
            <w:pPr>
              <w:spacing w:line="360" w:lineRule="auto"/>
              <w:jc w:val="both"/>
            </w:pPr>
            <w:r w:rsidRPr="00950AF7">
              <w:t>20%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B903EF" w14:textId="77777777" w:rsidR="00EF2EB6" w:rsidRPr="00950AF7" w:rsidRDefault="00000000" w:rsidP="00950AF7">
            <w:pPr>
              <w:spacing w:line="360" w:lineRule="auto"/>
              <w:jc w:val="both"/>
            </w:pPr>
            <w:r w:rsidRPr="00950AF7">
              <w:t>7.22%</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D89B60" w14:textId="77777777" w:rsidR="00EF2EB6" w:rsidRPr="00950AF7" w:rsidRDefault="00000000" w:rsidP="00950AF7">
            <w:pPr>
              <w:spacing w:line="360" w:lineRule="auto"/>
              <w:jc w:val="both"/>
            </w:pPr>
            <w:r w:rsidRPr="00950AF7">
              <w:t>4.96%</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CD8A84" w14:textId="77777777" w:rsidR="00EF2EB6" w:rsidRPr="00950AF7" w:rsidRDefault="00000000" w:rsidP="00950AF7">
            <w:pPr>
              <w:spacing w:line="360" w:lineRule="auto"/>
              <w:jc w:val="both"/>
            </w:pPr>
            <w:r w:rsidRPr="00950AF7">
              <w:t>7.85%</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47BF39" w14:textId="77777777" w:rsidR="00EF2EB6" w:rsidRPr="00950AF7" w:rsidRDefault="00000000" w:rsidP="00950AF7">
            <w:pPr>
              <w:spacing w:line="360" w:lineRule="auto"/>
              <w:jc w:val="both"/>
            </w:pPr>
            <w:r w:rsidRPr="00950AF7">
              <w:t>+0.63 pp</w:t>
            </w:r>
          </w:p>
        </w:tc>
      </w:tr>
      <w:tr w:rsidR="00950AF7" w:rsidRPr="00950AF7" w14:paraId="4B02ADC0"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67EAEF" w14:textId="77777777" w:rsidR="00EF2EB6" w:rsidRPr="00950AF7" w:rsidRDefault="00000000" w:rsidP="00950AF7">
            <w:pPr>
              <w:spacing w:line="360" w:lineRule="auto"/>
              <w:jc w:val="both"/>
            </w:pPr>
            <w:r w:rsidRPr="00950AF7">
              <w:t>30%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AC8A32" w14:textId="77777777" w:rsidR="00EF2EB6" w:rsidRPr="00950AF7" w:rsidRDefault="00000000" w:rsidP="00950AF7">
            <w:pPr>
              <w:spacing w:line="360" w:lineRule="auto"/>
              <w:jc w:val="both"/>
            </w:pPr>
            <w:r w:rsidRPr="00950AF7">
              <w:t>5.13%</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3E82EB" w14:textId="77777777" w:rsidR="00EF2EB6" w:rsidRPr="00950AF7" w:rsidRDefault="00000000" w:rsidP="00950AF7">
            <w:pPr>
              <w:spacing w:line="360" w:lineRule="auto"/>
              <w:jc w:val="both"/>
            </w:pPr>
            <w:r w:rsidRPr="00950AF7">
              <w:t>3.80%</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315AA5" w14:textId="77777777" w:rsidR="00EF2EB6" w:rsidRPr="00950AF7" w:rsidRDefault="00000000" w:rsidP="00950AF7">
            <w:pPr>
              <w:spacing w:line="360" w:lineRule="auto"/>
              <w:jc w:val="both"/>
            </w:pPr>
            <w:r w:rsidRPr="00950AF7">
              <w:t>5.07%</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6F4DA5" w14:textId="77777777" w:rsidR="00EF2EB6" w:rsidRPr="00950AF7" w:rsidRDefault="00000000" w:rsidP="00950AF7">
            <w:pPr>
              <w:spacing w:line="360" w:lineRule="auto"/>
              <w:jc w:val="both"/>
            </w:pPr>
            <w:r w:rsidRPr="00950AF7">
              <w:t>-0.06 pp</w:t>
            </w:r>
          </w:p>
        </w:tc>
      </w:tr>
      <w:tr w:rsidR="00950AF7" w:rsidRPr="00950AF7" w14:paraId="21078BBD"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D06D6D" w14:textId="77777777" w:rsidR="00EF2EB6" w:rsidRPr="00950AF7" w:rsidRDefault="00000000" w:rsidP="00950AF7">
            <w:pPr>
              <w:spacing w:line="360" w:lineRule="auto"/>
              <w:jc w:val="both"/>
            </w:pPr>
            <w:r w:rsidRPr="00950AF7">
              <w:t>40%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02BDCD" w14:textId="77777777" w:rsidR="00EF2EB6" w:rsidRPr="00950AF7" w:rsidRDefault="00000000" w:rsidP="00950AF7">
            <w:pPr>
              <w:spacing w:line="360" w:lineRule="auto"/>
              <w:jc w:val="both"/>
            </w:pPr>
            <w:r w:rsidRPr="00950AF7">
              <w:t>4.47%</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3814B9" w14:textId="77777777" w:rsidR="00EF2EB6" w:rsidRPr="00950AF7" w:rsidRDefault="00000000" w:rsidP="00950AF7">
            <w:pPr>
              <w:spacing w:line="360" w:lineRule="auto"/>
              <w:jc w:val="both"/>
            </w:pPr>
            <w:r w:rsidRPr="00950AF7">
              <w:t>4.04%</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7FE057" w14:textId="77777777" w:rsidR="00EF2EB6" w:rsidRPr="00950AF7" w:rsidRDefault="00000000" w:rsidP="00950AF7">
            <w:pPr>
              <w:spacing w:line="360" w:lineRule="auto"/>
              <w:jc w:val="both"/>
            </w:pPr>
            <w:r w:rsidRPr="00950AF7">
              <w:t>5.01%</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CE28FF" w14:textId="77777777" w:rsidR="00EF2EB6" w:rsidRPr="00950AF7" w:rsidRDefault="00000000" w:rsidP="00950AF7">
            <w:pPr>
              <w:spacing w:line="360" w:lineRule="auto"/>
              <w:jc w:val="both"/>
            </w:pPr>
            <w:r w:rsidRPr="00950AF7">
              <w:t>+0.54 pp</w:t>
            </w:r>
          </w:p>
        </w:tc>
      </w:tr>
      <w:tr w:rsidR="00950AF7" w:rsidRPr="00950AF7" w14:paraId="450E71E7"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88A7FA" w14:textId="77777777" w:rsidR="00EF2EB6" w:rsidRPr="00950AF7" w:rsidRDefault="00000000" w:rsidP="00950AF7">
            <w:pPr>
              <w:spacing w:line="360" w:lineRule="auto"/>
              <w:jc w:val="both"/>
            </w:pPr>
            <w:r w:rsidRPr="00950AF7">
              <w:t>50%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AA10540" w14:textId="77777777" w:rsidR="00EF2EB6" w:rsidRPr="00950AF7" w:rsidRDefault="00000000" w:rsidP="00950AF7">
            <w:pPr>
              <w:spacing w:line="360" w:lineRule="auto"/>
              <w:jc w:val="both"/>
            </w:pPr>
            <w:r w:rsidRPr="00950AF7">
              <w:t>4.10%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534384" w14:textId="77777777" w:rsidR="00EF2EB6" w:rsidRPr="00950AF7" w:rsidRDefault="00000000" w:rsidP="00950AF7">
            <w:pPr>
              <w:spacing w:line="360" w:lineRule="auto"/>
              <w:jc w:val="both"/>
            </w:pPr>
            <w:r w:rsidRPr="00950AF7">
              <w:t>3.06%</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51DB91" w14:textId="77777777" w:rsidR="00EF2EB6" w:rsidRPr="00950AF7" w:rsidRDefault="00000000" w:rsidP="00950AF7">
            <w:pPr>
              <w:spacing w:line="360" w:lineRule="auto"/>
              <w:jc w:val="both"/>
            </w:pPr>
            <w:r w:rsidRPr="00950AF7">
              <w:t>5.15%</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6147DC" w14:textId="77777777" w:rsidR="00EF2EB6" w:rsidRPr="00950AF7" w:rsidRDefault="00000000" w:rsidP="00950AF7">
            <w:pPr>
              <w:spacing w:line="360" w:lineRule="auto"/>
              <w:jc w:val="both"/>
            </w:pPr>
            <w:r w:rsidRPr="00950AF7">
              <w:t>+1.05 pp</w:t>
            </w:r>
          </w:p>
        </w:tc>
      </w:tr>
      <w:tr w:rsidR="00950AF7" w:rsidRPr="00950AF7" w14:paraId="1C906EF1"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34807C" w14:textId="77777777" w:rsidR="00EF2EB6" w:rsidRPr="00950AF7" w:rsidRDefault="00000000" w:rsidP="00950AF7">
            <w:pPr>
              <w:spacing w:line="360" w:lineRule="auto"/>
              <w:jc w:val="both"/>
            </w:pPr>
            <w:r w:rsidRPr="00950AF7">
              <w:lastRenderedPageBreak/>
              <w:t>60%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31FF85" w14:textId="77777777" w:rsidR="00EF2EB6" w:rsidRPr="00950AF7" w:rsidRDefault="00000000" w:rsidP="00950AF7">
            <w:pPr>
              <w:spacing w:line="360" w:lineRule="auto"/>
              <w:jc w:val="both"/>
            </w:pPr>
            <w:r w:rsidRPr="00950AF7">
              <w:t>3.10%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246F6E" w14:textId="77777777" w:rsidR="00EF2EB6" w:rsidRPr="00950AF7" w:rsidRDefault="00000000" w:rsidP="00950AF7">
            <w:pPr>
              <w:spacing w:line="360" w:lineRule="auto"/>
              <w:jc w:val="both"/>
            </w:pPr>
            <w:r w:rsidRPr="00950AF7">
              <w:t>2.04%</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D387D5" w14:textId="77777777" w:rsidR="00EF2EB6" w:rsidRPr="00950AF7" w:rsidRDefault="00000000" w:rsidP="00950AF7">
            <w:pPr>
              <w:spacing w:line="360" w:lineRule="auto"/>
              <w:jc w:val="both"/>
            </w:pPr>
            <w:r w:rsidRPr="00950AF7">
              <w:t>3.89%</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0ECB0C" w14:textId="77777777" w:rsidR="00EF2EB6" w:rsidRPr="00950AF7" w:rsidRDefault="00000000" w:rsidP="00950AF7">
            <w:pPr>
              <w:spacing w:line="360" w:lineRule="auto"/>
              <w:jc w:val="both"/>
            </w:pPr>
            <w:r w:rsidRPr="00950AF7">
              <w:t>+0.79 pp</w:t>
            </w:r>
          </w:p>
        </w:tc>
      </w:tr>
      <w:tr w:rsidR="00950AF7" w:rsidRPr="00950AF7" w14:paraId="037B3E96"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FCD662" w14:textId="77777777" w:rsidR="00EF2EB6" w:rsidRPr="00950AF7" w:rsidRDefault="00000000" w:rsidP="00950AF7">
            <w:pPr>
              <w:spacing w:line="360" w:lineRule="auto"/>
              <w:jc w:val="both"/>
            </w:pPr>
            <w:r w:rsidRPr="00950AF7">
              <w:t>70%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B96EB4" w14:textId="77777777" w:rsidR="00EF2EB6" w:rsidRPr="00950AF7" w:rsidRDefault="00000000" w:rsidP="00950AF7">
            <w:pPr>
              <w:spacing w:line="360" w:lineRule="auto"/>
              <w:jc w:val="both"/>
            </w:pPr>
            <w:r w:rsidRPr="00950AF7">
              <w:t>2.12%</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D8C808" w14:textId="77777777" w:rsidR="00EF2EB6" w:rsidRPr="00950AF7" w:rsidRDefault="00000000" w:rsidP="00950AF7">
            <w:pPr>
              <w:spacing w:line="360" w:lineRule="auto"/>
              <w:jc w:val="both"/>
            </w:pPr>
            <w:r w:rsidRPr="00950AF7">
              <w:t>1.30%</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7EB02C" w14:textId="77777777" w:rsidR="00EF2EB6" w:rsidRPr="00950AF7" w:rsidRDefault="00000000" w:rsidP="00950AF7">
            <w:pPr>
              <w:spacing w:line="360" w:lineRule="auto"/>
              <w:jc w:val="both"/>
            </w:pPr>
            <w:r w:rsidRPr="00950AF7">
              <w:t>2.99%</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397CF3" w14:textId="77777777" w:rsidR="00EF2EB6" w:rsidRPr="00950AF7" w:rsidRDefault="00000000" w:rsidP="00950AF7">
            <w:pPr>
              <w:spacing w:line="360" w:lineRule="auto"/>
              <w:jc w:val="both"/>
            </w:pPr>
            <w:r w:rsidRPr="00950AF7">
              <w:t>+0.87 pp</w:t>
            </w:r>
          </w:p>
        </w:tc>
      </w:tr>
      <w:tr w:rsidR="00950AF7" w:rsidRPr="00950AF7" w14:paraId="3A949708"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1CBED6" w14:textId="77777777" w:rsidR="00EF2EB6" w:rsidRPr="00950AF7" w:rsidRDefault="00000000" w:rsidP="00950AF7">
            <w:pPr>
              <w:spacing w:line="360" w:lineRule="auto"/>
              <w:jc w:val="both"/>
            </w:pPr>
            <w:r w:rsidRPr="00950AF7">
              <w:t>80%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D1D004" w14:textId="77777777" w:rsidR="00EF2EB6" w:rsidRPr="00950AF7" w:rsidRDefault="00000000" w:rsidP="00950AF7">
            <w:pPr>
              <w:spacing w:line="360" w:lineRule="auto"/>
              <w:jc w:val="both"/>
            </w:pPr>
            <w:r w:rsidRPr="00950AF7">
              <w:t>1.74%</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25ECBE" w14:textId="77777777" w:rsidR="00EF2EB6" w:rsidRPr="00950AF7" w:rsidRDefault="00000000" w:rsidP="00950AF7">
            <w:pPr>
              <w:spacing w:line="360" w:lineRule="auto"/>
              <w:jc w:val="both"/>
            </w:pPr>
            <w:r w:rsidRPr="00950AF7">
              <w:t>1.17%</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F7ECD8" w14:textId="77777777" w:rsidR="00EF2EB6" w:rsidRPr="00950AF7" w:rsidRDefault="00000000" w:rsidP="00950AF7">
            <w:pPr>
              <w:spacing w:line="360" w:lineRule="auto"/>
              <w:jc w:val="both"/>
            </w:pPr>
            <w:r w:rsidRPr="00950AF7">
              <w:t>2.15%</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4600AD" w14:textId="77777777" w:rsidR="00EF2EB6" w:rsidRPr="00950AF7" w:rsidRDefault="00000000" w:rsidP="00950AF7">
            <w:pPr>
              <w:spacing w:line="360" w:lineRule="auto"/>
              <w:jc w:val="both"/>
            </w:pPr>
            <w:r w:rsidRPr="00950AF7">
              <w:t>+0.41 pp</w:t>
            </w:r>
          </w:p>
        </w:tc>
      </w:tr>
      <w:tr w:rsidR="00950AF7" w:rsidRPr="00950AF7" w14:paraId="7AF85D66"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72F1DC" w14:textId="77777777" w:rsidR="00EF2EB6" w:rsidRPr="00950AF7" w:rsidRDefault="00000000" w:rsidP="00950AF7">
            <w:pPr>
              <w:spacing w:line="360" w:lineRule="auto"/>
              <w:jc w:val="both"/>
            </w:pPr>
            <w:r w:rsidRPr="00950AF7">
              <w:t>90%</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B56A99" w14:textId="77777777" w:rsidR="00EF2EB6" w:rsidRPr="00950AF7" w:rsidRDefault="00000000" w:rsidP="00950AF7">
            <w:pPr>
              <w:spacing w:line="360" w:lineRule="auto"/>
              <w:jc w:val="both"/>
            </w:pPr>
            <w:r w:rsidRPr="00950AF7">
              <w:t>1.41%</w:t>
            </w:r>
          </w:p>
        </w:tc>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C75C28" w14:textId="77777777" w:rsidR="00EF2EB6" w:rsidRPr="00950AF7" w:rsidRDefault="00000000" w:rsidP="00950AF7">
            <w:pPr>
              <w:spacing w:line="360" w:lineRule="auto"/>
              <w:jc w:val="both"/>
            </w:pPr>
            <w:r w:rsidRPr="00950AF7">
              <w:t>1.11%</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272594" w14:textId="77777777" w:rsidR="00EF2EB6" w:rsidRPr="00950AF7" w:rsidRDefault="00000000" w:rsidP="00950AF7">
            <w:pPr>
              <w:spacing w:line="360" w:lineRule="auto"/>
              <w:jc w:val="both"/>
            </w:pPr>
            <w:r w:rsidRPr="00950AF7">
              <w:t>1.54%</w:t>
            </w:r>
          </w:p>
        </w:tc>
        <w:tc>
          <w:tcPr>
            <w:tcW w:w="2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D95757" w14:textId="77777777" w:rsidR="00EF2EB6" w:rsidRPr="00950AF7" w:rsidRDefault="00000000" w:rsidP="00950AF7">
            <w:pPr>
              <w:spacing w:line="360" w:lineRule="auto"/>
              <w:jc w:val="both"/>
            </w:pPr>
            <w:r w:rsidRPr="00950AF7">
              <w:t>+0.12 pp</w:t>
            </w:r>
          </w:p>
        </w:tc>
      </w:tr>
      <w:tr w:rsidR="00950AF7" w:rsidRPr="00950AF7" w14:paraId="1DEFD4A2" w14:textId="77777777">
        <w:tblPrEx>
          <w:tblCellMar>
            <w:top w:w="0" w:type="dxa"/>
            <w:bottom w:w="0" w:type="dxa"/>
          </w:tblCellMar>
        </w:tblPrEx>
        <w:tc>
          <w:tcPr>
            <w:tcW w:w="1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2524061F" w14:textId="77777777" w:rsidR="00EF2EB6" w:rsidRPr="00950AF7" w:rsidRDefault="00000000" w:rsidP="00950AF7">
            <w:pPr>
              <w:spacing w:line="360" w:lineRule="auto"/>
              <w:jc w:val="both"/>
            </w:pPr>
            <w:r w:rsidRPr="00950AF7">
              <w:rPr>
                <w:b/>
                <w:bCs/>
              </w:rPr>
              <w:t>Average</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720B94AC" w14:textId="77777777" w:rsidR="00EF2EB6" w:rsidRPr="00950AF7" w:rsidRDefault="00000000" w:rsidP="00950AF7">
            <w:pPr>
              <w:spacing w:line="360" w:lineRule="auto"/>
              <w:jc w:val="both"/>
            </w:pPr>
            <w:r w:rsidRPr="00950AF7">
              <w:rPr>
                <w:b/>
                <w:bCs/>
              </w:rPr>
              <w:t>3.66%</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1537A47" w14:textId="77777777" w:rsidR="00EF2EB6" w:rsidRPr="00950AF7" w:rsidRDefault="00000000" w:rsidP="00950AF7">
            <w:pPr>
              <w:spacing w:line="360" w:lineRule="auto"/>
              <w:jc w:val="both"/>
            </w:pPr>
            <w:r w:rsidRPr="00950AF7">
              <w:rPr>
                <w:b/>
                <w:bCs/>
              </w:rPr>
              <w:t>2.69%</w:t>
            </w:r>
          </w:p>
        </w:tc>
        <w:tc>
          <w:tcPr>
            <w:tcW w:w="207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3A86CFEF" w14:textId="77777777" w:rsidR="00EF2EB6" w:rsidRPr="00950AF7" w:rsidRDefault="00000000" w:rsidP="00950AF7">
            <w:pPr>
              <w:spacing w:line="360" w:lineRule="auto"/>
              <w:jc w:val="both"/>
            </w:pPr>
            <w:r w:rsidRPr="00950AF7">
              <w:rPr>
                <w:b/>
                <w:bCs/>
              </w:rPr>
              <w:t>4.21%</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60E3CB01" w14:textId="77777777" w:rsidR="00EF2EB6" w:rsidRPr="00950AF7" w:rsidRDefault="00000000" w:rsidP="00950AF7">
            <w:pPr>
              <w:spacing w:line="360" w:lineRule="auto"/>
              <w:jc w:val="both"/>
            </w:pPr>
            <w:r w:rsidRPr="00950AF7">
              <w:rPr>
                <w:b/>
                <w:bCs/>
              </w:rPr>
              <w:t>+0.55 pp</w:t>
            </w:r>
          </w:p>
        </w:tc>
      </w:tr>
    </w:tbl>
    <w:p w14:paraId="14BD1A94" w14:textId="77777777" w:rsidR="00EF2EB6" w:rsidRPr="00950AF7" w:rsidRDefault="00EF2EB6" w:rsidP="00950AF7">
      <w:pPr>
        <w:spacing w:after="120" w:line="360" w:lineRule="auto"/>
        <w:jc w:val="both"/>
      </w:pPr>
    </w:p>
    <w:p w14:paraId="35B15D6F" w14:textId="77777777" w:rsidR="00EF2EB6" w:rsidRPr="00950AF7" w:rsidRDefault="00000000" w:rsidP="00950AF7">
      <w:pPr>
        <w:spacing w:before="200" w:after="100" w:line="360" w:lineRule="auto"/>
        <w:jc w:val="both"/>
      </w:pPr>
      <w:r w:rsidRPr="00950AF7">
        <w:rPr>
          <w:noProof/>
        </w:rPr>
        <w:drawing>
          <wp:inline distT="0" distB="0" distL="0" distR="0" wp14:anchorId="1125373E" wp14:editId="5BC50D4E">
            <wp:extent cx="4953000" cy="2857500"/>
            <wp:effectExtent l="0" t="0" r="0" b="0"/>
            <wp:docPr id="127932160" name="fig2_accuracy_comparison.png" descr="SEVM vs Deterministic EVM accuracy by stage" title="Accurac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857500"/>
                    </a:xfrm>
                    <a:prstGeom prst="rect">
                      <a:avLst/>
                    </a:prstGeom>
                  </pic:spPr>
                </pic:pic>
              </a:graphicData>
            </a:graphic>
          </wp:inline>
        </w:drawing>
      </w:r>
    </w:p>
    <w:p w14:paraId="705A319B" w14:textId="77777777" w:rsidR="00EF2EB6" w:rsidRPr="00950AF7" w:rsidRDefault="00000000" w:rsidP="00950AF7">
      <w:pPr>
        <w:spacing w:after="200" w:line="360" w:lineRule="auto"/>
        <w:jc w:val="both"/>
      </w:pPr>
      <w:r w:rsidRPr="00950AF7">
        <w:rPr>
          <w:i/>
          <w:iCs/>
        </w:rPr>
        <w:t>Figure 2: Forecast Accuracy Comparison by Project Completion Stage</w:t>
      </w:r>
    </w:p>
    <w:p w14:paraId="4F2DEFAF" w14:textId="77777777" w:rsidR="00EF2EB6" w:rsidRPr="00950AF7" w:rsidRDefault="00000000" w:rsidP="00950AF7">
      <w:pPr>
        <w:spacing w:after="120" w:line="360" w:lineRule="auto"/>
        <w:jc w:val="both"/>
      </w:pPr>
      <w:r w:rsidRPr="00950AF7">
        <w:t>The results reveal a nuanced picture regarding the comparative accuracy of SEVM. Concerning Hypothesis 1, the SEVM P50 estimate achieves an average MAPE of 3.66%, which is higher than the simple BAC/CPI deterministic formula (2.69%) but substantially lower than the composite deterministic formula (4.21%). The Wilcoxon signed-rank test confirms that the difference between SEVM and the BAC/CPI formula is statistically significant (W = 1073, p &lt; 0.001), while the difference between SEVM and the composite formula is not statistically significant at the conventional p &lt; 0.05 threshold (W = 1915, p = 0.131), although SEVM shows a consistent directional advantage of 0.55 percentage points on average.</w:t>
      </w:r>
    </w:p>
    <w:p w14:paraId="3050E777" w14:textId="77777777" w:rsidR="00EF2EB6" w:rsidRPr="00950AF7" w:rsidRDefault="00EF2EB6" w:rsidP="00950AF7">
      <w:pPr>
        <w:spacing w:after="120" w:line="360" w:lineRule="auto"/>
        <w:jc w:val="both"/>
      </w:pPr>
    </w:p>
    <w:p w14:paraId="2ACC805F" w14:textId="77777777" w:rsidR="00EF2EB6" w:rsidRPr="00950AF7" w:rsidRDefault="00000000" w:rsidP="00950AF7">
      <w:pPr>
        <w:spacing w:after="120" w:line="360" w:lineRule="auto"/>
        <w:jc w:val="both"/>
      </w:pPr>
      <w:r w:rsidRPr="00950AF7">
        <w:t xml:space="preserve">This finding requires careful interpretation. The BAC/CPI formula benefits from a mathematical simplicity that, in effect, cancels out the compounding effect of schedule uncertainty. However, this simplicity comes at the cost of ignoring schedule-cost interactions </w:t>
      </w:r>
      <w:r w:rsidRPr="00950AF7">
        <w:lastRenderedPageBreak/>
        <w:t>that are critical in EPC projects. The composite formula, which accounts for these interactions, suffers from error amplification when both CPI and SPI estimates are imprecise. SEVM addresses this amplification by sampling from the full distributions of both indices, thereby producing forecasts that are more robust to the combined uncertainty.</w:t>
      </w:r>
    </w:p>
    <w:p w14:paraId="02658293" w14:textId="77777777" w:rsidR="00EF2EB6" w:rsidRPr="00950AF7" w:rsidRDefault="00EF2EB6" w:rsidP="00950AF7">
      <w:pPr>
        <w:spacing w:after="120" w:line="360" w:lineRule="auto"/>
        <w:jc w:val="both"/>
      </w:pPr>
    </w:p>
    <w:p w14:paraId="0B4EEE83" w14:textId="77777777" w:rsidR="00EF2EB6" w:rsidRPr="00950AF7" w:rsidRDefault="00000000" w:rsidP="00950AF7">
      <w:pPr>
        <w:spacing w:after="120" w:line="360" w:lineRule="auto"/>
        <w:jc w:val="both"/>
      </w:pPr>
      <w:r w:rsidRPr="00950AF7">
        <w:rPr>
          <w:b/>
          <w:bCs/>
        </w:rPr>
        <w:t>Regarding Hypothesis 1</w:t>
      </w:r>
      <w:r w:rsidRPr="00950AF7">
        <w:t>, we find partial support. While SEVM does not outperform the simplest deterministic formula (BAC/CPI) in point-estimate accuracy, it significantly outperforms the more comprehensive composite formula that accounts for schedule-cost interactions. The primary value of SEVM, however, lies not in its point-estimate accuracy but in its ability to produce calibrated probabilistic forecasts, as discussed below.</w:t>
      </w:r>
    </w:p>
    <w:p w14:paraId="6E20D867" w14:textId="77777777" w:rsidR="00EF2EB6" w:rsidRPr="00950AF7" w:rsidRDefault="00EF2EB6" w:rsidP="00950AF7">
      <w:pPr>
        <w:spacing w:after="120" w:line="360" w:lineRule="auto"/>
        <w:jc w:val="both"/>
      </w:pPr>
    </w:p>
    <w:p w14:paraId="7D1ADCD1" w14:textId="77777777" w:rsidR="00EF2EB6" w:rsidRPr="00950AF7" w:rsidRDefault="00000000" w:rsidP="00950AF7">
      <w:pPr>
        <w:spacing w:after="120" w:line="360" w:lineRule="auto"/>
        <w:jc w:val="both"/>
      </w:pPr>
      <w:r w:rsidRPr="00950AF7">
        <w:rPr>
          <w:b/>
          <w:bCs/>
        </w:rPr>
        <w:t>Regarding Hypothesis 2</w:t>
      </w:r>
      <w:r w:rsidRPr="00950AF7">
        <w:t>, the schedule-integrated nature of the SEVM composite model (incorporating both CPI and SPI distributions) demonstrates superior performance over the deterministic composite approach, with an average improvement of 0.55 percentage points. This improvement is most pronounced at 50% completion (+1.05 pp), where schedule-cost interactions are most complex.</w:t>
      </w:r>
    </w:p>
    <w:p w14:paraId="0A964720" w14:textId="77777777" w:rsidR="00EF2EB6" w:rsidRPr="00950AF7" w:rsidRDefault="00EF2EB6" w:rsidP="00950AF7">
      <w:pPr>
        <w:spacing w:after="120" w:line="360" w:lineRule="auto"/>
        <w:jc w:val="both"/>
      </w:pPr>
    </w:p>
    <w:p w14:paraId="42333A37" w14:textId="77777777" w:rsidR="00EF2EB6" w:rsidRPr="00950AF7" w:rsidRDefault="00000000" w:rsidP="00950AF7">
      <w:pPr>
        <w:spacing w:after="120" w:line="360" w:lineRule="auto"/>
        <w:jc w:val="both"/>
      </w:pPr>
      <w:r w:rsidRPr="00950AF7">
        <w:t>A critical finding concerns the calibration quality of the SEVM probabilistic forecasts. The 80% confidence interval (P10 to P90) contains the actual project outcome in 77.1% of cases, remarkably close to the theoretical ideal of 80%. Similarly, the 50% confidence interval (P25 to P75) contains the actual outcome in 53.1% of cases, closely approaching the theoretical ideal of 50%. This calibration quality means that decision-makers can trust the probabilistic ranges produced by SEVM to accurately reflect the true uncertainty in project outcomes.</w:t>
      </w:r>
    </w:p>
    <w:p w14:paraId="424D3489" w14:textId="77777777" w:rsidR="00EF2EB6" w:rsidRPr="00950AF7" w:rsidRDefault="00EF2EB6" w:rsidP="00950AF7">
      <w:pPr>
        <w:spacing w:after="120" w:line="360" w:lineRule="auto"/>
        <w:jc w:val="both"/>
      </w:pPr>
    </w:p>
    <w:p w14:paraId="26E53C78" w14:textId="77777777" w:rsidR="00EF2EB6" w:rsidRPr="00950AF7" w:rsidRDefault="00000000" w:rsidP="00950AF7">
      <w:pPr>
        <w:pStyle w:val="Heading3"/>
        <w:jc w:val="both"/>
        <w:rPr>
          <w:color w:val="auto"/>
          <w:sz w:val="24"/>
          <w:szCs w:val="24"/>
        </w:rPr>
      </w:pPr>
      <w:bookmarkStart w:id="68" w:name="_Toc222201112"/>
      <w:r w:rsidRPr="00950AF7">
        <w:rPr>
          <w:color w:val="auto"/>
          <w:sz w:val="24"/>
          <w:szCs w:val="24"/>
        </w:rPr>
        <w:t>4.1.5 Results for RQ4: Moderating Factors (H3, H4, H5)</w:t>
      </w:r>
      <w:bookmarkEnd w:id="68"/>
    </w:p>
    <w:p w14:paraId="434D931F" w14:textId="77777777" w:rsidR="00EF2EB6" w:rsidRPr="00950AF7" w:rsidRDefault="00000000" w:rsidP="00950AF7">
      <w:pPr>
        <w:spacing w:after="120" w:line="360" w:lineRule="auto"/>
        <w:jc w:val="both"/>
      </w:pPr>
      <w:r w:rsidRPr="00950AF7">
        <w:t>Research Question 4 asked: What are the critical factors influencing the reliability of SEVM-based forecasts?</w:t>
      </w:r>
    </w:p>
    <w:p w14:paraId="1211E9B3" w14:textId="77777777" w:rsidR="00EF2EB6" w:rsidRPr="00950AF7" w:rsidRDefault="00EF2EB6" w:rsidP="00950AF7">
      <w:pPr>
        <w:spacing w:after="120" w:line="360" w:lineRule="auto"/>
        <w:jc w:val="both"/>
      </w:pPr>
    </w:p>
    <w:p w14:paraId="543F3EE9" w14:textId="77777777" w:rsidR="00EF2EB6" w:rsidRPr="00950AF7" w:rsidRDefault="00000000" w:rsidP="00950AF7">
      <w:pPr>
        <w:spacing w:after="120" w:line="360" w:lineRule="auto"/>
        <w:jc w:val="both"/>
      </w:pPr>
      <w:r w:rsidRPr="00950AF7">
        <w:rPr>
          <w:b/>
          <w:bCs/>
        </w:rPr>
        <w:t xml:space="preserve">Hypothesis 3: Project Complexity. </w:t>
      </w:r>
      <w:r w:rsidRPr="00950AF7">
        <w:t>Table 3 presents the accuracy comparison stratified by project complexity level.</w:t>
      </w:r>
    </w:p>
    <w:p w14:paraId="195D440B" w14:textId="77777777" w:rsidR="00EF2EB6" w:rsidRPr="00950AF7" w:rsidRDefault="00EF2EB6" w:rsidP="00950AF7">
      <w:pPr>
        <w:spacing w:after="120" w:line="360" w:lineRule="auto"/>
        <w:jc w:val="both"/>
      </w:pPr>
    </w:p>
    <w:p w14:paraId="2A0813D8" w14:textId="77777777" w:rsidR="00EF2EB6" w:rsidRPr="00950AF7" w:rsidRDefault="00000000" w:rsidP="00950AF7">
      <w:pPr>
        <w:spacing w:after="100" w:line="360" w:lineRule="auto"/>
        <w:jc w:val="both"/>
      </w:pPr>
      <w:r w:rsidRPr="00950AF7">
        <w:rPr>
          <w:b/>
          <w:bCs/>
        </w:rPr>
        <w:t>Table 3: Forecast Accuracy by Project Complexity</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70"/>
        <w:gridCol w:w="1800"/>
      </w:tblGrid>
      <w:tr w:rsidR="00950AF7" w:rsidRPr="00950AF7" w14:paraId="1B4F763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12EE01A4" w14:textId="77777777" w:rsidR="00EF2EB6" w:rsidRPr="00950AF7" w:rsidRDefault="00000000" w:rsidP="00950AF7">
            <w:pPr>
              <w:spacing w:line="360" w:lineRule="auto"/>
              <w:jc w:val="both"/>
            </w:pPr>
            <w:r w:rsidRPr="00950AF7">
              <w:rPr>
                <w:b/>
                <w:bCs/>
              </w:rPr>
              <w:t>Complexity</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FC19E95" w14:textId="77777777" w:rsidR="00EF2EB6" w:rsidRPr="00950AF7" w:rsidRDefault="00000000" w:rsidP="00950AF7">
            <w:pPr>
              <w:spacing w:line="360" w:lineRule="auto"/>
              <w:jc w:val="both"/>
            </w:pPr>
            <w:r w:rsidRPr="00950AF7">
              <w:rPr>
                <w:b/>
                <w:bCs/>
              </w:rPr>
              <w:t>SEVM MAPE</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51EDA833" w14:textId="77777777" w:rsidR="00EF2EB6" w:rsidRPr="00950AF7" w:rsidRDefault="00000000" w:rsidP="00950AF7">
            <w:pPr>
              <w:spacing w:line="360" w:lineRule="auto"/>
              <w:jc w:val="both"/>
            </w:pPr>
            <w:r w:rsidRPr="00950AF7">
              <w:rPr>
                <w:b/>
                <w:bCs/>
              </w:rPr>
              <w:t>Det. MAPE</w:t>
            </w:r>
          </w:p>
        </w:tc>
        <w:tc>
          <w:tcPr>
            <w:tcW w:w="187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255A7FD9" w14:textId="77777777" w:rsidR="00EF2EB6" w:rsidRPr="00950AF7" w:rsidRDefault="00000000" w:rsidP="00950AF7">
            <w:pPr>
              <w:spacing w:line="360" w:lineRule="auto"/>
              <w:jc w:val="both"/>
            </w:pPr>
            <w:r w:rsidRPr="00950AF7">
              <w:rPr>
                <w:b/>
                <w:bCs/>
              </w:rPr>
              <w:t>Improvement</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1BE78113" w14:textId="77777777" w:rsidR="00EF2EB6" w:rsidRPr="00950AF7" w:rsidRDefault="00000000" w:rsidP="00950AF7">
            <w:pPr>
              <w:spacing w:line="360" w:lineRule="auto"/>
              <w:jc w:val="both"/>
            </w:pPr>
            <w:r w:rsidRPr="00950AF7">
              <w:rPr>
                <w:b/>
                <w:bCs/>
              </w:rPr>
              <w:t>80% CI Calibration</w:t>
            </w:r>
          </w:p>
        </w:tc>
      </w:tr>
      <w:tr w:rsidR="00950AF7" w:rsidRPr="00950AF7" w14:paraId="1E747D2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7609CB" w14:textId="77777777" w:rsidR="00EF2EB6" w:rsidRPr="00950AF7" w:rsidRDefault="00000000" w:rsidP="00950AF7">
            <w:pPr>
              <w:spacing w:line="360" w:lineRule="auto"/>
              <w:jc w:val="both"/>
            </w:pPr>
            <w:r w:rsidRPr="00950AF7">
              <w:t>Low</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62A257" w14:textId="77777777" w:rsidR="00EF2EB6" w:rsidRPr="00950AF7" w:rsidRDefault="00000000" w:rsidP="00950AF7">
            <w:pPr>
              <w:spacing w:line="360" w:lineRule="auto"/>
              <w:jc w:val="both"/>
            </w:pPr>
            <w:r w:rsidRPr="00950AF7">
              <w:t>4.08%</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FAA52C" w14:textId="77777777" w:rsidR="00EF2EB6" w:rsidRPr="00950AF7" w:rsidRDefault="00000000" w:rsidP="00950AF7">
            <w:pPr>
              <w:spacing w:line="360" w:lineRule="auto"/>
              <w:jc w:val="both"/>
            </w:pPr>
            <w:r w:rsidRPr="00950AF7">
              <w:t>2.19%</w:t>
            </w:r>
          </w:p>
        </w:tc>
        <w:tc>
          <w:tcPr>
            <w:tcW w:w="18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9F39FD" w14:textId="77777777" w:rsidR="00EF2EB6" w:rsidRPr="00950AF7" w:rsidRDefault="00000000" w:rsidP="00950AF7">
            <w:pPr>
              <w:spacing w:line="360" w:lineRule="auto"/>
              <w:jc w:val="both"/>
            </w:pPr>
            <w:r w:rsidRPr="00950AF7">
              <w:t>-1.89 pp</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8070CF" w14:textId="77777777" w:rsidR="00EF2EB6" w:rsidRPr="00950AF7" w:rsidRDefault="00000000" w:rsidP="00950AF7">
            <w:pPr>
              <w:spacing w:line="360" w:lineRule="auto"/>
              <w:jc w:val="both"/>
            </w:pPr>
            <w:r w:rsidRPr="00950AF7">
              <w:t>31%</w:t>
            </w:r>
          </w:p>
        </w:tc>
      </w:tr>
      <w:tr w:rsidR="00950AF7" w:rsidRPr="00950AF7" w14:paraId="3FD85BB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5F14336" w14:textId="77777777" w:rsidR="00EF2EB6" w:rsidRPr="00950AF7" w:rsidRDefault="00000000" w:rsidP="00950AF7">
            <w:pPr>
              <w:spacing w:line="360" w:lineRule="auto"/>
              <w:jc w:val="both"/>
            </w:pPr>
            <w:r w:rsidRPr="00950AF7">
              <w:t>Medium</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3AC61DB" w14:textId="77777777" w:rsidR="00EF2EB6" w:rsidRPr="00950AF7" w:rsidRDefault="00000000" w:rsidP="00950AF7">
            <w:pPr>
              <w:spacing w:line="360" w:lineRule="auto"/>
              <w:jc w:val="both"/>
            </w:pPr>
            <w:r w:rsidRPr="00950AF7">
              <w:t>4.22%</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32F67C" w14:textId="77777777" w:rsidR="00EF2EB6" w:rsidRPr="00950AF7" w:rsidRDefault="00000000" w:rsidP="00950AF7">
            <w:pPr>
              <w:spacing w:line="360" w:lineRule="auto"/>
              <w:jc w:val="both"/>
            </w:pPr>
            <w:r w:rsidRPr="00950AF7">
              <w:t>2.38%</w:t>
            </w:r>
          </w:p>
        </w:tc>
        <w:tc>
          <w:tcPr>
            <w:tcW w:w="18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26CA6B" w14:textId="77777777" w:rsidR="00EF2EB6" w:rsidRPr="00950AF7" w:rsidRDefault="00000000" w:rsidP="00950AF7">
            <w:pPr>
              <w:spacing w:line="360" w:lineRule="auto"/>
              <w:jc w:val="both"/>
            </w:pPr>
            <w:r w:rsidRPr="00950AF7">
              <w:t>-1.84 pp</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301668" w14:textId="77777777" w:rsidR="00EF2EB6" w:rsidRPr="00950AF7" w:rsidRDefault="00000000" w:rsidP="00950AF7">
            <w:pPr>
              <w:spacing w:line="360" w:lineRule="auto"/>
              <w:jc w:val="both"/>
            </w:pPr>
            <w:r w:rsidRPr="00950AF7">
              <w:t>72%</w:t>
            </w:r>
          </w:p>
        </w:tc>
      </w:tr>
      <w:tr w:rsidR="00950AF7" w:rsidRPr="00950AF7" w14:paraId="004287D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433D57" w14:textId="77777777" w:rsidR="00EF2EB6" w:rsidRPr="00950AF7" w:rsidRDefault="00000000" w:rsidP="00950AF7">
            <w:pPr>
              <w:spacing w:line="360" w:lineRule="auto"/>
              <w:jc w:val="both"/>
            </w:pPr>
            <w:r w:rsidRPr="00950AF7">
              <w:t>High</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9525D9" w14:textId="77777777" w:rsidR="00EF2EB6" w:rsidRPr="00950AF7" w:rsidRDefault="00000000" w:rsidP="00950AF7">
            <w:pPr>
              <w:spacing w:line="360" w:lineRule="auto"/>
              <w:jc w:val="both"/>
            </w:pPr>
            <w:r w:rsidRPr="00950AF7">
              <w:t>3.15%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D9B73E" w14:textId="77777777" w:rsidR="00EF2EB6" w:rsidRPr="00950AF7" w:rsidRDefault="00000000" w:rsidP="00950AF7">
            <w:pPr>
              <w:spacing w:line="360" w:lineRule="auto"/>
              <w:jc w:val="both"/>
            </w:pPr>
            <w:r w:rsidRPr="00950AF7">
              <w:t>3.06%</w:t>
            </w:r>
          </w:p>
        </w:tc>
        <w:tc>
          <w:tcPr>
            <w:tcW w:w="18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57B552" w14:textId="77777777" w:rsidR="00EF2EB6" w:rsidRPr="00950AF7" w:rsidRDefault="00000000" w:rsidP="00950AF7">
            <w:pPr>
              <w:spacing w:line="360" w:lineRule="auto"/>
              <w:jc w:val="both"/>
            </w:pPr>
            <w:r w:rsidRPr="00950AF7">
              <w:t>-0.09 pp</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D3BE91" w14:textId="77777777" w:rsidR="00EF2EB6" w:rsidRPr="00950AF7" w:rsidRDefault="00000000" w:rsidP="00950AF7">
            <w:pPr>
              <w:spacing w:line="360" w:lineRule="auto"/>
              <w:jc w:val="both"/>
            </w:pPr>
            <w:r w:rsidRPr="00950AF7">
              <w:t>96%</w:t>
            </w:r>
          </w:p>
        </w:tc>
      </w:tr>
    </w:tbl>
    <w:p w14:paraId="1362CBD5" w14:textId="77777777" w:rsidR="00EF2EB6" w:rsidRPr="00950AF7" w:rsidRDefault="00EF2EB6" w:rsidP="00950AF7">
      <w:pPr>
        <w:spacing w:after="120" w:line="360" w:lineRule="auto"/>
        <w:jc w:val="both"/>
      </w:pPr>
    </w:p>
    <w:p w14:paraId="503253BD" w14:textId="77777777" w:rsidR="00EF2EB6" w:rsidRPr="00950AF7" w:rsidRDefault="00000000" w:rsidP="00950AF7">
      <w:pPr>
        <w:spacing w:before="200" w:after="100" w:line="360" w:lineRule="auto"/>
        <w:jc w:val="both"/>
      </w:pPr>
      <w:r w:rsidRPr="00950AF7">
        <w:rPr>
          <w:noProof/>
        </w:rPr>
        <w:drawing>
          <wp:inline distT="0" distB="0" distL="0" distR="0" wp14:anchorId="319C43A0" wp14:editId="52DB263E">
            <wp:extent cx="4381500" cy="2857500"/>
            <wp:effectExtent l="0" t="0" r="0" b="0"/>
            <wp:docPr id="1259089484" name="fig5_complexity_effect.png" descr="SEVM advantage by project complexity" title="Complexity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857500"/>
                    </a:xfrm>
                    <a:prstGeom prst="rect">
                      <a:avLst/>
                    </a:prstGeom>
                  </pic:spPr>
                </pic:pic>
              </a:graphicData>
            </a:graphic>
          </wp:inline>
        </w:drawing>
      </w:r>
    </w:p>
    <w:p w14:paraId="35C36C0F" w14:textId="77777777" w:rsidR="00EF2EB6" w:rsidRPr="00950AF7" w:rsidRDefault="00000000" w:rsidP="00950AF7">
      <w:pPr>
        <w:spacing w:after="200" w:line="360" w:lineRule="auto"/>
        <w:jc w:val="both"/>
      </w:pPr>
      <w:r w:rsidRPr="00950AF7">
        <w:rPr>
          <w:i/>
          <w:iCs/>
        </w:rPr>
        <w:t>Figure 5: SEVM Accuracy Advantage by Project Complexity</w:t>
      </w:r>
    </w:p>
    <w:p w14:paraId="251544CE" w14:textId="77777777" w:rsidR="00EF2EB6" w:rsidRPr="00950AF7" w:rsidRDefault="00000000" w:rsidP="00950AF7">
      <w:pPr>
        <w:spacing w:after="120" w:line="360" w:lineRule="auto"/>
        <w:jc w:val="both"/>
      </w:pPr>
      <w:r w:rsidRPr="00950AF7">
        <w:t>The results provide support for Hypothesis 3 in terms of the convergence between SEVM and deterministic methods. For high-complexity projects, the accuracy gap between SEVM and deterministic EVM narrows to just -0.09 percentage points, compared to -1.89 pp for low-complexity projects. More importantly, the calibration of SEVM confidence intervals is dramatically superior for high-complexity projects (96%) compared to low-complexity projects (31%). This finding indicates that SEVM provides its greatest value precisely where it is most needed: in complex, high-uncertainty project environments where the deterministic assumptions of traditional EVM are most likely to be violated.</w:t>
      </w:r>
    </w:p>
    <w:p w14:paraId="3BFD6602" w14:textId="77777777" w:rsidR="00EF2EB6" w:rsidRPr="00950AF7" w:rsidRDefault="00EF2EB6" w:rsidP="00950AF7">
      <w:pPr>
        <w:spacing w:after="120" w:line="360" w:lineRule="auto"/>
        <w:jc w:val="both"/>
      </w:pPr>
    </w:p>
    <w:p w14:paraId="033F2609" w14:textId="77777777" w:rsidR="00EF2EB6" w:rsidRPr="00950AF7" w:rsidRDefault="00000000" w:rsidP="00950AF7">
      <w:pPr>
        <w:spacing w:after="120" w:line="360" w:lineRule="auto"/>
        <w:jc w:val="both"/>
      </w:pPr>
      <w:r w:rsidRPr="00950AF7">
        <w:rPr>
          <w:b/>
          <w:bCs/>
        </w:rPr>
        <w:lastRenderedPageBreak/>
        <w:t xml:space="preserve">Hypothesis 4: Project Phase. </w:t>
      </w:r>
      <w:r w:rsidRPr="00950AF7">
        <w:t>Figure 8 illustrates the SEVM accuracy advantage across project completion stages.</w:t>
      </w:r>
    </w:p>
    <w:p w14:paraId="28A2C970" w14:textId="77777777" w:rsidR="00EF2EB6" w:rsidRPr="00950AF7" w:rsidRDefault="00EF2EB6" w:rsidP="00950AF7">
      <w:pPr>
        <w:spacing w:after="120" w:line="360" w:lineRule="auto"/>
        <w:jc w:val="both"/>
      </w:pPr>
    </w:p>
    <w:p w14:paraId="0816A0F0" w14:textId="77777777" w:rsidR="00EF2EB6" w:rsidRPr="00950AF7" w:rsidRDefault="00000000" w:rsidP="00950AF7">
      <w:pPr>
        <w:spacing w:before="200" w:after="100" w:line="360" w:lineRule="auto"/>
        <w:jc w:val="both"/>
      </w:pPr>
      <w:r w:rsidRPr="00950AF7">
        <w:rPr>
          <w:noProof/>
        </w:rPr>
        <w:drawing>
          <wp:inline distT="0" distB="0" distL="0" distR="0" wp14:anchorId="3C56FF8D" wp14:editId="709694B1">
            <wp:extent cx="4762500" cy="2857500"/>
            <wp:effectExtent l="0" t="0" r="0" b="0"/>
            <wp:docPr id="1136192385" name="fig8_phase_effect.png" descr="SEVM accuracy advantage by project phase" title="Phase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857500"/>
                    </a:xfrm>
                    <a:prstGeom prst="rect">
                      <a:avLst/>
                    </a:prstGeom>
                  </pic:spPr>
                </pic:pic>
              </a:graphicData>
            </a:graphic>
          </wp:inline>
        </w:drawing>
      </w:r>
    </w:p>
    <w:p w14:paraId="6728DA19" w14:textId="77777777" w:rsidR="00EF2EB6" w:rsidRPr="00950AF7" w:rsidRDefault="00000000" w:rsidP="00950AF7">
      <w:pPr>
        <w:spacing w:after="200" w:line="360" w:lineRule="auto"/>
        <w:jc w:val="both"/>
      </w:pPr>
      <w:r w:rsidRPr="00950AF7">
        <w:rPr>
          <w:i/>
          <w:iCs/>
        </w:rPr>
        <w:t>Figure 8: SEVM Accuracy Advantage by Project Phase</w:t>
      </w:r>
    </w:p>
    <w:p w14:paraId="2543D2CA" w14:textId="77777777" w:rsidR="00EF2EB6" w:rsidRPr="00950AF7" w:rsidRDefault="00000000" w:rsidP="00950AF7">
      <w:pPr>
        <w:spacing w:after="120" w:line="360" w:lineRule="auto"/>
        <w:jc w:val="both"/>
      </w:pPr>
      <w:r w:rsidRPr="00950AF7">
        <w:t>Hypothesis 4 predicted that SEVM would demonstrate the greatest advantage in early project phases. Our results show that the SEVM advantage over the composite formula is indeed present in early phases (average +0.37 pp at 20-40% completion), peaks at mid-project (+1.05 pp at 50% completion), and gradually diminishes in later phases (+0.12 pp at 90% completion). The peak at 50% rather than in the earliest phases can be explained by the fact that very early forecasts (20%) have limited historical data for distribution fitting, while the mid-project phase combines sufficient data for reliable distribution estimation with sufficient remaining uncertainty for stochastic methods to add value. We therefore find partial support for Hypothesis 4, with the modification that SEVM advantage peaks at mid-project rather than at the earliest stages.</w:t>
      </w:r>
    </w:p>
    <w:p w14:paraId="35FA63D4" w14:textId="77777777" w:rsidR="00EF2EB6" w:rsidRPr="00950AF7" w:rsidRDefault="00EF2EB6" w:rsidP="00950AF7">
      <w:pPr>
        <w:spacing w:after="120" w:line="360" w:lineRule="auto"/>
        <w:jc w:val="both"/>
      </w:pPr>
    </w:p>
    <w:p w14:paraId="61D48AB0" w14:textId="77777777" w:rsidR="00EF2EB6" w:rsidRPr="00950AF7" w:rsidRDefault="00000000" w:rsidP="00950AF7">
      <w:pPr>
        <w:spacing w:after="120" w:line="360" w:lineRule="auto"/>
        <w:jc w:val="both"/>
      </w:pPr>
      <w:r w:rsidRPr="00950AF7">
        <w:rPr>
          <w:b/>
          <w:bCs/>
        </w:rPr>
        <w:t xml:space="preserve">Hypothesis 5: Data Quality. </w:t>
      </w:r>
      <w:r w:rsidRPr="00950AF7">
        <w:t xml:space="preserve">Our sensitivity analysis confirms that SEVM forecast reliability improves with the number of historical data points available for distribution fitting. With fewer than five data points, the SEVM confidence intervals are poorly calibrated (below 50% for the 80% CI). With ten or more data points, calibration improves to above 70%. This finding supports Hypothesis 5 and provides practical guidance: organizations should accumulate at </w:t>
      </w:r>
      <w:r w:rsidRPr="00950AF7">
        <w:lastRenderedPageBreak/>
        <w:t>least ten periods of EVM data before relying on SEVM probabilistic forecasts for decision-making.</w:t>
      </w:r>
    </w:p>
    <w:p w14:paraId="31D97780" w14:textId="77777777" w:rsidR="00EF2EB6" w:rsidRPr="00950AF7" w:rsidRDefault="00EF2EB6" w:rsidP="00950AF7">
      <w:pPr>
        <w:spacing w:after="120" w:line="360" w:lineRule="auto"/>
        <w:jc w:val="both"/>
      </w:pPr>
    </w:p>
    <w:p w14:paraId="7ECA431C" w14:textId="77777777" w:rsidR="00EF2EB6" w:rsidRPr="00950AF7" w:rsidRDefault="00000000" w:rsidP="00950AF7">
      <w:pPr>
        <w:spacing w:after="120" w:line="360" w:lineRule="auto"/>
        <w:jc w:val="both"/>
      </w:pPr>
      <w:r w:rsidRPr="00950AF7">
        <w:t>The cumulative distribution function (CDF) in Figure 6 provides a visual summary of the SEVM probabilistic output, illustrating how the CDF enables decision-makers to read off the probability of achieving any specific cost target.</w:t>
      </w:r>
    </w:p>
    <w:p w14:paraId="307D92AB" w14:textId="77777777" w:rsidR="00EF2EB6" w:rsidRPr="00950AF7" w:rsidRDefault="00EF2EB6" w:rsidP="00950AF7">
      <w:pPr>
        <w:spacing w:after="120" w:line="360" w:lineRule="auto"/>
        <w:jc w:val="both"/>
      </w:pPr>
    </w:p>
    <w:p w14:paraId="5C706995" w14:textId="77777777" w:rsidR="00EF2EB6" w:rsidRPr="00950AF7" w:rsidRDefault="00000000" w:rsidP="00950AF7">
      <w:pPr>
        <w:spacing w:before="200" w:after="100" w:line="360" w:lineRule="auto"/>
        <w:jc w:val="both"/>
      </w:pPr>
      <w:r w:rsidRPr="00950AF7">
        <w:rPr>
          <w:noProof/>
        </w:rPr>
        <w:drawing>
          <wp:inline distT="0" distB="0" distL="0" distR="0" wp14:anchorId="5BD34DA6" wp14:editId="5456C32D">
            <wp:extent cx="4762500" cy="2857500"/>
            <wp:effectExtent l="0" t="0" r="0" b="0"/>
            <wp:docPr id="1509352606" name="fig6_cdf.png" descr="Cumulative distribution function of SEVM EAC forecast" title="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5F8F738F" w14:textId="77777777" w:rsidR="00EF2EB6" w:rsidRPr="00950AF7" w:rsidRDefault="00000000" w:rsidP="00950AF7">
      <w:pPr>
        <w:spacing w:after="200" w:line="360" w:lineRule="auto"/>
        <w:jc w:val="both"/>
      </w:pPr>
      <w:r w:rsidRPr="00950AF7">
        <w:rPr>
          <w:i/>
          <w:iCs/>
        </w:rPr>
        <w:t>Figure 6: Cumulative Distribution Function of SEVM EAC Forecast</w:t>
      </w:r>
    </w:p>
    <w:p w14:paraId="1D512D83" w14:textId="77777777" w:rsidR="00EF2EB6" w:rsidRPr="00950AF7" w:rsidRDefault="00EF2EB6" w:rsidP="00950AF7">
      <w:pPr>
        <w:spacing w:after="120" w:line="360" w:lineRule="auto"/>
        <w:jc w:val="both"/>
      </w:pPr>
    </w:p>
    <w:p w14:paraId="4E4BB808" w14:textId="77777777" w:rsidR="00EF2EB6" w:rsidRPr="00950AF7" w:rsidRDefault="00000000" w:rsidP="00950AF7">
      <w:pPr>
        <w:pStyle w:val="Heading3"/>
        <w:jc w:val="both"/>
        <w:rPr>
          <w:color w:val="auto"/>
          <w:sz w:val="24"/>
          <w:szCs w:val="24"/>
        </w:rPr>
      </w:pPr>
      <w:bookmarkStart w:id="69" w:name="_Toc222201113"/>
      <w:r w:rsidRPr="00950AF7">
        <w:rPr>
          <w:color w:val="auto"/>
          <w:sz w:val="24"/>
          <w:szCs w:val="24"/>
        </w:rPr>
        <w:t>4.1.6 Results for RQ5: Implementation Considerations</w:t>
      </w:r>
      <w:bookmarkEnd w:id="69"/>
    </w:p>
    <w:p w14:paraId="49DFE2A6" w14:textId="77777777" w:rsidR="00EF2EB6" w:rsidRPr="00950AF7" w:rsidRDefault="00000000" w:rsidP="00950AF7">
      <w:pPr>
        <w:spacing w:after="120" w:line="360" w:lineRule="auto"/>
        <w:jc w:val="both"/>
      </w:pPr>
      <w:r w:rsidRPr="00950AF7">
        <w:t>Research Question 5 asked: What practical recommendations can be formulated for SEVM implementation?</w:t>
      </w:r>
    </w:p>
    <w:p w14:paraId="2D06C8AE" w14:textId="77777777" w:rsidR="00EF2EB6" w:rsidRPr="00950AF7" w:rsidRDefault="00000000" w:rsidP="00950AF7">
      <w:pPr>
        <w:spacing w:after="120" w:line="360" w:lineRule="auto"/>
        <w:jc w:val="both"/>
      </w:pPr>
      <w:r w:rsidRPr="00950AF7">
        <w:t>Our analysis identifies several practical considerations for SEVM implementation in EPC organizations. The computational requirements are modest: each 10,000-iteration simulation completes in under one second on standard hardware, making real-time SEVM forecasting entirely feasible within existing project control workflows. The primary implementation challenge is not computational but organizational: ensuring consistent, high-quality EVM data collection at regular intervals to support reliable distribution fitting.</w:t>
      </w:r>
    </w:p>
    <w:p w14:paraId="784D94E6" w14:textId="77777777" w:rsidR="00EF2EB6" w:rsidRPr="00950AF7" w:rsidRDefault="00000000" w:rsidP="00950AF7">
      <w:pPr>
        <w:spacing w:after="120" w:line="360" w:lineRule="auto"/>
        <w:jc w:val="both"/>
      </w:pPr>
      <w:r w:rsidRPr="00950AF7">
        <w:lastRenderedPageBreak/>
        <w:t>The sensitivity analysis reveals that the choice of probability distribution (lognormal vs. normal vs. beta) for CPI has a measurable but secondary effect on forecast accuracy compared to the accuracy of the distribution parameters themselves. This finding simplifies implementation by suggesting that the lognormal distribution can serve as a default for CPI modeling in most EPC contexts, reducing the need for complex distribution selection procedures.</w:t>
      </w:r>
    </w:p>
    <w:p w14:paraId="535625A7" w14:textId="77777777" w:rsidR="00EF2EB6" w:rsidRPr="00950AF7" w:rsidRDefault="00EF2EB6" w:rsidP="00950AF7">
      <w:pPr>
        <w:spacing w:after="120" w:line="360" w:lineRule="auto"/>
        <w:jc w:val="both"/>
      </w:pPr>
    </w:p>
    <w:p w14:paraId="2AEF594D" w14:textId="77777777" w:rsidR="00EF2EB6" w:rsidRPr="00950AF7" w:rsidRDefault="00000000" w:rsidP="00950AF7">
      <w:pPr>
        <w:pStyle w:val="Heading2"/>
        <w:spacing w:after="120"/>
        <w:jc w:val="both"/>
        <w:rPr>
          <w:color w:val="auto"/>
          <w:sz w:val="24"/>
          <w:szCs w:val="24"/>
        </w:rPr>
      </w:pPr>
      <w:bookmarkStart w:id="70" w:name="_Toc222201114"/>
      <w:r w:rsidRPr="00950AF7">
        <w:rPr>
          <w:color w:val="auto"/>
          <w:sz w:val="24"/>
          <w:szCs w:val="24"/>
        </w:rPr>
        <w:t>4.2 Discussion</w:t>
      </w:r>
      <w:bookmarkEnd w:id="70"/>
    </w:p>
    <w:p w14:paraId="3B41AC73" w14:textId="77777777" w:rsidR="00EF2EB6" w:rsidRPr="00950AF7" w:rsidRDefault="00EF2EB6" w:rsidP="00950AF7">
      <w:pPr>
        <w:spacing w:after="120" w:line="360" w:lineRule="auto"/>
        <w:jc w:val="both"/>
      </w:pPr>
    </w:p>
    <w:p w14:paraId="61818A92" w14:textId="77777777" w:rsidR="00EF2EB6" w:rsidRPr="00950AF7" w:rsidRDefault="00000000" w:rsidP="00950AF7">
      <w:pPr>
        <w:pStyle w:val="Heading3"/>
        <w:jc w:val="both"/>
        <w:rPr>
          <w:color w:val="auto"/>
          <w:sz w:val="24"/>
          <w:szCs w:val="24"/>
        </w:rPr>
      </w:pPr>
      <w:bookmarkStart w:id="71" w:name="_Toc222201115"/>
      <w:r w:rsidRPr="00950AF7">
        <w:rPr>
          <w:color w:val="auto"/>
          <w:sz w:val="24"/>
          <w:szCs w:val="24"/>
        </w:rPr>
        <w:t>4.2.1 Interpretation of Results in Light of Existing Literature</w:t>
      </w:r>
      <w:bookmarkEnd w:id="71"/>
    </w:p>
    <w:p w14:paraId="41ADF83A" w14:textId="77777777" w:rsidR="00EF2EB6" w:rsidRPr="00950AF7" w:rsidRDefault="00000000" w:rsidP="00950AF7">
      <w:pPr>
        <w:spacing w:after="120" w:line="360" w:lineRule="auto"/>
        <w:jc w:val="both"/>
      </w:pPr>
      <w:r w:rsidRPr="00950AF7">
        <w:t>The findings of this study both confirm and extend the existing body of SEVM research. Our confirmation that period-level CPI values follow lognormal distributions is consistent with the theoretical predictions of Pajares and López-Paredes (2011), who argued that project performance indices are stochastic variables rather than fixed constants. The right-skewed nature of the CPI distributions we observe aligns with the practical reality of EPC projects, where cost overruns (negative CPI surprises) tend to be larger and more frequent than cost savings (positive CPI surprises).</w:t>
      </w:r>
    </w:p>
    <w:p w14:paraId="4A18A635" w14:textId="77777777" w:rsidR="00EF2EB6" w:rsidRPr="00950AF7" w:rsidRDefault="00000000" w:rsidP="00950AF7">
      <w:pPr>
        <w:spacing w:after="120" w:line="360" w:lineRule="auto"/>
        <w:jc w:val="both"/>
      </w:pPr>
      <w:r w:rsidRPr="00950AF7">
        <w:t>Our finding that the SEVM P50 estimate does not consistently outperform the simplest deterministic EAC formula (BAC/CPI) in point-estimate accuracy appears to contradict the results of Batselier and Vanhoucke (2017), who reported superior stochastic forecast accuracy across their 51-project dataset. However, this apparent contradiction is resolved by two important methodological differences. First, Batselier and Vanhoucke used the mean of the simulated EAC distribution rather than the median (P50) as their point estimate; the mean of a right-skewed distribution will typically be higher than the median, which in the presence of systematic cost overruns tends to be closer to the actual outcome. Second, their dataset included a higher proportion of IT projects, which exhibit different performance variability characteristics than EPC projects.</w:t>
      </w:r>
    </w:p>
    <w:p w14:paraId="2EAD10A1" w14:textId="77777777" w:rsidR="00EF2EB6" w:rsidRPr="00950AF7" w:rsidRDefault="00000000" w:rsidP="00950AF7">
      <w:pPr>
        <w:spacing w:after="120" w:line="360" w:lineRule="auto"/>
        <w:jc w:val="both"/>
      </w:pPr>
      <w:r w:rsidRPr="00950AF7">
        <w:t xml:space="preserve">Our results are more closely aligned with the findings of Acebes et al. (2014, 2015), who emphasized that the primary value of SEVM lies not in point-estimate superiority but in the production of calibrated probabilistic forecasts. The 77.1% calibration we observe for the 80% confidence interval is comparable to the calibration levels reported by Acebes et al. in their </w:t>
      </w:r>
      <w:r w:rsidRPr="00950AF7">
        <w:lastRenderedPageBreak/>
        <w:t>simulation studies, and substantially better than what any deterministic method can achieve (since deterministic methods produce no confidence intervals at all).</w:t>
      </w:r>
    </w:p>
    <w:p w14:paraId="4063AE01" w14:textId="77777777" w:rsidR="00EF2EB6" w:rsidRPr="00950AF7" w:rsidRDefault="00000000" w:rsidP="00950AF7">
      <w:pPr>
        <w:spacing w:after="120" w:line="360" w:lineRule="auto"/>
        <w:jc w:val="both"/>
      </w:pPr>
      <w:r w:rsidRPr="00950AF7">
        <w:t>The moderating effect of project complexity we observe is consistent with the theoretical framework proposed in Chapter 2. The finding that SEVM confidence intervals achieve 96% calibration for high-complexity projects while only 31% for low-complexity projects can be explained by the fact that high-complexity projects exhibit greater CPI variability, providing richer data for distribution fitting and making the stochastic modeling more accurate. This finding aligns with Vose (2008), who argued that simulation-based methods provide the greatest incremental value over deterministic methods when the underlying system is characterized by high uncertainty.</w:t>
      </w:r>
    </w:p>
    <w:p w14:paraId="4B173B13" w14:textId="77777777" w:rsidR="00EF2EB6" w:rsidRPr="00950AF7" w:rsidRDefault="00000000" w:rsidP="00950AF7">
      <w:pPr>
        <w:spacing w:after="120" w:line="360" w:lineRule="auto"/>
        <w:jc w:val="both"/>
      </w:pPr>
      <w:r w:rsidRPr="00950AF7">
        <w:t>The peak of SEVM advantage at 50% completion rather than in the earliest project phases represents a nuanced contribution to the literature. While Christensen (1998) documented that CPI stabilizes after approximately 20% completion (favoring deterministic methods in later phases), our results suggest that the transition zone around 40-60% completion is where SEVM adds the most value, as sufficient data exists for reliable distribution estimation while enough uncertainty remains for probabilistic methods to outperform deterministic approaches.</w:t>
      </w:r>
    </w:p>
    <w:p w14:paraId="55421228" w14:textId="77777777" w:rsidR="00EF2EB6" w:rsidRPr="00950AF7" w:rsidRDefault="00EF2EB6" w:rsidP="00950AF7">
      <w:pPr>
        <w:spacing w:after="120" w:line="360" w:lineRule="auto"/>
        <w:jc w:val="both"/>
      </w:pPr>
    </w:p>
    <w:p w14:paraId="62BF6298" w14:textId="77777777" w:rsidR="00EF2EB6" w:rsidRPr="00950AF7" w:rsidRDefault="00000000" w:rsidP="00950AF7">
      <w:pPr>
        <w:pStyle w:val="Heading3"/>
        <w:jc w:val="both"/>
        <w:rPr>
          <w:color w:val="auto"/>
          <w:sz w:val="24"/>
          <w:szCs w:val="24"/>
        </w:rPr>
      </w:pPr>
      <w:bookmarkStart w:id="72" w:name="_Toc222201116"/>
      <w:r w:rsidRPr="00950AF7">
        <w:rPr>
          <w:color w:val="auto"/>
          <w:sz w:val="24"/>
          <w:szCs w:val="24"/>
        </w:rPr>
        <w:t>4.2.2 Summary of Hypothesis Testing</w:t>
      </w:r>
      <w:bookmarkEnd w:id="72"/>
    </w:p>
    <w:p w14:paraId="633647CB" w14:textId="77777777" w:rsidR="00EF2EB6" w:rsidRPr="00950AF7" w:rsidRDefault="00000000" w:rsidP="00950AF7">
      <w:pPr>
        <w:spacing w:after="120" w:line="360" w:lineRule="auto"/>
        <w:jc w:val="both"/>
      </w:pPr>
      <w:r w:rsidRPr="00950AF7">
        <w:t>Table 4 summarizes the results of hypothesis testing:</w:t>
      </w:r>
    </w:p>
    <w:p w14:paraId="346D2A23" w14:textId="77777777" w:rsidR="00EF2EB6" w:rsidRPr="00950AF7" w:rsidRDefault="00EF2EB6" w:rsidP="00950AF7">
      <w:pPr>
        <w:spacing w:after="120" w:line="360" w:lineRule="auto"/>
        <w:jc w:val="both"/>
      </w:pPr>
    </w:p>
    <w:p w14:paraId="5AF65010" w14:textId="77777777" w:rsidR="00EF2EB6" w:rsidRPr="00950AF7" w:rsidRDefault="00000000" w:rsidP="00950AF7">
      <w:pPr>
        <w:spacing w:after="100" w:line="360" w:lineRule="auto"/>
        <w:jc w:val="both"/>
      </w:pPr>
      <w:r w:rsidRPr="00950AF7">
        <w:rPr>
          <w:b/>
          <w:bCs/>
        </w:rPr>
        <w:t>Table 4: Summary of Hypothesis Testing Results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1800"/>
        <w:gridCol w:w="2270"/>
      </w:tblGrid>
      <w:tr w:rsidR="00950AF7" w:rsidRPr="00950AF7" w14:paraId="00857B91"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66A5D5D" w14:textId="77777777" w:rsidR="00EF2EB6" w:rsidRPr="00950AF7" w:rsidRDefault="00000000" w:rsidP="00950AF7">
            <w:pPr>
              <w:spacing w:line="360" w:lineRule="auto"/>
              <w:jc w:val="both"/>
            </w:pPr>
            <w:r w:rsidRPr="00950AF7">
              <w:rPr>
                <w:b/>
                <w:bCs/>
              </w:rPr>
              <w:t>H#</w:t>
            </w:r>
          </w:p>
        </w:tc>
        <w:tc>
          <w:tcPr>
            <w:tcW w:w="4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298C93AD" w14:textId="77777777" w:rsidR="00EF2EB6" w:rsidRPr="00950AF7" w:rsidRDefault="00000000" w:rsidP="00950AF7">
            <w:pPr>
              <w:spacing w:line="360" w:lineRule="auto"/>
              <w:jc w:val="both"/>
            </w:pPr>
            <w:r w:rsidRPr="00950AF7">
              <w:rPr>
                <w:b/>
                <w:bCs/>
              </w:rPr>
              <w:t>Hypothesis</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110A13FD" w14:textId="77777777" w:rsidR="00EF2EB6" w:rsidRPr="00950AF7" w:rsidRDefault="00000000" w:rsidP="00950AF7">
            <w:pPr>
              <w:spacing w:line="360" w:lineRule="auto"/>
              <w:jc w:val="both"/>
            </w:pPr>
            <w:r w:rsidRPr="00950AF7">
              <w:rPr>
                <w:b/>
                <w:bCs/>
              </w:rPr>
              <w:t>Result</w:t>
            </w:r>
          </w:p>
        </w:tc>
        <w:tc>
          <w:tcPr>
            <w:tcW w:w="227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4AAD96F8" w14:textId="77777777" w:rsidR="00EF2EB6" w:rsidRPr="00950AF7" w:rsidRDefault="00000000" w:rsidP="00950AF7">
            <w:pPr>
              <w:spacing w:line="360" w:lineRule="auto"/>
              <w:jc w:val="both"/>
            </w:pPr>
            <w:r w:rsidRPr="00950AF7">
              <w:rPr>
                <w:b/>
                <w:bCs/>
              </w:rPr>
              <w:t>Key Evidence</w:t>
            </w:r>
          </w:p>
        </w:tc>
      </w:tr>
      <w:tr w:rsidR="00950AF7" w:rsidRPr="00950AF7" w14:paraId="79187A5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E22A7E" w14:textId="77777777" w:rsidR="00EF2EB6" w:rsidRPr="00950AF7" w:rsidRDefault="00000000" w:rsidP="00950AF7">
            <w:pPr>
              <w:spacing w:line="360" w:lineRule="auto"/>
              <w:jc w:val="both"/>
            </w:pPr>
            <w:r w:rsidRPr="00950AF7">
              <w:t>H1</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84DBD2" w14:textId="77777777" w:rsidR="00EF2EB6" w:rsidRPr="00950AF7" w:rsidRDefault="00000000" w:rsidP="00950AF7">
            <w:pPr>
              <w:spacing w:line="360" w:lineRule="auto"/>
              <w:jc w:val="both"/>
            </w:pPr>
            <w:r w:rsidRPr="00950AF7">
              <w:t>SEVM produces more accurate EAC estimates than deterministic EVM</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F1E788" w14:textId="77777777" w:rsidR="00EF2EB6" w:rsidRPr="00950AF7" w:rsidRDefault="00000000" w:rsidP="00950AF7">
            <w:pPr>
              <w:spacing w:line="360" w:lineRule="auto"/>
              <w:jc w:val="both"/>
            </w:pPr>
            <w:r w:rsidRPr="00950AF7">
              <w:rPr>
                <w:b/>
                <w:bCs/>
              </w:rPr>
              <w:t>Partially Supported</w:t>
            </w:r>
          </w:p>
        </w:tc>
        <w:tc>
          <w:tcPr>
            <w:tcW w:w="22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4C45A4" w14:textId="77777777" w:rsidR="00EF2EB6" w:rsidRPr="00950AF7" w:rsidRDefault="00000000" w:rsidP="00950AF7">
            <w:pPr>
              <w:spacing w:line="360" w:lineRule="auto"/>
              <w:jc w:val="both"/>
            </w:pPr>
            <w:r w:rsidRPr="00950AF7">
              <w:t>SEVM outperforms composite formula (+0.55pp) but not BAC/CPI formula</w:t>
            </w:r>
          </w:p>
        </w:tc>
      </w:tr>
      <w:tr w:rsidR="00950AF7" w:rsidRPr="00950AF7" w14:paraId="4807751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1B6787" w14:textId="77777777" w:rsidR="00EF2EB6" w:rsidRPr="00950AF7" w:rsidRDefault="00000000" w:rsidP="00950AF7">
            <w:pPr>
              <w:spacing w:line="360" w:lineRule="auto"/>
              <w:jc w:val="both"/>
            </w:pPr>
            <w:r w:rsidRPr="00950AF7">
              <w:t>H2</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5F77CB" w14:textId="77777777" w:rsidR="00EF2EB6" w:rsidRPr="00950AF7" w:rsidRDefault="00000000" w:rsidP="00950AF7">
            <w:pPr>
              <w:spacing w:line="360" w:lineRule="auto"/>
              <w:jc w:val="both"/>
            </w:pPr>
            <w:r w:rsidRPr="00950AF7">
              <w:t>SEVM produces more accurate schedule-integrated forecasts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8360BD" w14:textId="77777777" w:rsidR="00EF2EB6" w:rsidRPr="00950AF7" w:rsidRDefault="00000000" w:rsidP="00950AF7">
            <w:pPr>
              <w:spacing w:line="360" w:lineRule="auto"/>
              <w:jc w:val="both"/>
            </w:pPr>
            <w:r w:rsidRPr="00950AF7">
              <w:rPr>
                <w:b/>
                <w:bCs/>
              </w:rPr>
              <w:t>Supported</w:t>
            </w:r>
          </w:p>
        </w:tc>
        <w:tc>
          <w:tcPr>
            <w:tcW w:w="22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D232320" w14:textId="77777777" w:rsidR="00EF2EB6" w:rsidRPr="00950AF7" w:rsidRDefault="00000000" w:rsidP="00950AF7">
            <w:pPr>
              <w:spacing w:line="360" w:lineRule="auto"/>
              <w:jc w:val="both"/>
            </w:pPr>
            <w:r w:rsidRPr="00950AF7">
              <w:t>SEVM composite outperforms det. composite at most stages</w:t>
            </w:r>
          </w:p>
        </w:tc>
      </w:tr>
      <w:tr w:rsidR="00950AF7" w:rsidRPr="00950AF7" w14:paraId="0F61EF65"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24C85A" w14:textId="77777777" w:rsidR="00EF2EB6" w:rsidRPr="00950AF7" w:rsidRDefault="00000000" w:rsidP="00950AF7">
            <w:pPr>
              <w:spacing w:line="360" w:lineRule="auto"/>
              <w:jc w:val="both"/>
            </w:pPr>
            <w:r w:rsidRPr="00950AF7">
              <w:lastRenderedPageBreak/>
              <w:t>H3</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271756" w14:textId="77777777" w:rsidR="00EF2EB6" w:rsidRPr="00950AF7" w:rsidRDefault="00000000" w:rsidP="00950AF7">
            <w:pPr>
              <w:spacing w:line="360" w:lineRule="auto"/>
              <w:jc w:val="both"/>
            </w:pPr>
            <w:r w:rsidRPr="00950AF7">
              <w:t>SEVM advantage increases with project complexity</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B714A3" w14:textId="77777777" w:rsidR="00EF2EB6" w:rsidRPr="00950AF7" w:rsidRDefault="00000000" w:rsidP="00950AF7">
            <w:pPr>
              <w:spacing w:line="360" w:lineRule="auto"/>
              <w:jc w:val="both"/>
            </w:pPr>
            <w:r w:rsidRPr="00950AF7">
              <w:rPr>
                <w:b/>
                <w:bCs/>
              </w:rPr>
              <w:t>Supported</w:t>
            </w:r>
          </w:p>
        </w:tc>
        <w:tc>
          <w:tcPr>
            <w:tcW w:w="22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9F7540" w14:textId="77777777" w:rsidR="00EF2EB6" w:rsidRPr="00950AF7" w:rsidRDefault="00000000" w:rsidP="00950AF7">
            <w:pPr>
              <w:spacing w:line="360" w:lineRule="auto"/>
              <w:jc w:val="both"/>
            </w:pPr>
            <w:r w:rsidRPr="00950AF7">
              <w:t>High complexity: -0.09pp gap; Low: -1.89pp gap. Calibration: 96% vs 31%</w:t>
            </w:r>
          </w:p>
        </w:tc>
      </w:tr>
      <w:tr w:rsidR="00950AF7" w:rsidRPr="00950AF7" w14:paraId="3D128FA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29B2AF" w14:textId="77777777" w:rsidR="00EF2EB6" w:rsidRPr="00950AF7" w:rsidRDefault="00000000" w:rsidP="00950AF7">
            <w:pPr>
              <w:spacing w:line="360" w:lineRule="auto"/>
              <w:jc w:val="both"/>
            </w:pPr>
            <w:r w:rsidRPr="00950AF7">
              <w:t>H4</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B8B7DE" w14:textId="77777777" w:rsidR="00EF2EB6" w:rsidRPr="00950AF7" w:rsidRDefault="00000000" w:rsidP="00950AF7">
            <w:pPr>
              <w:spacing w:line="360" w:lineRule="auto"/>
              <w:jc w:val="both"/>
            </w:pPr>
            <w:r w:rsidRPr="00950AF7">
              <w:t>SEVM advantage is greatest in early project phases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72A6C0" w14:textId="77777777" w:rsidR="00EF2EB6" w:rsidRPr="00950AF7" w:rsidRDefault="00000000" w:rsidP="00950AF7">
            <w:pPr>
              <w:spacing w:line="360" w:lineRule="auto"/>
              <w:jc w:val="both"/>
            </w:pPr>
            <w:r w:rsidRPr="00950AF7">
              <w:rPr>
                <w:b/>
                <w:bCs/>
              </w:rPr>
              <w:t>Partially Supported</w:t>
            </w:r>
          </w:p>
        </w:tc>
        <w:tc>
          <w:tcPr>
            <w:tcW w:w="22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73EB32" w14:textId="77777777" w:rsidR="00EF2EB6" w:rsidRPr="00950AF7" w:rsidRDefault="00000000" w:rsidP="00950AF7">
            <w:pPr>
              <w:spacing w:line="360" w:lineRule="auto"/>
              <w:jc w:val="both"/>
            </w:pPr>
            <w:r w:rsidRPr="00950AF7">
              <w:t>Peak advantage at 50% completion (+1.05pp), not earliest phases</w:t>
            </w:r>
          </w:p>
        </w:tc>
      </w:tr>
      <w:tr w:rsidR="00950AF7" w:rsidRPr="00950AF7" w14:paraId="500AFE0D"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1E56EF" w14:textId="77777777" w:rsidR="00EF2EB6" w:rsidRPr="00950AF7" w:rsidRDefault="00000000" w:rsidP="00950AF7">
            <w:pPr>
              <w:spacing w:line="360" w:lineRule="auto"/>
              <w:jc w:val="both"/>
            </w:pPr>
            <w:r w:rsidRPr="00950AF7">
              <w:t>H5</w:t>
            </w:r>
          </w:p>
        </w:tc>
        <w:tc>
          <w:tcPr>
            <w:tcW w:w="4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F9D111" w14:textId="77777777" w:rsidR="00EF2EB6" w:rsidRPr="00950AF7" w:rsidRDefault="00000000" w:rsidP="00950AF7">
            <w:pPr>
              <w:spacing w:line="360" w:lineRule="auto"/>
              <w:jc w:val="both"/>
            </w:pPr>
            <w:r w:rsidRPr="00950AF7">
              <w:t>Data quality influences SEVM reliability</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D61C2B" w14:textId="77777777" w:rsidR="00EF2EB6" w:rsidRPr="00950AF7" w:rsidRDefault="00000000" w:rsidP="00950AF7">
            <w:pPr>
              <w:spacing w:line="360" w:lineRule="auto"/>
              <w:jc w:val="both"/>
            </w:pPr>
            <w:r w:rsidRPr="00950AF7">
              <w:rPr>
                <w:b/>
                <w:bCs/>
              </w:rPr>
              <w:t>Supported</w:t>
            </w:r>
          </w:p>
        </w:tc>
        <w:tc>
          <w:tcPr>
            <w:tcW w:w="22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0370CB" w14:textId="77777777" w:rsidR="00EF2EB6" w:rsidRPr="00950AF7" w:rsidRDefault="00000000" w:rsidP="00950AF7">
            <w:pPr>
              <w:spacing w:line="360" w:lineRule="auto"/>
              <w:jc w:val="both"/>
            </w:pPr>
            <w:r w:rsidRPr="00950AF7">
              <w:t>Calibration improves from &lt;50% to &gt;70% with 10+ data points</w:t>
            </w:r>
          </w:p>
        </w:tc>
      </w:tr>
    </w:tbl>
    <w:p w14:paraId="50C11E8D" w14:textId="77777777" w:rsidR="00EF2EB6" w:rsidRPr="00950AF7" w:rsidRDefault="00EF2EB6" w:rsidP="00950AF7">
      <w:pPr>
        <w:spacing w:after="120" w:line="360" w:lineRule="auto"/>
        <w:jc w:val="both"/>
      </w:pPr>
    </w:p>
    <w:p w14:paraId="1BBDDB4B" w14:textId="77777777" w:rsidR="00EF2EB6" w:rsidRPr="00950AF7" w:rsidRDefault="00000000" w:rsidP="00950AF7">
      <w:pPr>
        <w:pStyle w:val="Heading3"/>
        <w:jc w:val="both"/>
        <w:rPr>
          <w:color w:val="auto"/>
          <w:sz w:val="24"/>
          <w:szCs w:val="24"/>
        </w:rPr>
      </w:pPr>
      <w:bookmarkStart w:id="73" w:name="_Toc222201117"/>
      <w:r w:rsidRPr="00950AF7">
        <w:rPr>
          <w:color w:val="auto"/>
          <w:sz w:val="24"/>
          <w:szCs w:val="24"/>
        </w:rPr>
        <w:t>4.2.3 Contribution to Scientific Literature</w:t>
      </w:r>
      <w:bookmarkEnd w:id="73"/>
    </w:p>
    <w:p w14:paraId="5D929E71" w14:textId="77777777" w:rsidR="00EF2EB6" w:rsidRPr="00950AF7" w:rsidRDefault="00000000" w:rsidP="00950AF7">
      <w:pPr>
        <w:spacing w:after="120" w:line="360" w:lineRule="auto"/>
        <w:jc w:val="both"/>
      </w:pPr>
      <w:r w:rsidRPr="00950AF7">
        <w:t>The findings of this study contribute to the scientific literature in several important ways. First, we have demonstrated that the primary value proposition of SEVM in EPC contexts is not necessarily the improvement of point-estimate accuracy over the simplest deterministic formula, but rather the production of well-calibrated probabilistic forecasts that enable risk-informed decision-making. This nuanced finding challenges the prevailing narrative in the SEVM literature that stochastic methods universally outperform deterministic methods in point-estimate accuracy, while simultaneously reinforcing the practical value of SEVM through its probabilistic capabilities.</w:t>
      </w:r>
    </w:p>
    <w:p w14:paraId="5CD538DB" w14:textId="77777777" w:rsidR="00EF2EB6" w:rsidRPr="00950AF7" w:rsidRDefault="00000000" w:rsidP="00950AF7">
      <w:pPr>
        <w:spacing w:after="120" w:line="360" w:lineRule="auto"/>
        <w:jc w:val="both"/>
      </w:pPr>
      <w:r w:rsidRPr="00950AF7">
        <w:t>Second, our analysis of moderating effects reveals that project complexity is a critical determinant of SEVM value, with high-complexity projects benefiting disproportionately from stochastic forecasting. This finding provides the first empirically grounded guidance for organizations seeking to determine when the additional effort of SEVM implementation is justified.</w:t>
      </w:r>
    </w:p>
    <w:p w14:paraId="7AF3014C" w14:textId="77777777" w:rsidR="00EF2EB6" w:rsidRPr="00950AF7" w:rsidRDefault="00000000" w:rsidP="00950AF7">
      <w:pPr>
        <w:spacing w:after="120" w:line="360" w:lineRule="auto"/>
        <w:jc w:val="both"/>
      </w:pPr>
      <w:r w:rsidRPr="00950AF7">
        <w:t>Third, the identification of the mid-project phase (around 50% completion) as the peak zone of SEVM advantage adds temporal specificity to the understanding of when stochastic methods add the most value, complementing the existing literature that has focused primarily on early-phase forecasting.</w:t>
      </w:r>
    </w:p>
    <w:p w14:paraId="5785B559" w14:textId="77777777" w:rsidR="00EF2EB6" w:rsidRPr="00950AF7" w:rsidRDefault="00EF2EB6" w:rsidP="00950AF7">
      <w:pPr>
        <w:spacing w:after="120" w:line="360" w:lineRule="auto"/>
        <w:jc w:val="both"/>
      </w:pPr>
    </w:p>
    <w:p w14:paraId="3F8AF12C" w14:textId="77777777" w:rsidR="00EF2EB6" w:rsidRPr="00950AF7" w:rsidRDefault="00000000" w:rsidP="00950AF7">
      <w:pPr>
        <w:pStyle w:val="Heading2"/>
        <w:spacing w:after="120"/>
        <w:jc w:val="both"/>
        <w:rPr>
          <w:color w:val="auto"/>
          <w:sz w:val="24"/>
          <w:szCs w:val="24"/>
        </w:rPr>
      </w:pPr>
      <w:bookmarkStart w:id="74" w:name="_Toc222201118"/>
      <w:r w:rsidRPr="00950AF7">
        <w:rPr>
          <w:color w:val="auto"/>
          <w:sz w:val="24"/>
          <w:szCs w:val="24"/>
        </w:rPr>
        <w:t>4.3 Managerial Contributions and Recommendations</w:t>
      </w:r>
      <w:bookmarkEnd w:id="74"/>
    </w:p>
    <w:p w14:paraId="5052F6A8" w14:textId="77777777" w:rsidR="00EF2EB6" w:rsidRPr="00950AF7" w:rsidRDefault="00EF2EB6" w:rsidP="00950AF7">
      <w:pPr>
        <w:spacing w:after="120" w:line="360" w:lineRule="auto"/>
        <w:jc w:val="both"/>
      </w:pPr>
    </w:p>
    <w:p w14:paraId="19CD646C" w14:textId="77777777" w:rsidR="00EF2EB6" w:rsidRPr="00950AF7" w:rsidRDefault="00000000" w:rsidP="00950AF7">
      <w:pPr>
        <w:pStyle w:val="Heading3"/>
        <w:jc w:val="both"/>
        <w:rPr>
          <w:color w:val="auto"/>
          <w:sz w:val="24"/>
          <w:szCs w:val="24"/>
        </w:rPr>
      </w:pPr>
      <w:bookmarkStart w:id="75" w:name="_Toc222201119"/>
      <w:r w:rsidRPr="00950AF7">
        <w:rPr>
          <w:color w:val="auto"/>
          <w:sz w:val="24"/>
          <w:szCs w:val="24"/>
        </w:rPr>
        <w:t>4.3.1 Recommendation 1: Adopt SEVM as a Complement, Not a Replacement</w:t>
      </w:r>
      <w:bookmarkEnd w:id="75"/>
    </w:p>
    <w:p w14:paraId="77925175" w14:textId="77777777" w:rsidR="00EF2EB6" w:rsidRPr="00950AF7" w:rsidRDefault="00000000" w:rsidP="00950AF7">
      <w:pPr>
        <w:spacing w:after="120" w:line="360" w:lineRule="auto"/>
        <w:jc w:val="both"/>
      </w:pPr>
      <w:r w:rsidRPr="00950AF7">
        <w:t>Our findings demonstrate that the BAC/CPI deterministic formula remains a robust and accurate point estimator. We therefore recommend that EPC organizations adopt SEVM as a complementary layer to their existing EVM systems rather than a replacement. The deterministic EAC should continue to serve as the primary point estimate for routine reporting, while SEVM confidence intervals should be used for risk-adjusted decision-making, contingency management, and stakeholder communication.</w:t>
      </w:r>
    </w:p>
    <w:p w14:paraId="434BE79F" w14:textId="77777777" w:rsidR="00EF2EB6" w:rsidRPr="00950AF7" w:rsidRDefault="00EF2EB6" w:rsidP="00950AF7">
      <w:pPr>
        <w:spacing w:after="120" w:line="360" w:lineRule="auto"/>
        <w:jc w:val="both"/>
      </w:pPr>
    </w:p>
    <w:p w14:paraId="52018AD0" w14:textId="77777777" w:rsidR="00EF2EB6" w:rsidRPr="00950AF7" w:rsidRDefault="00000000" w:rsidP="00950AF7">
      <w:pPr>
        <w:pStyle w:val="Heading3"/>
        <w:jc w:val="both"/>
        <w:rPr>
          <w:color w:val="auto"/>
          <w:sz w:val="24"/>
          <w:szCs w:val="24"/>
        </w:rPr>
      </w:pPr>
      <w:bookmarkStart w:id="76" w:name="_Toc222201120"/>
      <w:r w:rsidRPr="00950AF7">
        <w:rPr>
          <w:color w:val="auto"/>
          <w:sz w:val="24"/>
          <w:szCs w:val="24"/>
        </w:rPr>
        <w:t>4.3.2 Recommendation 2: Target SEVM Deployment Strategically</w:t>
      </w:r>
      <w:bookmarkEnd w:id="76"/>
    </w:p>
    <w:p w14:paraId="2037356A" w14:textId="77777777" w:rsidR="00EF2EB6" w:rsidRPr="00950AF7" w:rsidRDefault="00000000" w:rsidP="00950AF7">
      <w:pPr>
        <w:spacing w:after="120" w:line="360" w:lineRule="auto"/>
        <w:jc w:val="both"/>
      </w:pPr>
      <w:r w:rsidRPr="00950AF7">
        <w:t>Given the strong relationship between project complexity and SEVM value, organizations should prioritize SEVM deployment for high-complexity, high-value projects where the calibration benefits are greatest. For simpler projects with low CPI variability, the additional effort of SEVM implementation may not be justified, as the deterministic forecasts already perform well and the SEVM confidence intervals may be poorly calibrated.</w:t>
      </w:r>
    </w:p>
    <w:p w14:paraId="0108F3E9" w14:textId="77777777" w:rsidR="00EF2EB6" w:rsidRPr="00950AF7" w:rsidRDefault="00EF2EB6" w:rsidP="00950AF7">
      <w:pPr>
        <w:spacing w:after="120" w:line="360" w:lineRule="auto"/>
        <w:jc w:val="both"/>
      </w:pPr>
    </w:p>
    <w:p w14:paraId="4F81E14C" w14:textId="77777777" w:rsidR="00EF2EB6" w:rsidRPr="00950AF7" w:rsidRDefault="00000000" w:rsidP="00950AF7">
      <w:pPr>
        <w:pStyle w:val="Heading3"/>
        <w:jc w:val="both"/>
        <w:rPr>
          <w:color w:val="auto"/>
          <w:sz w:val="24"/>
          <w:szCs w:val="24"/>
        </w:rPr>
      </w:pPr>
      <w:bookmarkStart w:id="77" w:name="_Toc222201121"/>
      <w:r w:rsidRPr="00950AF7">
        <w:rPr>
          <w:color w:val="auto"/>
          <w:sz w:val="24"/>
          <w:szCs w:val="24"/>
        </w:rPr>
        <w:t>4.3.3 Recommendation 3: Invest in Data Quality Infrastructure</w:t>
      </w:r>
      <w:bookmarkEnd w:id="77"/>
    </w:p>
    <w:p w14:paraId="44AD0E88" w14:textId="77777777" w:rsidR="00EF2EB6" w:rsidRPr="00950AF7" w:rsidRDefault="00000000" w:rsidP="00950AF7">
      <w:pPr>
        <w:spacing w:after="120" w:line="360" w:lineRule="auto"/>
        <w:jc w:val="both"/>
      </w:pPr>
      <w:r w:rsidRPr="00950AF7">
        <w:t>The sensitivity of SEVM to data quality underscores the importance of consistent, high-quality EVM data collection. Organizations should standardize monthly EVM reporting, implement automated data quality checks, and maintain cross-project performance databases to enable robust distribution fitting. A minimum of ten periods of EVM data should be accumulated before SEVM forecasts are used for decision-making.</w:t>
      </w:r>
    </w:p>
    <w:p w14:paraId="3E134841" w14:textId="77777777" w:rsidR="00EF2EB6" w:rsidRPr="00950AF7" w:rsidRDefault="00EF2EB6" w:rsidP="00950AF7">
      <w:pPr>
        <w:spacing w:after="120" w:line="360" w:lineRule="auto"/>
        <w:jc w:val="both"/>
      </w:pPr>
    </w:p>
    <w:p w14:paraId="04C7BF15" w14:textId="77777777" w:rsidR="00EF2EB6" w:rsidRPr="00950AF7" w:rsidRDefault="00000000" w:rsidP="00950AF7">
      <w:pPr>
        <w:pStyle w:val="Heading3"/>
        <w:jc w:val="both"/>
        <w:rPr>
          <w:color w:val="auto"/>
          <w:sz w:val="24"/>
          <w:szCs w:val="24"/>
        </w:rPr>
      </w:pPr>
      <w:bookmarkStart w:id="78" w:name="_Toc222201122"/>
      <w:r w:rsidRPr="00950AF7">
        <w:rPr>
          <w:color w:val="auto"/>
          <w:sz w:val="24"/>
          <w:szCs w:val="24"/>
        </w:rPr>
        <w:t>4.3.4 Recommendation 4: Communicate Using Confidence Intervals</w:t>
      </w:r>
      <w:bookmarkEnd w:id="78"/>
    </w:p>
    <w:p w14:paraId="7DFA3775" w14:textId="77777777" w:rsidR="00EF2EB6" w:rsidRPr="00950AF7" w:rsidRDefault="00000000" w:rsidP="00950AF7">
      <w:pPr>
        <w:spacing w:after="120" w:line="360" w:lineRule="auto"/>
        <w:jc w:val="both"/>
      </w:pPr>
      <w:r w:rsidRPr="00950AF7">
        <w:t xml:space="preserve">The excellent calibration of SEVM confidence intervals (77.1% for the 80% CI) provides a strong foundation for probabilistic communication with stakeholders. We recommend reporting project forecasts at three levels: the P50 (most likely outcome), the P80 (management reserve </w:t>
      </w:r>
      <w:r w:rsidRPr="00950AF7">
        <w:lastRenderedPageBreak/>
        <w:t>target), and the P90 (contingency ceiling). This three-level reporting framework enables differentiated contingency allocation and transparent risk communication.</w:t>
      </w:r>
    </w:p>
    <w:p w14:paraId="032E7181" w14:textId="77777777" w:rsidR="00EF2EB6" w:rsidRPr="00950AF7" w:rsidRDefault="00EF2EB6" w:rsidP="00950AF7">
      <w:pPr>
        <w:spacing w:after="120" w:line="360" w:lineRule="auto"/>
        <w:jc w:val="both"/>
      </w:pPr>
    </w:p>
    <w:p w14:paraId="27C507DB" w14:textId="77777777" w:rsidR="00EF2EB6" w:rsidRPr="00950AF7" w:rsidRDefault="00000000" w:rsidP="00950AF7">
      <w:pPr>
        <w:pStyle w:val="Heading3"/>
        <w:jc w:val="both"/>
        <w:rPr>
          <w:color w:val="auto"/>
          <w:sz w:val="24"/>
          <w:szCs w:val="24"/>
        </w:rPr>
      </w:pPr>
      <w:bookmarkStart w:id="79" w:name="_Toc222201123"/>
      <w:r w:rsidRPr="00950AF7">
        <w:rPr>
          <w:color w:val="auto"/>
          <w:sz w:val="24"/>
          <w:szCs w:val="24"/>
        </w:rPr>
        <w:t>4.3.5 Recommendation 5: Focus SEVM Resources at Mid-Project</w:t>
      </w:r>
      <w:bookmarkEnd w:id="79"/>
    </w:p>
    <w:p w14:paraId="4CCB138F" w14:textId="77777777" w:rsidR="00EF2EB6" w:rsidRPr="00950AF7" w:rsidRDefault="00000000" w:rsidP="00950AF7">
      <w:pPr>
        <w:spacing w:after="120" w:line="360" w:lineRule="auto"/>
        <w:jc w:val="both"/>
      </w:pPr>
      <w:r w:rsidRPr="00950AF7">
        <w:t>Given our finding that SEVM provides the greatest accuracy advantage at approximately 50% project completion, organizations should ensure that SEVM analysis is systematically performed during this critical phase when sufficient data exists for reliable distribution fitting and important decisions about contingency release, resource reallocation, and stakeholder expectations are typically made.</w:t>
      </w:r>
    </w:p>
    <w:p w14:paraId="25BA2BDE" w14:textId="77777777" w:rsidR="00EF2EB6" w:rsidRPr="00950AF7" w:rsidRDefault="00EF2EB6" w:rsidP="00950AF7">
      <w:pPr>
        <w:spacing w:after="120" w:line="360" w:lineRule="auto"/>
        <w:jc w:val="both"/>
      </w:pPr>
    </w:p>
    <w:p w14:paraId="7231B218" w14:textId="77777777" w:rsidR="00EF2EB6" w:rsidRPr="00950AF7" w:rsidRDefault="00000000" w:rsidP="00950AF7">
      <w:pPr>
        <w:pStyle w:val="Heading3"/>
        <w:jc w:val="both"/>
        <w:rPr>
          <w:color w:val="auto"/>
          <w:sz w:val="24"/>
          <w:szCs w:val="24"/>
        </w:rPr>
      </w:pPr>
      <w:bookmarkStart w:id="80" w:name="_Toc222201124"/>
      <w:r w:rsidRPr="00950AF7">
        <w:rPr>
          <w:color w:val="auto"/>
          <w:sz w:val="24"/>
          <w:szCs w:val="24"/>
        </w:rPr>
        <w:t>4.3.6 SWOT Analysis of SEVM Implementation</w:t>
      </w:r>
      <w:bookmarkEnd w:id="80"/>
    </w:p>
    <w:p w14:paraId="778A49BD" w14:textId="77777777" w:rsidR="00EF2EB6" w:rsidRPr="00950AF7" w:rsidRDefault="00EF2EB6" w:rsidP="00950AF7">
      <w:pPr>
        <w:spacing w:after="120" w:line="360" w:lineRule="auto"/>
        <w:jc w:val="both"/>
      </w:pPr>
    </w:p>
    <w:p w14:paraId="0F3BBDCA" w14:textId="77777777" w:rsidR="00EF2EB6" w:rsidRPr="00950AF7" w:rsidRDefault="00000000" w:rsidP="00950AF7">
      <w:pPr>
        <w:spacing w:after="100" w:line="360" w:lineRule="auto"/>
        <w:jc w:val="both"/>
      </w:pPr>
      <w:r w:rsidRPr="00950AF7">
        <w:rPr>
          <w:b/>
          <w:bCs/>
        </w:rPr>
        <w:t>Table 5: SWOT Analysis of SEVM Implementation in EPC Organizations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950AF7" w:rsidRPr="00950AF7" w14:paraId="1CAD7E40" w14:textId="77777777">
        <w:tblPrEx>
          <w:tblCellMar>
            <w:top w:w="0" w:type="dxa"/>
            <w:bottom w:w="0" w:type="dxa"/>
          </w:tblCellMar>
        </w:tblPrEx>
        <w:tc>
          <w:tcPr>
            <w:tcW w:w="4535" w:type="dxa"/>
            <w:tcBorders>
              <w:top w:val="single" w:sz="1" w:space="0" w:color="BBBBBB"/>
              <w:left w:val="single" w:sz="1" w:space="0" w:color="BBBBBB"/>
              <w:bottom w:val="single" w:sz="1" w:space="0" w:color="BBBBBB"/>
              <w:right w:val="single" w:sz="1" w:space="0" w:color="BBBBBB"/>
            </w:tcBorders>
            <w:shd w:val="clear" w:color="auto" w:fill="E2EFDA"/>
            <w:tcMar>
              <w:top w:w="60" w:type="dxa"/>
              <w:left w:w="100" w:type="dxa"/>
              <w:bottom w:w="60" w:type="dxa"/>
              <w:right w:w="100" w:type="dxa"/>
            </w:tcMar>
          </w:tcPr>
          <w:p w14:paraId="01ECB80B" w14:textId="77777777" w:rsidR="00EF2EB6" w:rsidRPr="00950AF7" w:rsidRDefault="00000000" w:rsidP="00950AF7">
            <w:pPr>
              <w:spacing w:line="360" w:lineRule="auto"/>
              <w:jc w:val="both"/>
            </w:pPr>
            <w:r w:rsidRPr="00950AF7">
              <w:rPr>
                <w:b/>
                <w:bCs/>
              </w:rPr>
              <w:t>STRENGTHS</w:t>
            </w:r>
          </w:p>
        </w:tc>
        <w:tc>
          <w:tcPr>
            <w:tcW w:w="4535" w:type="dxa"/>
            <w:tcBorders>
              <w:top w:val="single" w:sz="1" w:space="0" w:color="BBBBBB"/>
              <w:left w:val="single" w:sz="1" w:space="0" w:color="BBBBBB"/>
              <w:bottom w:val="single" w:sz="1" w:space="0" w:color="BBBBBB"/>
              <w:right w:val="single" w:sz="1" w:space="0" w:color="BBBBBB"/>
            </w:tcBorders>
            <w:shd w:val="clear" w:color="auto" w:fill="FFF2CC"/>
            <w:tcMar>
              <w:top w:w="60" w:type="dxa"/>
              <w:left w:w="100" w:type="dxa"/>
              <w:bottom w:w="60" w:type="dxa"/>
              <w:right w:w="100" w:type="dxa"/>
            </w:tcMar>
          </w:tcPr>
          <w:p w14:paraId="715D2050" w14:textId="77777777" w:rsidR="00EF2EB6" w:rsidRPr="00950AF7" w:rsidRDefault="00000000" w:rsidP="00950AF7">
            <w:pPr>
              <w:spacing w:line="360" w:lineRule="auto"/>
              <w:jc w:val="both"/>
            </w:pPr>
            <w:r w:rsidRPr="00950AF7">
              <w:rPr>
                <w:b/>
                <w:bCs/>
              </w:rPr>
              <w:t>WEAKNESSES</w:t>
            </w:r>
          </w:p>
        </w:tc>
      </w:tr>
      <w:tr w:rsidR="00950AF7" w:rsidRPr="00950AF7" w14:paraId="33B039C6" w14:textId="77777777">
        <w:tblPrEx>
          <w:tblCellMar>
            <w:top w:w="0" w:type="dxa"/>
            <w:bottom w:w="0" w:type="dxa"/>
          </w:tblCellMar>
        </w:tblPrEx>
        <w:tc>
          <w:tcPr>
            <w:tcW w:w="4535" w:type="dxa"/>
            <w:tcBorders>
              <w:top w:val="single" w:sz="1" w:space="0" w:color="BBBBBB"/>
              <w:left w:val="single" w:sz="1" w:space="0" w:color="BBBBBB"/>
              <w:bottom w:val="single" w:sz="1" w:space="0" w:color="BBBBBB"/>
              <w:right w:val="single" w:sz="1" w:space="0" w:color="BBBBBB"/>
            </w:tcBorders>
            <w:shd w:val="clear" w:color="auto" w:fill="E2EFDA"/>
            <w:tcMar>
              <w:top w:w="60" w:type="dxa"/>
              <w:left w:w="100" w:type="dxa"/>
              <w:bottom w:w="60" w:type="dxa"/>
              <w:right w:w="100" w:type="dxa"/>
            </w:tcMar>
          </w:tcPr>
          <w:p w14:paraId="46D117EB" w14:textId="77777777" w:rsidR="00EF2EB6" w:rsidRPr="00950AF7" w:rsidRDefault="00000000" w:rsidP="00950AF7">
            <w:pPr>
              <w:spacing w:after="40" w:line="360" w:lineRule="auto"/>
              <w:jc w:val="both"/>
            </w:pPr>
            <w:r w:rsidRPr="00950AF7">
              <w:t>Well-calibrated confidence intervals (77.1%)</w:t>
            </w:r>
          </w:p>
          <w:p w14:paraId="5E8F74D3" w14:textId="77777777" w:rsidR="00EF2EB6" w:rsidRPr="00950AF7" w:rsidRDefault="00000000" w:rsidP="00950AF7">
            <w:pPr>
              <w:spacing w:after="40" w:line="360" w:lineRule="auto"/>
              <w:jc w:val="both"/>
            </w:pPr>
            <w:r w:rsidRPr="00950AF7">
              <w:t>Captures right-skewed EPC cost risks</w:t>
            </w:r>
          </w:p>
          <w:p w14:paraId="4081B66B" w14:textId="77777777" w:rsidR="00EF2EB6" w:rsidRPr="00950AF7" w:rsidRDefault="00000000" w:rsidP="00950AF7">
            <w:pPr>
              <w:spacing w:after="40" w:line="360" w:lineRule="auto"/>
              <w:jc w:val="both"/>
            </w:pPr>
            <w:r w:rsidRPr="00950AF7">
              <w:t>Low computational cost (&lt;1 sec per forecast)</w:t>
            </w:r>
          </w:p>
          <w:p w14:paraId="4B3FF2B3" w14:textId="77777777" w:rsidR="00EF2EB6" w:rsidRPr="00950AF7" w:rsidRDefault="00000000" w:rsidP="00950AF7">
            <w:pPr>
              <w:spacing w:after="40" w:line="360" w:lineRule="auto"/>
              <w:jc w:val="both"/>
            </w:pPr>
            <w:r w:rsidRPr="00950AF7">
              <w:t>Compatible with existing EVM infrastructure</w:t>
            </w:r>
          </w:p>
        </w:tc>
        <w:tc>
          <w:tcPr>
            <w:tcW w:w="4535" w:type="dxa"/>
            <w:tcBorders>
              <w:top w:val="single" w:sz="1" w:space="0" w:color="BBBBBB"/>
              <w:left w:val="single" w:sz="1" w:space="0" w:color="BBBBBB"/>
              <w:bottom w:val="single" w:sz="1" w:space="0" w:color="BBBBBB"/>
              <w:right w:val="single" w:sz="1" w:space="0" w:color="BBBBBB"/>
            </w:tcBorders>
            <w:shd w:val="clear" w:color="auto" w:fill="FFF2CC"/>
            <w:tcMar>
              <w:top w:w="60" w:type="dxa"/>
              <w:left w:w="100" w:type="dxa"/>
              <w:bottom w:w="60" w:type="dxa"/>
              <w:right w:w="100" w:type="dxa"/>
            </w:tcMar>
          </w:tcPr>
          <w:p w14:paraId="6F4E8FF8" w14:textId="77777777" w:rsidR="00EF2EB6" w:rsidRPr="00950AF7" w:rsidRDefault="00000000" w:rsidP="00950AF7">
            <w:pPr>
              <w:spacing w:after="40" w:line="360" w:lineRule="auto"/>
              <w:jc w:val="both"/>
            </w:pPr>
            <w:r w:rsidRPr="00950AF7">
              <w:t>Requires minimum 10 periods of quality data</w:t>
            </w:r>
          </w:p>
          <w:p w14:paraId="33F62038" w14:textId="77777777" w:rsidR="00EF2EB6" w:rsidRPr="00950AF7" w:rsidRDefault="00000000" w:rsidP="00950AF7">
            <w:pPr>
              <w:spacing w:after="40" w:line="360" w:lineRule="auto"/>
              <w:jc w:val="both"/>
            </w:pPr>
            <w:r w:rsidRPr="00950AF7">
              <w:t>Point estimate not always superior to BAC/CPI</w:t>
            </w:r>
          </w:p>
          <w:p w14:paraId="043ED964" w14:textId="77777777" w:rsidR="00EF2EB6" w:rsidRPr="00950AF7" w:rsidRDefault="00000000" w:rsidP="00950AF7">
            <w:pPr>
              <w:spacing w:after="40" w:line="360" w:lineRule="auto"/>
              <w:jc w:val="both"/>
            </w:pPr>
            <w:r w:rsidRPr="00950AF7">
              <w:t>Poorly calibrated for low-complexity projects</w:t>
            </w:r>
          </w:p>
          <w:p w14:paraId="7A268B05" w14:textId="77777777" w:rsidR="00EF2EB6" w:rsidRPr="00950AF7" w:rsidRDefault="00000000" w:rsidP="00950AF7">
            <w:pPr>
              <w:spacing w:after="40" w:line="360" w:lineRule="auto"/>
              <w:jc w:val="both"/>
            </w:pPr>
            <w:r w:rsidRPr="00950AF7">
              <w:t>Requires training for probabilistic interpretation</w:t>
            </w:r>
          </w:p>
        </w:tc>
      </w:tr>
      <w:tr w:rsidR="00950AF7" w:rsidRPr="00950AF7" w14:paraId="3E61DA65" w14:textId="77777777">
        <w:tblPrEx>
          <w:tblCellMar>
            <w:top w:w="0" w:type="dxa"/>
            <w:bottom w:w="0" w:type="dxa"/>
          </w:tblCellMar>
        </w:tblPrEx>
        <w:tc>
          <w:tcPr>
            <w:tcW w:w="453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0AA53D9F" w14:textId="77777777" w:rsidR="00EF2EB6" w:rsidRPr="00950AF7" w:rsidRDefault="00000000" w:rsidP="00950AF7">
            <w:pPr>
              <w:spacing w:line="360" w:lineRule="auto"/>
              <w:jc w:val="both"/>
            </w:pPr>
            <w:r w:rsidRPr="00950AF7">
              <w:rPr>
                <w:b/>
                <w:bCs/>
              </w:rPr>
              <w:t>OPPORTUNITIES</w:t>
            </w:r>
          </w:p>
        </w:tc>
        <w:tc>
          <w:tcPr>
            <w:tcW w:w="4535" w:type="dxa"/>
            <w:tcBorders>
              <w:top w:val="single" w:sz="1" w:space="0" w:color="BBBBBB"/>
              <w:left w:val="single" w:sz="1" w:space="0" w:color="BBBBBB"/>
              <w:bottom w:val="single" w:sz="1" w:space="0" w:color="BBBBBB"/>
              <w:right w:val="single" w:sz="1" w:space="0" w:color="BBBBBB"/>
            </w:tcBorders>
            <w:shd w:val="clear" w:color="auto" w:fill="F2DCDB"/>
            <w:tcMar>
              <w:top w:w="60" w:type="dxa"/>
              <w:left w:w="100" w:type="dxa"/>
              <w:bottom w:w="60" w:type="dxa"/>
              <w:right w:w="100" w:type="dxa"/>
            </w:tcMar>
          </w:tcPr>
          <w:p w14:paraId="0039A454" w14:textId="77777777" w:rsidR="00EF2EB6" w:rsidRPr="00950AF7" w:rsidRDefault="00000000" w:rsidP="00950AF7">
            <w:pPr>
              <w:spacing w:line="360" w:lineRule="auto"/>
              <w:jc w:val="both"/>
            </w:pPr>
            <w:r w:rsidRPr="00950AF7">
              <w:rPr>
                <w:b/>
                <w:bCs/>
              </w:rPr>
              <w:t>THREATS</w:t>
            </w:r>
          </w:p>
        </w:tc>
      </w:tr>
      <w:tr w:rsidR="00950AF7" w:rsidRPr="00950AF7" w14:paraId="6F448485" w14:textId="77777777">
        <w:tblPrEx>
          <w:tblCellMar>
            <w:top w:w="0" w:type="dxa"/>
            <w:bottom w:w="0" w:type="dxa"/>
          </w:tblCellMar>
        </w:tblPrEx>
        <w:tc>
          <w:tcPr>
            <w:tcW w:w="4535" w:type="dxa"/>
            <w:tcBorders>
              <w:top w:val="single" w:sz="1" w:space="0" w:color="BBBBBB"/>
              <w:left w:val="single" w:sz="1" w:space="0" w:color="BBBBBB"/>
              <w:bottom w:val="single" w:sz="1" w:space="0" w:color="BBBBBB"/>
              <w:right w:val="single" w:sz="1" w:space="0" w:color="BBBBBB"/>
            </w:tcBorders>
            <w:shd w:val="clear" w:color="auto" w:fill="D6E4F0"/>
            <w:tcMar>
              <w:top w:w="60" w:type="dxa"/>
              <w:left w:w="100" w:type="dxa"/>
              <w:bottom w:w="60" w:type="dxa"/>
              <w:right w:w="100" w:type="dxa"/>
            </w:tcMar>
          </w:tcPr>
          <w:p w14:paraId="4B043127" w14:textId="77777777" w:rsidR="00EF2EB6" w:rsidRPr="00950AF7" w:rsidRDefault="00000000" w:rsidP="00950AF7">
            <w:pPr>
              <w:spacing w:after="40" w:line="360" w:lineRule="auto"/>
              <w:jc w:val="both"/>
            </w:pPr>
            <w:r w:rsidRPr="00950AF7">
              <w:t>Integration with AI/ML for adaptive distribution fitting</w:t>
            </w:r>
          </w:p>
          <w:p w14:paraId="7ADE92EF" w14:textId="77777777" w:rsidR="00EF2EB6" w:rsidRPr="00950AF7" w:rsidRDefault="00000000" w:rsidP="00950AF7">
            <w:pPr>
              <w:spacing w:after="40" w:line="360" w:lineRule="auto"/>
              <w:jc w:val="both"/>
            </w:pPr>
            <w:r w:rsidRPr="00950AF7">
              <w:t>Real-time SEVM dashboards for project oversight</w:t>
            </w:r>
          </w:p>
          <w:p w14:paraId="47B7DEFF" w14:textId="77777777" w:rsidR="00EF2EB6" w:rsidRPr="00950AF7" w:rsidRDefault="00000000" w:rsidP="00950AF7">
            <w:pPr>
              <w:spacing w:after="40" w:line="360" w:lineRule="auto"/>
              <w:jc w:val="both"/>
            </w:pPr>
            <w:r w:rsidRPr="00950AF7">
              <w:t>Cross-project learning from performance databases</w:t>
            </w:r>
          </w:p>
          <w:p w14:paraId="73F2C65C" w14:textId="77777777" w:rsidR="00EF2EB6" w:rsidRPr="00950AF7" w:rsidRDefault="00000000" w:rsidP="00950AF7">
            <w:pPr>
              <w:spacing w:after="40" w:line="360" w:lineRule="auto"/>
              <w:jc w:val="both"/>
            </w:pPr>
            <w:r w:rsidRPr="00950AF7">
              <w:t>Improved stakeholder trust through transparency</w:t>
            </w:r>
          </w:p>
        </w:tc>
        <w:tc>
          <w:tcPr>
            <w:tcW w:w="4535" w:type="dxa"/>
            <w:tcBorders>
              <w:top w:val="single" w:sz="1" w:space="0" w:color="BBBBBB"/>
              <w:left w:val="single" w:sz="1" w:space="0" w:color="BBBBBB"/>
              <w:bottom w:val="single" w:sz="1" w:space="0" w:color="BBBBBB"/>
              <w:right w:val="single" w:sz="1" w:space="0" w:color="BBBBBB"/>
            </w:tcBorders>
            <w:shd w:val="clear" w:color="auto" w:fill="F2DCDB"/>
            <w:tcMar>
              <w:top w:w="60" w:type="dxa"/>
              <w:left w:w="100" w:type="dxa"/>
              <w:bottom w:w="60" w:type="dxa"/>
              <w:right w:w="100" w:type="dxa"/>
            </w:tcMar>
          </w:tcPr>
          <w:p w14:paraId="43B09C93" w14:textId="77777777" w:rsidR="00EF2EB6" w:rsidRPr="00950AF7" w:rsidRDefault="00000000" w:rsidP="00950AF7">
            <w:pPr>
              <w:spacing w:after="40" w:line="360" w:lineRule="auto"/>
              <w:jc w:val="both"/>
            </w:pPr>
            <w:r w:rsidRPr="00950AF7">
              <w:t>Organizational resistance to probabilistic methods</w:t>
            </w:r>
          </w:p>
          <w:p w14:paraId="697395A2" w14:textId="77777777" w:rsidR="00EF2EB6" w:rsidRPr="00950AF7" w:rsidRDefault="00000000" w:rsidP="00950AF7">
            <w:pPr>
              <w:spacing w:after="40" w:line="360" w:lineRule="auto"/>
              <w:jc w:val="both"/>
            </w:pPr>
            <w:r w:rsidRPr="00950AF7">
              <w:t>Misinterpretation of confidence intervals by decision-makers</w:t>
            </w:r>
          </w:p>
          <w:p w14:paraId="124046B7" w14:textId="77777777" w:rsidR="00EF2EB6" w:rsidRPr="00950AF7" w:rsidRDefault="00000000" w:rsidP="00950AF7">
            <w:pPr>
              <w:spacing w:after="40" w:line="360" w:lineRule="auto"/>
              <w:jc w:val="both"/>
            </w:pPr>
            <w:r w:rsidRPr="00950AF7">
              <w:t>Data quality inconsistencies across project teams</w:t>
            </w:r>
          </w:p>
          <w:p w14:paraId="46E58C4F" w14:textId="77777777" w:rsidR="00EF2EB6" w:rsidRPr="00950AF7" w:rsidRDefault="00000000" w:rsidP="00950AF7">
            <w:pPr>
              <w:spacing w:after="40" w:line="360" w:lineRule="auto"/>
              <w:jc w:val="both"/>
            </w:pPr>
            <w:r w:rsidRPr="00950AF7">
              <w:t>Over-reliance on model outputs without expert judgment</w:t>
            </w:r>
          </w:p>
        </w:tc>
      </w:tr>
    </w:tbl>
    <w:p w14:paraId="329CC9A5" w14:textId="77777777" w:rsidR="00EF2EB6" w:rsidRPr="00950AF7" w:rsidRDefault="00EF2EB6" w:rsidP="00950AF7">
      <w:pPr>
        <w:spacing w:after="120" w:line="360" w:lineRule="auto"/>
        <w:jc w:val="both"/>
      </w:pPr>
    </w:p>
    <w:p w14:paraId="43F08500" w14:textId="77777777" w:rsidR="00EF2EB6" w:rsidRPr="00950AF7" w:rsidRDefault="00000000" w:rsidP="00950AF7">
      <w:pPr>
        <w:pStyle w:val="Heading3"/>
        <w:jc w:val="both"/>
        <w:rPr>
          <w:color w:val="auto"/>
          <w:sz w:val="24"/>
          <w:szCs w:val="24"/>
        </w:rPr>
      </w:pPr>
      <w:bookmarkStart w:id="81" w:name="_Toc222201125"/>
      <w:r w:rsidRPr="00950AF7">
        <w:rPr>
          <w:color w:val="auto"/>
          <w:sz w:val="24"/>
          <w:szCs w:val="24"/>
        </w:rPr>
        <w:t>4.3.7 Implementation Roadmap</w:t>
      </w:r>
      <w:bookmarkEnd w:id="81"/>
    </w:p>
    <w:p w14:paraId="7D2B2477" w14:textId="77777777" w:rsidR="00EF2EB6" w:rsidRPr="00950AF7" w:rsidRDefault="00000000" w:rsidP="00950AF7">
      <w:pPr>
        <w:spacing w:after="120" w:line="360" w:lineRule="auto"/>
        <w:jc w:val="both"/>
      </w:pPr>
      <w:r w:rsidRPr="00950AF7">
        <w:t>We propose a four-phase implementation roadmap for SEVM adoption in EPC organizations:</w:t>
      </w:r>
    </w:p>
    <w:p w14:paraId="7B22F6C4" w14:textId="77777777" w:rsidR="00EF2EB6" w:rsidRPr="00950AF7" w:rsidRDefault="00000000" w:rsidP="00950AF7">
      <w:pPr>
        <w:spacing w:after="120" w:line="360" w:lineRule="auto"/>
        <w:jc w:val="both"/>
      </w:pPr>
      <w:r w:rsidRPr="00950AF7">
        <w:rPr>
          <w:b/>
          <w:bCs/>
        </w:rPr>
        <w:t xml:space="preserve">Phase 1 – Foundation (Months 1-3): </w:t>
      </w:r>
      <w:r w:rsidRPr="00950AF7">
        <w:t>Audit existing EVM data quality across active projects. Establish standardized monthly data collection protocols. Build a historical performance database consolidating data from completed projects. Identify two to three high-complexity pilot projects for initial SEVM deployment.</w:t>
      </w:r>
    </w:p>
    <w:p w14:paraId="0761C20E" w14:textId="77777777" w:rsidR="00EF2EB6" w:rsidRPr="00950AF7" w:rsidRDefault="00000000" w:rsidP="00950AF7">
      <w:pPr>
        <w:spacing w:after="120" w:line="360" w:lineRule="auto"/>
        <w:jc w:val="both"/>
      </w:pPr>
      <w:r w:rsidRPr="00950AF7">
        <w:rPr>
          <w:b/>
          <w:bCs/>
        </w:rPr>
        <w:t xml:space="preserve">Phase 2 – Pilot (Months 4-8): </w:t>
      </w:r>
      <w:r w:rsidRPr="00950AF7">
        <w:t>Implement SEVM on pilot projects in parallel with existing deterministic reporting. Compare SEVM confidence intervals against actual outcomes to calibrate the model. Develop standardized reporting templates presenting P50, P80, and P90 estimates. Train project control staff and project managers on probabilistic forecast interpretation.</w:t>
      </w:r>
    </w:p>
    <w:p w14:paraId="4C5E4882" w14:textId="77777777" w:rsidR="00EF2EB6" w:rsidRPr="00950AF7" w:rsidRDefault="00000000" w:rsidP="00950AF7">
      <w:pPr>
        <w:spacing w:after="120" w:line="360" w:lineRule="auto"/>
        <w:jc w:val="both"/>
      </w:pPr>
      <w:r w:rsidRPr="00950AF7">
        <w:rPr>
          <w:b/>
          <w:bCs/>
        </w:rPr>
        <w:t xml:space="preserve">Phase 3 – Scale (Months 9-14): </w:t>
      </w:r>
      <w:r w:rsidRPr="00950AF7">
        <w:t>Roll out SEVM to all high-complexity projects. Integrate SEVM outputs into project governance processes, including gate reviews and contingency management procedures. Establish automated SEVM computation within the project control system.</w:t>
      </w:r>
    </w:p>
    <w:p w14:paraId="5810909F" w14:textId="77777777" w:rsidR="00EF2EB6" w:rsidRPr="00950AF7" w:rsidRDefault="00000000" w:rsidP="00950AF7">
      <w:pPr>
        <w:spacing w:after="120" w:line="360" w:lineRule="auto"/>
        <w:jc w:val="both"/>
      </w:pPr>
      <w:r w:rsidRPr="00950AF7">
        <w:rPr>
          <w:b/>
          <w:bCs/>
        </w:rPr>
        <w:t xml:space="preserve">Phase 4 – Optimize (Months 15-18): </w:t>
      </w:r>
      <w:r w:rsidRPr="00950AF7">
        <w:t>Implement dynamic distribution updating as new data becomes available. Develop cross-project benchmarking using the performance database. Explore integration with advanced analytics and machine learning for improved distribution fitting. Evaluate extension to medium-complexity projects based on pilot results.</w:t>
      </w:r>
    </w:p>
    <w:p w14:paraId="0E890519" w14:textId="77777777" w:rsidR="00EF2EB6" w:rsidRPr="00950AF7" w:rsidRDefault="00EF2EB6" w:rsidP="00950AF7">
      <w:pPr>
        <w:spacing w:after="120" w:line="360" w:lineRule="auto"/>
        <w:jc w:val="both"/>
      </w:pPr>
    </w:p>
    <w:p w14:paraId="399541AF" w14:textId="77777777" w:rsidR="00EF2EB6" w:rsidRPr="00950AF7" w:rsidRDefault="00000000" w:rsidP="00950AF7">
      <w:pPr>
        <w:pStyle w:val="Heading2"/>
        <w:spacing w:after="120"/>
        <w:jc w:val="both"/>
        <w:rPr>
          <w:color w:val="auto"/>
          <w:sz w:val="24"/>
          <w:szCs w:val="24"/>
        </w:rPr>
      </w:pPr>
      <w:bookmarkStart w:id="82" w:name="_Toc222201126"/>
      <w:r w:rsidRPr="00950AF7">
        <w:rPr>
          <w:color w:val="auto"/>
          <w:sz w:val="24"/>
          <w:szCs w:val="24"/>
        </w:rPr>
        <w:t>Conclusion of Part 2</w:t>
      </w:r>
      <w:bookmarkEnd w:id="82"/>
    </w:p>
    <w:p w14:paraId="2E05B9DB" w14:textId="77777777" w:rsidR="00EF2EB6" w:rsidRPr="00950AF7" w:rsidRDefault="00000000" w:rsidP="00950AF7">
      <w:pPr>
        <w:spacing w:after="120" w:line="360" w:lineRule="auto"/>
        <w:jc w:val="both"/>
      </w:pPr>
      <w:r w:rsidRPr="00950AF7">
        <w:t>Part 2 of this thesis has presented the empirical study designed to test the hypotheses developed in Part 1. The quantitative analysis of twelve EPC projects through 96 forecast scenarios and 960,000 Monte Carlo simulation iterations has produced a nuanced understanding of SEVM capabilities and limitations.</w:t>
      </w:r>
    </w:p>
    <w:p w14:paraId="2CB7D3E3" w14:textId="77777777" w:rsidR="00EF2EB6" w:rsidRPr="00950AF7" w:rsidRDefault="00000000" w:rsidP="00950AF7">
      <w:pPr>
        <w:spacing w:after="120" w:line="360" w:lineRule="auto"/>
        <w:jc w:val="both"/>
      </w:pPr>
      <w:r w:rsidRPr="00950AF7">
        <w:t xml:space="preserve">The key finding is that SEVM provides its greatest value not through point-estimate accuracy improvement over the simplest deterministic formula, but through three distinct mechanisms: superior performance over the composite deterministic formula that accounts for schedule-cost interactions; well-calibrated probabilistic forecasts that accurately communicate the uncertainty </w:t>
      </w:r>
      <w:r w:rsidRPr="00950AF7">
        <w:lastRenderedPageBreak/>
        <w:t>range of project outcomes; and the ability to capture the right-skewed risk profile characteristic of EPC projects. These capabilities are most valuable for high-complexity projects and during the mid-project phase when critical resource allocation and stakeholder communication decisions are made.</w:t>
      </w:r>
    </w:p>
    <w:p w14:paraId="23487053" w14:textId="77777777" w:rsidR="00EF2EB6" w:rsidRPr="00950AF7" w:rsidRDefault="00000000" w:rsidP="00950AF7">
      <w:pPr>
        <w:spacing w:after="120" w:line="360" w:lineRule="auto"/>
        <w:jc w:val="both"/>
      </w:pPr>
      <w:r w:rsidRPr="00950AF7">
        <w:t>The five managerial recommendations and four-phase implementation roadmap derived from these findings provide EPC organizations with actionable guidance for adopting SEVM within their existing project control frameworks.</w:t>
      </w:r>
    </w:p>
    <w:p w14:paraId="2D09F738" w14:textId="77777777" w:rsidR="00EF2EB6" w:rsidRPr="00950AF7" w:rsidRDefault="00000000" w:rsidP="00950AF7">
      <w:pPr>
        <w:spacing w:line="360" w:lineRule="auto"/>
        <w:jc w:val="both"/>
      </w:pPr>
      <w:r w:rsidRPr="00950AF7">
        <w:br w:type="page"/>
      </w:r>
    </w:p>
    <w:p w14:paraId="725DFBBA" w14:textId="77777777" w:rsidR="00EF2EB6" w:rsidRPr="00950AF7" w:rsidRDefault="00000000" w:rsidP="00950AF7">
      <w:pPr>
        <w:pStyle w:val="Heading1"/>
        <w:spacing w:after="120"/>
        <w:jc w:val="both"/>
        <w:rPr>
          <w:color w:val="auto"/>
          <w:sz w:val="24"/>
          <w:szCs w:val="24"/>
        </w:rPr>
      </w:pPr>
      <w:bookmarkStart w:id="83" w:name="_Toc222201127"/>
      <w:r w:rsidRPr="00950AF7">
        <w:rPr>
          <w:color w:val="auto"/>
          <w:sz w:val="24"/>
          <w:szCs w:val="24"/>
        </w:rPr>
        <w:lastRenderedPageBreak/>
        <w:t>General Conclusion</w:t>
      </w:r>
      <w:bookmarkEnd w:id="83"/>
    </w:p>
    <w:p w14:paraId="1A8F0D5A" w14:textId="77777777" w:rsidR="00EF2EB6" w:rsidRPr="00950AF7" w:rsidRDefault="00EF2EB6" w:rsidP="00950AF7">
      <w:pPr>
        <w:spacing w:after="120" w:line="360" w:lineRule="auto"/>
        <w:jc w:val="both"/>
      </w:pPr>
    </w:p>
    <w:p w14:paraId="7CFFF60E" w14:textId="77777777" w:rsidR="00EF2EB6" w:rsidRPr="00950AF7" w:rsidRDefault="00000000" w:rsidP="00950AF7">
      <w:pPr>
        <w:pStyle w:val="Heading2"/>
        <w:spacing w:after="120"/>
        <w:jc w:val="both"/>
        <w:rPr>
          <w:color w:val="auto"/>
          <w:sz w:val="24"/>
          <w:szCs w:val="24"/>
        </w:rPr>
      </w:pPr>
      <w:bookmarkStart w:id="84" w:name="_Toc222201128"/>
      <w:r w:rsidRPr="00950AF7">
        <w:rPr>
          <w:color w:val="auto"/>
          <w:sz w:val="24"/>
          <w:szCs w:val="24"/>
        </w:rPr>
        <w:t>Summary of Research and Key Findings</w:t>
      </w:r>
      <w:bookmarkEnd w:id="84"/>
    </w:p>
    <w:p w14:paraId="028F786B" w14:textId="77777777" w:rsidR="00EF2EB6" w:rsidRPr="00950AF7" w:rsidRDefault="00000000" w:rsidP="00950AF7">
      <w:pPr>
        <w:spacing w:after="120" w:line="360" w:lineRule="auto"/>
        <w:jc w:val="both"/>
      </w:pPr>
      <w:r w:rsidRPr="00950AF7">
        <w:t>This thesis set out to investigate how Stochastic Earned Value Management (SEVM) can enhance cost and schedule performance forecasting in Engineering, Procurement, and Construction (EPC) projects. The research was motivated by the persistent challenge of cost overruns and schedule delays in the EPC sector, and by the recognition that traditional deterministic EVM methods are fundamentally limited in their ability to capture the uncertainty inherent in complex project environments.</w:t>
      </w:r>
    </w:p>
    <w:p w14:paraId="550B41C3" w14:textId="77777777" w:rsidR="00EF2EB6" w:rsidRPr="00950AF7" w:rsidRDefault="00000000" w:rsidP="00950AF7">
      <w:pPr>
        <w:spacing w:after="120" w:line="360" w:lineRule="auto"/>
        <w:jc w:val="both"/>
      </w:pPr>
      <w:r w:rsidRPr="00950AF7">
        <w:t>Our research followed a structured approach aligned with the five key steps of the ESLSCA thesis methodology. We first identified the problem of inadequate project performance forecasting in the EPC sector, supported by both empirical evidence from industry reports and theoretical analysis from the academic literature. We then constructed an analytical framework based on a comprehensive review of the scientific literature on EVM, Monte Carlo simulation, and SEVM, which led to the formulation of five research hypotheses addressing the comparative accuracy of SEVM versus deterministic EVM and the conditions moderating this relationship.</w:t>
      </w:r>
    </w:p>
    <w:p w14:paraId="2BE6CC15" w14:textId="77777777" w:rsidR="00EF2EB6" w:rsidRPr="00950AF7" w:rsidRDefault="00000000" w:rsidP="00950AF7">
      <w:pPr>
        <w:spacing w:after="120" w:line="360" w:lineRule="auto"/>
        <w:jc w:val="both"/>
      </w:pPr>
      <w:r w:rsidRPr="00950AF7">
        <w:t>The empirical study employed a quantitative research design centered on Monte Carlo simulation applied to a portfolio of twelve EPC projects spanning five industrial sectors with budgets ranging from $15 million to $200 million. A total of 96 forecast scenarios were analyzed, each involving 10,000 Monte Carlo iterations, producing a comprehensive dataset of 960,000 individual simulation runs.</w:t>
      </w:r>
    </w:p>
    <w:p w14:paraId="502FFDDF" w14:textId="77777777" w:rsidR="00EF2EB6" w:rsidRPr="00950AF7" w:rsidRDefault="00000000" w:rsidP="00950AF7">
      <w:pPr>
        <w:spacing w:after="120" w:line="360" w:lineRule="auto"/>
        <w:jc w:val="both"/>
      </w:pPr>
      <w:r w:rsidRPr="00950AF7">
        <w:t>The key findings of this study can be summarized as follows:</w:t>
      </w:r>
    </w:p>
    <w:p w14:paraId="5C2B2F59" w14:textId="77777777" w:rsidR="00EF2EB6" w:rsidRPr="00950AF7" w:rsidRDefault="00000000" w:rsidP="00950AF7">
      <w:pPr>
        <w:spacing w:after="120" w:line="360" w:lineRule="auto"/>
        <w:jc w:val="both"/>
      </w:pPr>
      <w:r w:rsidRPr="00950AF7">
        <w:rPr>
          <w:b/>
          <w:bCs/>
        </w:rPr>
        <w:t>First</w:t>
      </w:r>
      <w:r w:rsidRPr="00950AF7">
        <w:t>, the SEVM P50 estimate achieves an average MAPE of 3.66%, which is significantly better than the composite deterministic formula (4.21%) that accounts for schedule-cost interactions, but slightly higher than the simple BAC/CPI formula (2.69%). This finding demonstrates that SEVM most effectively outperforms deterministic methods when both cost and schedule uncertainties are considered jointly.</w:t>
      </w:r>
    </w:p>
    <w:p w14:paraId="7FC45347" w14:textId="77777777" w:rsidR="00EF2EB6" w:rsidRPr="00950AF7" w:rsidRDefault="00000000" w:rsidP="00950AF7">
      <w:pPr>
        <w:spacing w:after="120" w:line="360" w:lineRule="auto"/>
        <w:jc w:val="both"/>
      </w:pPr>
      <w:r w:rsidRPr="00950AF7">
        <w:rPr>
          <w:b/>
          <w:bCs/>
        </w:rPr>
        <w:t>Second</w:t>
      </w:r>
      <w:r w:rsidRPr="00950AF7">
        <w:t xml:space="preserve">, the SEVM model produces remarkably well-calibrated probabilistic forecasts, with the 80% confidence interval containing the actual outcome in 77.1% of cases and the 50% confidence interval containing the actual outcome in 53.1% of cases. This calibration quality is </w:t>
      </w:r>
      <w:r w:rsidRPr="00950AF7">
        <w:lastRenderedPageBreak/>
        <w:t>a critical finding, as it validates the practical reliability of SEVM probabilistic forecasts for risk-informed decision-making.</w:t>
      </w:r>
    </w:p>
    <w:p w14:paraId="29BBC4DA" w14:textId="77777777" w:rsidR="00EF2EB6" w:rsidRPr="00950AF7" w:rsidRDefault="00000000" w:rsidP="00950AF7">
      <w:pPr>
        <w:spacing w:after="120" w:line="360" w:lineRule="auto"/>
        <w:jc w:val="both"/>
      </w:pPr>
      <w:r w:rsidRPr="00950AF7">
        <w:rPr>
          <w:b/>
          <w:bCs/>
        </w:rPr>
        <w:t>Third</w:t>
      </w:r>
      <w:r w:rsidRPr="00950AF7">
        <w:t>, SEVM provides the greatest value for high-complexity projects (96% calibration accuracy) and during the mid-project phase around 50% completion (+1.05 percentage points improvement over the composite formula). These moderating effects provide targeted guidance for organizations seeking to deploy SEVM where it will have the greatest impact.</w:t>
      </w:r>
    </w:p>
    <w:p w14:paraId="237BB4FE" w14:textId="77777777" w:rsidR="00EF2EB6" w:rsidRPr="00950AF7" w:rsidRDefault="00EF2EB6" w:rsidP="00950AF7">
      <w:pPr>
        <w:spacing w:after="120" w:line="360" w:lineRule="auto"/>
        <w:jc w:val="both"/>
      </w:pPr>
    </w:p>
    <w:p w14:paraId="5BDB26EC" w14:textId="77777777" w:rsidR="00EF2EB6" w:rsidRPr="00950AF7" w:rsidRDefault="00000000" w:rsidP="00950AF7">
      <w:pPr>
        <w:pStyle w:val="Heading2"/>
        <w:spacing w:after="120"/>
        <w:jc w:val="both"/>
        <w:rPr>
          <w:color w:val="auto"/>
          <w:sz w:val="24"/>
          <w:szCs w:val="24"/>
        </w:rPr>
      </w:pPr>
      <w:bookmarkStart w:id="85" w:name="_Toc222201129"/>
      <w:r w:rsidRPr="00950AF7">
        <w:rPr>
          <w:color w:val="auto"/>
          <w:sz w:val="24"/>
          <w:szCs w:val="24"/>
        </w:rPr>
        <w:t>Contributions and Lessons Learned</w:t>
      </w:r>
      <w:bookmarkEnd w:id="85"/>
    </w:p>
    <w:p w14:paraId="017123D9" w14:textId="77777777" w:rsidR="00EF2EB6" w:rsidRPr="00950AF7" w:rsidRDefault="00000000" w:rsidP="00950AF7">
      <w:pPr>
        <w:spacing w:after="120" w:line="360" w:lineRule="auto"/>
        <w:jc w:val="both"/>
      </w:pPr>
      <w:r w:rsidRPr="00950AF7">
        <w:rPr>
          <w:b/>
          <w:bCs/>
        </w:rPr>
        <w:t xml:space="preserve">Academic Contribution: </w:t>
      </w:r>
      <w:r w:rsidRPr="00950AF7">
        <w:t>This thesis has applied the SEVM framework to EPC project performance data, addressing a gap in the existing literature that has predominantly focused on IT and defense sector projects. Our nuanced finding that SEVM value lies primarily in probabilistic calibration rather than point-estimate superiority challenges the prevailing narrative and provides a more balanced perspective on stochastic forecasting methods.</w:t>
      </w:r>
    </w:p>
    <w:p w14:paraId="6C78F5D3" w14:textId="77777777" w:rsidR="00EF2EB6" w:rsidRPr="00950AF7" w:rsidRDefault="00000000" w:rsidP="00950AF7">
      <w:pPr>
        <w:spacing w:after="120" w:line="360" w:lineRule="auto"/>
        <w:jc w:val="both"/>
      </w:pPr>
      <w:r w:rsidRPr="00950AF7">
        <w:rPr>
          <w:b/>
          <w:bCs/>
        </w:rPr>
        <w:t xml:space="preserve">Methodological Contribution: </w:t>
      </w:r>
      <w:r w:rsidRPr="00950AF7">
        <w:t>The Monte Carlo simulation model developed for this study demonstrates that SEVM can be implemented with modest computational requirements (under one second per 10,000-iteration simulation) using standard tools (Python, NumPy, SciPy), making it accessible to any EPC organization with basic data analytics capabilities.</w:t>
      </w:r>
    </w:p>
    <w:p w14:paraId="777B901E" w14:textId="77777777" w:rsidR="00EF2EB6" w:rsidRPr="00950AF7" w:rsidRDefault="00000000" w:rsidP="00950AF7">
      <w:pPr>
        <w:spacing w:after="120" w:line="360" w:lineRule="auto"/>
        <w:jc w:val="both"/>
      </w:pPr>
      <w:r w:rsidRPr="00950AF7">
        <w:rPr>
          <w:b/>
          <w:bCs/>
        </w:rPr>
        <w:t xml:space="preserve">Practical Contribution: </w:t>
      </w:r>
      <w:r w:rsidRPr="00950AF7">
        <w:t>The five managerial recommendations, SWOT analysis, and four-phase implementation roadmap provide EPC organizations with actionable guidance for SEVM adoption. The three-level reporting framework (P50, P80, P90) offers a practical template for stakeholder communication that balances information richness with interpretability.</w:t>
      </w:r>
    </w:p>
    <w:p w14:paraId="5A54CD00" w14:textId="77777777" w:rsidR="00EF2EB6" w:rsidRPr="00950AF7" w:rsidRDefault="00000000" w:rsidP="00950AF7">
      <w:pPr>
        <w:spacing w:after="120" w:line="360" w:lineRule="auto"/>
        <w:jc w:val="both"/>
      </w:pPr>
      <w:r w:rsidRPr="00950AF7">
        <w:t>A personal lesson learned through this research process is the importance of approaching new methodologies with a balanced perspective. While the initial expectation was that SEVM would universally outperform deterministic EVM, the empirical reality proved more nuanced, ultimately leading to more valuable and credible recommendations for practice.</w:t>
      </w:r>
    </w:p>
    <w:p w14:paraId="02496DD1" w14:textId="77777777" w:rsidR="00EF2EB6" w:rsidRPr="00950AF7" w:rsidRDefault="00EF2EB6" w:rsidP="00950AF7">
      <w:pPr>
        <w:spacing w:after="120" w:line="360" w:lineRule="auto"/>
        <w:jc w:val="both"/>
      </w:pPr>
    </w:p>
    <w:p w14:paraId="5606A538" w14:textId="77777777" w:rsidR="00EF2EB6" w:rsidRPr="00950AF7" w:rsidRDefault="00000000" w:rsidP="00950AF7">
      <w:pPr>
        <w:pStyle w:val="Heading2"/>
        <w:spacing w:after="120"/>
        <w:jc w:val="both"/>
        <w:rPr>
          <w:color w:val="auto"/>
          <w:sz w:val="24"/>
          <w:szCs w:val="24"/>
        </w:rPr>
      </w:pPr>
      <w:bookmarkStart w:id="86" w:name="_Toc222201130"/>
      <w:r w:rsidRPr="00950AF7">
        <w:rPr>
          <w:color w:val="auto"/>
          <w:sz w:val="24"/>
          <w:szCs w:val="24"/>
        </w:rPr>
        <w:t>Limitations and Future Research Directions</w:t>
      </w:r>
      <w:bookmarkEnd w:id="86"/>
    </w:p>
    <w:p w14:paraId="57FD3B53" w14:textId="77777777" w:rsidR="00EF2EB6" w:rsidRPr="00950AF7" w:rsidRDefault="00000000" w:rsidP="00950AF7">
      <w:pPr>
        <w:spacing w:after="120" w:line="360" w:lineRule="auto"/>
        <w:jc w:val="both"/>
      </w:pPr>
      <w:r w:rsidRPr="00950AF7">
        <w:t xml:space="preserve">We acknowledge several limitations of this study. First, the project data used in our analysis, while based on realistic EPC performance patterns, was generated using parametric models </w:t>
      </w:r>
      <w:r w:rsidRPr="00950AF7">
        <w:lastRenderedPageBreak/>
        <w:t>rather than collected from specific organizational records. Future research should validate these findings using proprietary project data from specific EPC organizations.</w:t>
      </w:r>
    </w:p>
    <w:p w14:paraId="28D9B1CD" w14:textId="77777777" w:rsidR="00EF2EB6" w:rsidRPr="00950AF7" w:rsidRDefault="00000000" w:rsidP="00950AF7">
      <w:pPr>
        <w:spacing w:after="120" w:line="360" w:lineRule="auto"/>
        <w:jc w:val="both"/>
      </w:pPr>
      <w:r w:rsidRPr="00950AF7">
        <w:t>Second, our Monte Carlo model assumes independence between CPI and SPI values within each simulation iteration. In practice, cost and schedule performance are often correlated in EPC projects, and incorporating correlation structures into the simulation model could improve forecast accuracy.</w:t>
      </w:r>
    </w:p>
    <w:p w14:paraId="4286C65C" w14:textId="77777777" w:rsidR="00EF2EB6" w:rsidRPr="00950AF7" w:rsidRDefault="00000000" w:rsidP="00950AF7">
      <w:pPr>
        <w:spacing w:after="120" w:line="360" w:lineRule="auto"/>
        <w:jc w:val="both"/>
      </w:pPr>
      <w:r w:rsidRPr="00950AF7">
        <w:t>Third, the static distribution fitting approach does not account for the potential evolution of CPI and SPI distributions over the project lifecycle. Dynamic SEVM approaches that update distribution parameters in real time as new data becomes available, as proposed by Acebes et al. (2015), represent a promising avenue for future investigation.</w:t>
      </w:r>
    </w:p>
    <w:p w14:paraId="47749CCD" w14:textId="77777777" w:rsidR="00EF2EB6" w:rsidRPr="00950AF7" w:rsidRDefault="00000000" w:rsidP="00950AF7">
      <w:pPr>
        <w:spacing w:after="120" w:line="360" w:lineRule="auto"/>
        <w:jc w:val="both"/>
      </w:pPr>
      <w:r w:rsidRPr="00950AF7">
        <w:t>Fourth, this study focused exclusively on quantitative forecasting and did not investigate the behavioral and organizational aspects of SEVM adoption. Qualitative research exploring how project managers interpret and act upon probabilistic forecasts would provide important complementary insights.</w:t>
      </w:r>
    </w:p>
    <w:p w14:paraId="5FB03518" w14:textId="77777777" w:rsidR="00EF2EB6" w:rsidRPr="00950AF7" w:rsidRDefault="00000000" w:rsidP="00950AF7">
      <w:pPr>
        <w:spacing w:after="120" w:line="360" w:lineRule="auto"/>
        <w:jc w:val="both"/>
      </w:pPr>
      <w:r w:rsidRPr="00950AF7">
        <w:t>Finally, the extension of SEVM to incorporate machine learning techniques for adaptive distribution fitting and anomaly detection represents an exciting frontier for future research that could further enhance the practical value of stochastic project control methods.</w:t>
      </w:r>
    </w:p>
    <w:p w14:paraId="05F1C4A5" w14:textId="77777777" w:rsidR="00EF2EB6" w:rsidRPr="00950AF7" w:rsidRDefault="00000000" w:rsidP="00950AF7">
      <w:pPr>
        <w:spacing w:line="360" w:lineRule="auto"/>
        <w:jc w:val="both"/>
      </w:pPr>
      <w:r w:rsidRPr="00950AF7">
        <w:br w:type="page"/>
      </w:r>
    </w:p>
    <w:p w14:paraId="2711A923" w14:textId="77777777" w:rsidR="00EF2EB6" w:rsidRPr="00950AF7" w:rsidRDefault="00000000" w:rsidP="00950AF7">
      <w:pPr>
        <w:pStyle w:val="Heading1"/>
        <w:spacing w:after="120"/>
        <w:jc w:val="both"/>
        <w:rPr>
          <w:color w:val="auto"/>
          <w:sz w:val="24"/>
          <w:szCs w:val="24"/>
        </w:rPr>
      </w:pPr>
      <w:bookmarkStart w:id="87" w:name="_Toc222201131"/>
      <w:r w:rsidRPr="00950AF7">
        <w:rPr>
          <w:color w:val="auto"/>
          <w:sz w:val="24"/>
          <w:szCs w:val="24"/>
        </w:rPr>
        <w:lastRenderedPageBreak/>
        <w:t>Bibliography</w:t>
      </w:r>
      <w:bookmarkEnd w:id="87"/>
    </w:p>
    <w:p w14:paraId="6B926A38" w14:textId="77777777" w:rsidR="00EF2EB6" w:rsidRPr="00950AF7" w:rsidRDefault="00EF2EB6" w:rsidP="00950AF7">
      <w:pPr>
        <w:spacing w:after="120" w:line="360" w:lineRule="auto"/>
        <w:jc w:val="both"/>
      </w:pPr>
    </w:p>
    <w:p w14:paraId="6B01E39F" w14:textId="77777777" w:rsidR="00EF2EB6" w:rsidRPr="00950AF7" w:rsidRDefault="00000000" w:rsidP="00950AF7">
      <w:pPr>
        <w:spacing w:after="100" w:line="360" w:lineRule="auto"/>
        <w:ind w:left="720" w:hanging="720"/>
        <w:jc w:val="both"/>
      </w:pPr>
      <w:r w:rsidRPr="00950AF7">
        <w:t>Acebes, F., Pajares, J., Galán, J.M., &amp; López-Paredes, A. (2014). A new approach for project control under uncertainty: Going back to the basics. International Journal of Project Management, 32(3), 423-434.</w:t>
      </w:r>
    </w:p>
    <w:p w14:paraId="42863F93" w14:textId="77777777" w:rsidR="00EF2EB6" w:rsidRPr="00950AF7" w:rsidRDefault="00000000" w:rsidP="00950AF7">
      <w:pPr>
        <w:spacing w:after="100" w:line="360" w:lineRule="auto"/>
        <w:ind w:left="720" w:hanging="720"/>
        <w:jc w:val="both"/>
      </w:pPr>
      <w:r w:rsidRPr="00950AF7">
        <w:t>Acebes, F., Pajares, J., Galán, J.M., &amp; López-Paredes, A. (2015). Stochastic earned value analysis using Monte Carlo simulation and statistical learning techniques. International Journal of Project Management, 33(7), 1597-1609.</w:t>
      </w:r>
    </w:p>
    <w:p w14:paraId="3341CB23" w14:textId="77777777" w:rsidR="00EF2EB6" w:rsidRPr="00950AF7" w:rsidRDefault="00000000" w:rsidP="00950AF7">
      <w:pPr>
        <w:spacing w:after="100" w:line="360" w:lineRule="auto"/>
        <w:ind w:left="720" w:hanging="720"/>
        <w:jc w:val="both"/>
      </w:pPr>
      <w:r w:rsidRPr="00950AF7">
        <w:t>Anbari, F.T. (2003). Earned value project management method and extensions. Project Management Journal, 34(4), 12-23.</w:t>
      </w:r>
    </w:p>
    <w:p w14:paraId="7E1AC44B" w14:textId="77777777" w:rsidR="00EF2EB6" w:rsidRPr="00950AF7" w:rsidRDefault="00000000" w:rsidP="00950AF7">
      <w:pPr>
        <w:spacing w:after="100" w:line="360" w:lineRule="auto"/>
        <w:ind w:left="720" w:hanging="720"/>
        <w:jc w:val="both"/>
      </w:pPr>
      <w:r w:rsidRPr="00950AF7">
        <w:t>Barraza, G.A. (2011). Probabilistic estimation and allocation of project time contingency. Journal of Construction Engineering and Management, 137(4), 259-265.</w:t>
      </w:r>
    </w:p>
    <w:p w14:paraId="63E9757E" w14:textId="77777777" w:rsidR="00EF2EB6" w:rsidRPr="00950AF7" w:rsidRDefault="00000000" w:rsidP="00950AF7">
      <w:pPr>
        <w:spacing w:after="100" w:line="360" w:lineRule="auto"/>
        <w:ind w:left="720" w:hanging="720"/>
        <w:jc w:val="both"/>
      </w:pPr>
      <w:r w:rsidRPr="00950AF7">
        <w:t>Batselier, J. &amp; Vanhoucke, M. (2017). Improving project forecast accuracy by integrating earned value management with exponential smoothing and reference class forecasting. International Journal of Project Management, 35(1), 28-43.</w:t>
      </w:r>
    </w:p>
    <w:p w14:paraId="0E4D538B" w14:textId="77777777" w:rsidR="00EF2EB6" w:rsidRPr="00950AF7" w:rsidRDefault="00000000" w:rsidP="00950AF7">
      <w:pPr>
        <w:spacing w:after="100" w:line="360" w:lineRule="auto"/>
        <w:ind w:left="720" w:hanging="720"/>
        <w:jc w:val="both"/>
      </w:pPr>
      <w:r w:rsidRPr="00950AF7">
        <w:t>Chen, H.L., Chen, W.T., &amp; Lin, Y.L. (2016). Earned value project management: Improving the predictive power of planned value. International Journal of Project Management, 34(1), 22-29.</w:t>
      </w:r>
    </w:p>
    <w:p w14:paraId="478ABD22" w14:textId="77777777" w:rsidR="00EF2EB6" w:rsidRPr="00950AF7" w:rsidRDefault="00000000" w:rsidP="00950AF7">
      <w:pPr>
        <w:spacing w:after="100" w:line="360" w:lineRule="auto"/>
        <w:ind w:left="720" w:hanging="720"/>
        <w:jc w:val="both"/>
      </w:pPr>
      <w:r w:rsidRPr="00950AF7">
        <w:t>Christensen, D.S. (1993). Determining an accurate estimate at completion. National Contract Management Journal, 25(1), 17-25.</w:t>
      </w:r>
    </w:p>
    <w:p w14:paraId="30869FB0" w14:textId="77777777" w:rsidR="00EF2EB6" w:rsidRPr="00950AF7" w:rsidRDefault="00000000" w:rsidP="00950AF7">
      <w:pPr>
        <w:spacing w:after="100" w:line="360" w:lineRule="auto"/>
        <w:ind w:left="720" w:hanging="720"/>
        <w:jc w:val="both"/>
      </w:pPr>
      <w:r w:rsidRPr="00950AF7">
        <w:t>Christensen, D.S. (1998). The costs and benefits of the earned value management process. Acquisition Review Quarterly, 5(4), 373-386.</w:t>
      </w:r>
    </w:p>
    <w:p w14:paraId="37A8F0B7" w14:textId="77777777" w:rsidR="00EF2EB6" w:rsidRPr="00950AF7" w:rsidRDefault="00000000" w:rsidP="00950AF7">
      <w:pPr>
        <w:spacing w:after="100" w:line="360" w:lineRule="auto"/>
        <w:ind w:left="720" w:hanging="720"/>
        <w:jc w:val="both"/>
      </w:pPr>
      <w:r w:rsidRPr="00950AF7">
        <w:t>De Marco, A. &amp; Narbaev, T. (2013). Earned value-based performance monitoring of facility construction projects. Journal of Facilities Management, 11(1), 69-80.</w:t>
      </w:r>
    </w:p>
    <w:p w14:paraId="672764C9" w14:textId="77777777" w:rsidR="00EF2EB6" w:rsidRPr="00950AF7" w:rsidRDefault="00000000" w:rsidP="00950AF7">
      <w:pPr>
        <w:spacing w:after="100" w:line="360" w:lineRule="auto"/>
        <w:ind w:left="720" w:hanging="720"/>
        <w:jc w:val="both"/>
      </w:pPr>
      <w:r w:rsidRPr="00950AF7">
        <w:t>Ernst &amp; Young. (2014). Spotlight on oil and gas megaprojects. EY Global Oil &amp; Gas Center Report.</w:t>
      </w:r>
    </w:p>
    <w:p w14:paraId="6D5257B9" w14:textId="77777777" w:rsidR="00EF2EB6" w:rsidRPr="00950AF7" w:rsidRDefault="00000000" w:rsidP="00950AF7">
      <w:pPr>
        <w:spacing w:after="100" w:line="360" w:lineRule="auto"/>
        <w:ind w:left="720" w:hanging="720"/>
        <w:jc w:val="both"/>
      </w:pPr>
      <w:r w:rsidRPr="00950AF7">
        <w:t>Fleming, Q.W. &amp; Koppelman, J.M. (2010). Earned Value Project Management (4th ed.). Newtown Square, PA: Project Management Institute.</w:t>
      </w:r>
    </w:p>
    <w:p w14:paraId="0AFC32D8" w14:textId="77777777" w:rsidR="00EF2EB6" w:rsidRPr="00950AF7" w:rsidRDefault="00000000" w:rsidP="00950AF7">
      <w:pPr>
        <w:spacing w:after="100" w:line="360" w:lineRule="auto"/>
        <w:ind w:left="720" w:hanging="720"/>
        <w:jc w:val="both"/>
      </w:pPr>
      <w:r w:rsidRPr="00950AF7">
        <w:t>Flyvbjerg, B., Holm, M.S., &amp; Buhl, S. (2003). How common and how large are cost overruns in transport infrastructure projects? Transport Reviews, 23(1), 71-88.</w:t>
      </w:r>
    </w:p>
    <w:p w14:paraId="08374BD5" w14:textId="77777777" w:rsidR="00EF2EB6" w:rsidRPr="00950AF7" w:rsidRDefault="00000000" w:rsidP="00950AF7">
      <w:pPr>
        <w:spacing w:after="100" w:line="360" w:lineRule="auto"/>
        <w:ind w:left="720" w:hanging="720"/>
        <w:jc w:val="both"/>
      </w:pPr>
      <w:r w:rsidRPr="00950AF7">
        <w:lastRenderedPageBreak/>
        <w:t>Hulett, D.T. (2009). Practical Schedule Risk Analysis. Farnham, UK: Gower Publishing.</w:t>
      </w:r>
    </w:p>
    <w:p w14:paraId="4C64E92B" w14:textId="77777777" w:rsidR="00EF2EB6" w:rsidRPr="00950AF7" w:rsidRDefault="00000000" w:rsidP="00950AF7">
      <w:pPr>
        <w:spacing w:after="100" w:line="360" w:lineRule="auto"/>
        <w:ind w:left="720" w:hanging="720"/>
        <w:jc w:val="both"/>
      </w:pPr>
      <w:r w:rsidRPr="00950AF7">
        <w:t>International Energy Agency. (2020). World Energy Outlook 2020. Paris: IEA Publications.</w:t>
      </w:r>
    </w:p>
    <w:p w14:paraId="5651F8B4" w14:textId="77777777" w:rsidR="00EF2EB6" w:rsidRPr="00950AF7" w:rsidRDefault="00000000" w:rsidP="00950AF7">
      <w:pPr>
        <w:spacing w:after="100" w:line="360" w:lineRule="auto"/>
        <w:ind w:left="720" w:hanging="720"/>
        <w:jc w:val="both"/>
      </w:pPr>
      <w:r w:rsidRPr="00950AF7">
        <w:t>Kim, E., Wells, W.G., &amp; Duffey, M.R. (2003). A model for effective implementation of earned value management methodology. International Journal of Project Management, 21(5), 375-382.</w:t>
      </w:r>
    </w:p>
    <w:p w14:paraId="21BEE251" w14:textId="77777777" w:rsidR="00EF2EB6" w:rsidRPr="00950AF7" w:rsidRDefault="00000000" w:rsidP="00950AF7">
      <w:pPr>
        <w:spacing w:after="100" w:line="360" w:lineRule="auto"/>
        <w:ind w:left="720" w:hanging="720"/>
        <w:jc w:val="both"/>
      </w:pPr>
      <w:r w:rsidRPr="00950AF7">
        <w:t>Lipke, W. (2003). Schedule is different. The Measurable News, March, 31-34.</w:t>
      </w:r>
    </w:p>
    <w:p w14:paraId="32FCF77F" w14:textId="77777777" w:rsidR="00EF2EB6" w:rsidRPr="00950AF7" w:rsidRDefault="00000000" w:rsidP="00950AF7">
      <w:pPr>
        <w:spacing w:after="100" w:line="360" w:lineRule="auto"/>
        <w:ind w:left="720" w:hanging="720"/>
        <w:jc w:val="both"/>
      </w:pPr>
      <w:r w:rsidRPr="00950AF7">
        <w:t>Lipke, W. (2006). Earned schedule overview. PM World Today, 8(11), 1-13.</w:t>
      </w:r>
    </w:p>
    <w:p w14:paraId="2DAF9436" w14:textId="77777777" w:rsidR="00EF2EB6" w:rsidRPr="00950AF7" w:rsidRDefault="00000000" w:rsidP="00950AF7">
      <w:pPr>
        <w:spacing w:after="100" w:line="360" w:lineRule="auto"/>
        <w:ind w:left="720" w:hanging="720"/>
        <w:jc w:val="both"/>
      </w:pPr>
      <w:r w:rsidRPr="00950AF7">
        <w:t>Lipke, W. (2009). Earned Schedule. Raleigh, NC: Lulu Publishing.</w:t>
      </w:r>
    </w:p>
    <w:p w14:paraId="43D5A3A0" w14:textId="77777777" w:rsidR="00EF2EB6" w:rsidRPr="00950AF7" w:rsidRDefault="00000000" w:rsidP="00950AF7">
      <w:pPr>
        <w:spacing w:after="100" w:line="360" w:lineRule="auto"/>
        <w:ind w:left="720" w:hanging="720"/>
        <w:jc w:val="both"/>
      </w:pPr>
      <w:r w:rsidRPr="00950AF7">
        <w:t>Lipke, W. (2012). Earned schedule application to small projects. The Measurable News, 2, 20-28.</w:t>
      </w:r>
    </w:p>
    <w:p w14:paraId="75F2F9F4" w14:textId="77777777" w:rsidR="00EF2EB6" w:rsidRPr="00950AF7" w:rsidRDefault="00000000" w:rsidP="00950AF7">
      <w:pPr>
        <w:spacing w:after="100" w:line="360" w:lineRule="auto"/>
        <w:ind w:left="720" w:hanging="720"/>
        <w:jc w:val="both"/>
      </w:pPr>
      <w:r w:rsidRPr="00950AF7">
        <w:t>Merrow, E.W. (2011). Industrial Megaprojects: Concepts, Strategies, and Practices for Success. Hoboken, NJ: John Wiley &amp; Sons.</w:t>
      </w:r>
    </w:p>
    <w:p w14:paraId="056BF4C3" w14:textId="77777777" w:rsidR="00EF2EB6" w:rsidRPr="00950AF7" w:rsidRDefault="00000000" w:rsidP="00950AF7">
      <w:pPr>
        <w:spacing w:after="100" w:line="360" w:lineRule="auto"/>
        <w:ind w:left="720" w:hanging="720"/>
        <w:jc w:val="both"/>
      </w:pPr>
      <w:r w:rsidRPr="00950AF7">
        <w:t>Metropolis, N. &amp; Ulam, S. (1949). The Monte Carlo method. Journal of the American Statistical Association, 44(247), 335-341.</w:t>
      </w:r>
    </w:p>
    <w:p w14:paraId="19999EB4" w14:textId="77777777" w:rsidR="00EF2EB6" w:rsidRPr="00950AF7" w:rsidRDefault="00000000" w:rsidP="00950AF7">
      <w:pPr>
        <w:spacing w:after="100" w:line="360" w:lineRule="auto"/>
        <w:ind w:left="720" w:hanging="720"/>
        <w:jc w:val="both"/>
      </w:pPr>
      <w:r w:rsidRPr="00950AF7">
        <w:rPr>
          <w:lang w:val="it-IT"/>
        </w:rPr>
        <w:t xml:space="preserve">Narbaev, T. &amp; De Marco, A. (2014). </w:t>
      </w:r>
      <w:r w:rsidRPr="00950AF7">
        <w:t>An earned schedule-based regression model to improve cost estimate at completion. International Journal of Project Management, 32(6), 1007-1018.</w:t>
      </w:r>
    </w:p>
    <w:p w14:paraId="356A2C45" w14:textId="77777777" w:rsidR="00EF2EB6" w:rsidRPr="00950AF7" w:rsidRDefault="00000000" w:rsidP="00950AF7">
      <w:pPr>
        <w:spacing w:after="100" w:line="360" w:lineRule="auto"/>
        <w:ind w:left="720" w:hanging="720"/>
        <w:jc w:val="both"/>
      </w:pPr>
      <w:r w:rsidRPr="00950AF7">
        <w:t>Pajares, J. &amp; López-Paredes, A. (2011). An extension of the EVM analysis for project monitoring: The cost control index and the schedule control index. International Journal of Project Management, 29(5), 615-621.</w:t>
      </w:r>
    </w:p>
    <w:p w14:paraId="4531147B" w14:textId="77777777" w:rsidR="00EF2EB6" w:rsidRPr="00950AF7" w:rsidRDefault="00000000" w:rsidP="00950AF7">
      <w:pPr>
        <w:spacing w:after="100" w:line="360" w:lineRule="auto"/>
        <w:ind w:left="720" w:hanging="720"/>
        <w:jc w:val="both"/>
      </w:pPr>
      <w:r w:rsidRPr="00950AF7">
        <w:t>Project Management Institute. (2009). Practice Standard for Project Risk Management. Newtown Square, PA: PMI.</w:t>
      </w:r>
    </w:p>
    <w:p w14:paraId="06EB7C1E" w14:textId="77777777" w:rsidR="00EF2EB6" w:rsidRPr="00950AF7" w:rsidRDefault="00000000" w:rsidP="00950AF7">
      <w:pPr>
        <w:spacing w:after="100" w:line="360" w:lineRule="auto"/>
        <w:ind w:left="720" w:hanging="720"/>
        <w:jc w:val="both"/>
      </w:pPr>
      <w:r w:rsidRPr="00950AF7">
        <w:t>Project Management Institute. (2011). Practice Standard for Earned Value Management (2nd ed.). Newtown Square, PA: PMI.</w:t>
      </w:r>
    </w:p>
    <w:p w14:paraId="13053EAD" w14:textId="77777777" w:rsidR="00EF2EB6" w:rsidRPr="00950AF7" w:rsidRDefault="00000000" w:rsidP="00950AF7">
      <w:pPr>
        <w:spacing w:after="100" w:line="360" w:lineRule="auto"/>
        <w:ind w:left="720" w:hanging="720"/>
        <w:jc w:val="both"/>
      </w:pPr>
      <w:r w:rsidRPr="00950AF7">
        <w:t>Project Management Institute. (2021). A Guide to the Project Management Body of Knowledge (PMBOK Guide) (7th ed.). Newtown Square, PA: PMI.</w:t>
      </w:r>
    </w:p>
    <w:p w14:paraId="4B423A07" w14:textId="77777777" w:rsidR="00EF2EB6" w:rsidRPr="00950AF7" w:rsidRDefault="00000000" w:rsidP="00950AF7">
      <w:pPr>
        <w:spacing w:after="100" w:line="360" w:lineRule="auto"/>
        <w:ind w:left="720" w:hanging="720"/>
        <w:jc w:val="both"/>
      </w:pPr>
      <w:r w:rsidRPr="00950AF7">
        <w:t>Rubinstein, R.Y. &amp; Kroese, D.P. (2016). Simulation and the Monte Carlo Method (3rd ed.). Hoboken, NJ: John Wiley &amp; Sons.</w:t>
      </w:r>
    </w:p>
    <w:p w14:paraId="46B90DD0" w14:textId="77777777" w:rsidR="00EF2EB6" w:rsidRPr="00950AF7" w:rsidRDefault="00000000" w:rsidP="00950AF7">
      <w:pPr>
        <w:spacing w:after="100" w:line="360" w:lineRule="auto"/>
        <w:ind w:left="720" w:hanging="720"/>
        <w:jc w:val="both"/>
      </w:pPr>
      <w:r w:rsidRPr="00950AF7">
        <w:lastRenderedPageBreak/>
        <w:t>Schatteman, D., Herroelen, W., De Vonder, S., &amp; Boone, A. (2008). Methodology for integrated risk management and proactive scheduling of construction projects. Journal of Construction Engineering and Management, 134(11), 885-893.</w:t>
      </w:r>
    </w:p>
    <w:p w14:paraId="4453B449" w14:textId="77777777" w:rsidR="00EF2EB6" w:rsidRPr="00950AF7" w:rsidRDefault="00000000" w:rsidP="00950AF7">
      <w:pPr>
        <w:spacing w:after="100" w:line="360" w:lineRule="auto"/>
        <w:ind w:left="720" w:hanging="720"/>
        <w:jc w:val="both"/>
      </w:pPr>
      <w:r w:rsidRPr="00950AF7">
        <w:t>Vanhoucke, M. (2018). The Data-Driven Project Manager: A Statistical Battle Against Project Obstacles. New York: Apress.</w:t>
      </w:r>
    </w:p>
    <w:p w14:paraId="5A38388C" w14:textId="77777777" w:rsidR="00EF2EB6" w:rsidRPr="00950AF7" w:rsidRDefault="00000000" w:rsidP="00950AF7">
      <w:pPr>
        <w:spacing w:after="100" w:line="360" w:lineRule="auto"/>
        <w:ind w:left="720" w:hanging="720"/>
        <w:jc w:val="both"/>
      </w:pPr>
      <w:r w:rsidRPr="00950AF7">
        <w:t>Vanhoucke, M. &amp; Vandevoorde, S. (2007). A simulation and evaluation of earned value metrics to forecast the project duration. Journal of the Operational Research Society, 58(10), 1361-1374.</w:t>
      </w:r>
    </w:p>
    <w:p w14:paraId="39DE3F82" w14:textId="77777777" w:rsidR="00EF2EB6" w:rsidRPr="00950AF7" w:rsidRDefault="00000000" w:rsidP="00950AF7">
      <w:pPr>
        <w:spacing w:after="100" w:line="360" w:lineRule="auto"/>
        <w:ind w:left="720" w:hanging="720"/>
        <w:jc w:val="both"/>
      </w:pPr>
      <w:r w:rsidRPr="00950AF7">
        <w:t>Vose, D. (2008). Risk Analysis: A Quantitative Guide (3rd ed.). Chichester, UK: John Wiley &amp; Sons.</w:t>
      </w:r>
    </w:p>
    <w:p w14:paraId="1E37203E" w14:textId="77777777" w:rsidR="00EF2EB6" w:rsidRPr="00950AF7" w:rsidRDefault="00000000" w:rsidP="00950AF7">
      <w:pPr>
        <w:spacing w:after="100" w:line="360" w:lineRule="auto"/>
        <w:ind w:left="720" w:hanging="720"/>
        <w:jc w:val="both"/>
      </w:pPr>
      <w:r w:rsidRPr="00950AF7">
        <w:t>Warburton, R.D.H. (2011). A time-dependent earned value model for software projects. International Journal of Project Management, 29(8), 1082-1090.</w:t>
      </w:r>
    </w:p>
    <w:p w14:paraId="43DC9EF9" w14:textId="77777777" w:rsidR="00EF2EB6" w:rsidRPr="00950AF7" w:rsidRDefault="00000000" w:rsidP="00950AF7">
      <w:pPr>
        <w:spacing w:after="100" w:line="360" w:lineRule="auto"/>
        <w:ind w:left="720" w:hanging="720"/>
        <w:jc w:val="both"/>
      </w:pPr>
      <w:r w:rsidRPr="00950AF7">
        <w:t>Zwikael, O., Globerson, S., &amp; Raz, T. (2000). Evaluation of models for forecasting the final cost of a project. Project Management Journal, 31(1), 53-57.</w:t>
      </w:r>
    </w:p>
    <w:p w14:paraId="01CB95FF" w14:textId="77777777" w:rsidR="00EF2EB6" w:rsidRPr="00950AF7" w:rsidRDefault="00000000" w:rsidP="00950AF7">
      <w:pPr>
        <w:spacing w:line="360" w:lineRule="auto"/>
        <w:jc w:val="both"/>
      </w:pPr>
      <w:r w:rsidRPr="00950AF7">
        <w:br w:type="page"/>
      </w:r>
    </w:p>
    <w:p w14:paraId="7A45FB73" w14:textId="77777777" w:rsidR="00EF2EB6" w:rsidRPr="00950AF7" w:rsidRDefault="00000000" w:rsidP="00950AF7">
      <w:pPr>
        <w:pStyle w:val="Heading1"/>
        <w:spacing w:after="120"/>
        <w:jc w:val="both"/>
        <w:rPr>
          <w:color w:val="auto"/>
          <w:sz w:val="24"/>
          <w:szCs w:val="24"/>
        </w:rPr>
      </w:pPr>
      <w:bookmarkStart w:id="88" w:name="_Toc222201132"/>
      <w:r w:rsidRPr="00950AF7">
        <w:rPr>
          <w:color w:val="auto"/>
          <w:sz w:val="24"/>
          <w:szCs w:val="24"/>
        </w:rPr>
        <w:lastRenderedPageBreak/>
        <w:t>Appendices</w:t>
      </w:r>
      <w:bookmarkEnd w:id="88"/>
    </w:p>
    <w:p w14:paraId="69CC643C" w14:textId="77777777" w:rsidR="00EF2EB6" w:rsidRPr="00950AF7" w:rsidRDefault="00EF2EB6" w:rsidP="00950AF7">
      <w:pPr>
        <w:spacing w:after="120" w:line="360" w:lineRule="auto"/>
        <w:jc w:val="both"/>
      </w:pPr>
    </w:p>
    <w:p w14:paraId="612E537F" w14:textId="77777777" w:rsidR="00EF2EB6" w:rsidRPr="00950AF7" w:rsidRDefault="00000000" w:rsidP="00950AF7">
      <w:pPr>
        <w:pStyle w:val="Heading2"/>
        <w:spacing w:after="120"/>
        <w:jc w:val="both"/>
        <w:rPr>
          <w:color w:val="auto"/>
          <w:sz w:val="24"/>
          <w:szCs w:val="24"/>
        </w:rPr>
      </w:pPr>
      <w:bookmarkStart w:id="89" w:name="_Toc222201133"/>
      <w:r w:rsidRPr="00950AF7">
        <w:rPr>
          <w:color w:val="auto"/>
          <w:sz w:val="24"/>
          <w:szCs w:val="24"/>
        </w:rPr>
        <w:t>Appendix A: Monte Carlo Simulation Python Code</w:t>
      </w:r>
      <w:bookmarkEnd w:id="89"/>
    </w:p>
    <w:p w14:paraId="49461916" w14:textId="77777777" w:rsidR="00EF2EB6" w:rsidRPr="00950AF7" w:rsidRDefault="00000000" w:rsidP="00950AF7">
      <w:pPr>
        <w:spacing w:after="120" w:line="360" w:lineRule="auto"/>
        <w:jc w:val="both"/>
      </w:pPr>
      <w:r w:rsidRPr="00950AF7">
        <w:t>The complete Python simulation code used to generate all results presented in Chapter 4 is provided in the accompanying file sevm_simulation.py. The code is implemented using Python 3.10 with the following dependencies: NumPy 1.24 (numerical computation), SciPy 1.11 (statistical distribution fitting and hypothesis testing), Matplotlib 3.7 (chart generation), and Pandas 2.0 (data management). The simulation can be executed using the command: python sevm_simulation.py</w:t>
      </w:r>
    </w:p>
    <w:p w14:paraId="213D34B0" w14:textId="77777777" w:rsidR="00EF2EB6" w:rsidRPr="00950AF7" w:rsidRDefault="00EF2EB6" w:rsidP="00950AF7">
      <w:pPr>
        <w:spacing w:after="120" w:line="360" w:lineRule="auto"/>
        <w:jc w:val="both"/>
      </w:pPr>
    </w:p>
    <w:p w14:paraId="441B19A8" w14:textId="77777777" w:rsidR="00EF2EB6" w:rsidRPr="00950AF7" w:rsidRDefault="00000000" w:rsidP="00950AF7">
      <w:pPr>
        <w:spacing w:after="120" w:line="360" w:lineRule="auto"/>
        <w:jc w:val="both"/>
      </w:pPr>
      <w:r w:rsidRPr="00950AF7">
        <w:t>The code is organized into six modules: (1) project data generation with realistic EPC performance patterns, (2) period-level CPI and SPI calculation, (3) probability distribution fitting using maximum likelihood estimation, (4) Monte Carlo simulation engine with 10,000 iterations per forecast point, (5) accuracy metric computation (MAPE, MPE, calibration scores), and (6) publication-quality chart generation. All random number generation uses seeded values to ensure reproducibility.</w:t>
      </w:r>
    </w:p>
    <w:p w14:paraId="5EB41414" w14:textId="77777777" w:rsidR="00EF2EB6" w:rsidRPr="00950AF7" w:rsidRDefault="00EF2EB6" w:rsidP="00950AF7">
      <w:pPr>
        <w:spacing w:after="120" w:line="360" w:lineRule="auto"/>
        <w:jc w:val="both"/>
      </w:pPr>
    </w:p>
    <w:p w14:paraId="3D731922" w14:textId="77777777" w:rsidR="00EF2EB6" w:rsidRPr="00950AF7" w:rsidRDefault="00000000" w:rsidP="00950AF7">
      <w:pPr>
        <w:pStyle w:val="Heading2"/>
        <w:spacing w:after="120"/>
        <w:jc w:val="both"/>
        <w:rPr>
          <w:color w:val="auto"/>
          <w:sz w:val="24"/>
          <w:szCs w:val="24"/>
        </w:rPr>
      </w:pPr>
      <w:bookmarkStart w:id="90" w:name="_Toc222201134"/>
      <w:r w:rsidRPr="00950AF7">
        <w:rPr>
          <w:color w:val="auto"/>
          <w:sz w:val="24"/>
          <w:szCs w:val="24"/>
        </w:rPr>
        <w:t>Appendix B: Detailed Simulation Parameters</w:t>
      </w:r>
      <w:bookmarkEnd w:id="90"/>
    </w:p>
    <w:p w14:paraId="03980D57" w14:textId="77777777" w:rsidR="00EF2EB6" w:rsidRPr="00950AF7" w:rsidRDefault="00000000" w:rsidP="00950AF7">
      <w:pPr>
        <w:spacing w:after="120" w:line="360" w:lineRule="auto"/>
        <w:jc w:val="both"/>
      </w:pPr>
      <w:r w:rsidRPr="00950AF7">
        <w:t>The following parameters were used in the Monte Carlo simulation:</w:t>
      </w:r>
    </w:p>
    <w:p w14:paraId="7B4469DD" w14:textId="77777777" w:rsidR="00EF2EB6" w:rsidRPr="00950AF7" w:rsidRDefault="00000000" w:rsidP="00950AF7">
      <w:pPr>
        <w:spacing w:after="120" w:line="360" w:lineRule="auto"/>
        <w:jc w:val="both"/>
      </w:pPr>
      <w:r w:rsidRPr="00950AF7">
        <w:rPr>
          <w:b/>
          <w:bCs/>
        </w:rPr>
        <w:t xml:space="preserve">Number of iterations: </w:t>
      </w:r>
      <w:r w:rsidRPr="00950AF7">
        <w:t>10,000 per forecast point (convergence verified by coefficient of variation &lt; 0.1%)</w:t>
      </w:r>
    </w:p>
    <w:p w14:paraId="0A9E4A62" w14:textId="77777777" w:rsidR="00EF2EB6" w:rsidRPr="00950AF7" w:rsidRDefault="00000000" w:rsidP="00950AF7">
      <w:pPr>
        <w:spacing w:after="120" w:line="360" w:lineRule="auto"/>
        <w:jc w:val="both"/>
      </w:pPr>
      <w:r w:rsidRPr="00950AF7">
        <w:rPr>
          <w:b/>
          <w:bCs/>
        </w:rPr>
        <w:t xml:space="preserve">CPI distribution: </w:t>
      </w:r>
      <w:r w:rsidRPr="00950AF7">
        <w:t>Lognormal (selected by KS test in 10 of 12 projects, p &gt; 0.05)</w:t>
      </w:r>
    </w:p>
    <w:p w14:paraId="75985842" w14:textId="77777777" w:rsidR="00EF2EB6" w:rsidRPr="00950AF7" w:rsidRDefault="00000000" w:rsidP="00950AF7">
      <w:pPr>
        <w:spacing w:after="120" w:line="360" w:lineRule="auto"/>
        <w:jc w:val="both"/>
      </w:pPr>
      <w:r w:rsidRPr="00950AF7">
        <w:rPr>
          <w:b/>
          <w:bCs/>
        </w:rPr>
        <w:t xml:space="preserve">SPI distribution: </w:t>
      </w:r>
      <w:r w:rsidRPr="00950AF7">
        <w:t>Normal (selected by KS test in all 12 projects, p &gt; 0.05)</w:t>
      </w:r>
    </w:p>
    <w:p w14:paraId="707EC0D4" w14:textId="77777777" w:rsidR="00EF2EB6" w:rsidRPr="00950AF7" w:rsidRDefault="00000000" w:rsidP="00950AF7">
      <w:pPr>
        <w:spacing w:after="120" w:line="360" w:lineRule="auto"/>
        <w:jc w:val="both"/>
      </w:pPr>
      <w:r w:rsidRPr="00950AF7">
        <w:rPr>
          <w:b/>
          <w:bCs/>
        </w:rPr>
        <w:t xml:space="preserve">Forecast stages: </w:t>
      </w:r>
      <w:r w:rsidRPr="00950AF7">
        <w:t>Eight stages at 20%, 30%, 40%, 50%, 60%, 70%, 80%, and 90% planned completion</w:t>
      </w:r>
    </w:p>
    <w:p w14:paraId="49B871BC" w14:textId="77777777" w:rsidR="00EF2EB6" w:rsidRPr="00950AF7" w:rsidRDefault="00000000" w:rsidP="00950AF7">
      <w:pPr>
        <w:spacing w:after="120" w:line="360" w:lineRule="auto"/>
        <w:jc w:val="both"/>
      </w:pPr>
      <w:r w:rsidRPr="00950AF7">
        <w:rPr>
          <w:b/>
          <w:bCs/>
        </w:rPr>
        <w:t xml:space="preserve">EAC formula: </w:t>
      </w:r>
      <w:r w:rsidRPr="00950AF7">
        <w:t>EAC(i) = AC + (BAC - EV) / CPI(i) for each iteration i</w:t>
      </w:r>
    </w:p>
    <w:p w14:paraId="43F028B7" w14:textId="77777777" w:rsidR="00EF2EB6" w:rsidRPr="00950AF7" w:rsidRDefault="00000000" w:rsidP="00950AF7">
      <w:pPr>
        <w:spacing w:after="120" w:line="360" w:lineRule="auto"/>
        <w:jc w:val="both"/>
      </w:pPr>
      <w:r w:rsidRPr="00950AF7">
        <w:rPr>
          <w:b/>
          <w:bCs/>
        </w:rPr>
        <w:t xml:space="preserve">Composite EAC: </w:t>
      </w:r>
      <w:r w:rsidRPr="00950AF7">
        <w:t>EAC(i) = AC + (BAC - EV) / (CPI(i) × SPI(i))</w:t>
      </w:r>
    </w:p>
    <w:p w14:paraId="6F56D223" w14:textId="77777777" w:rsidR="00EF2EB6" w:rsidRPr="00950AF7" w:rsidRDefault="00000000" w:rsidP="00950AF7">
      <w:pPr>
        <w:spacing w:after="120" w:line="360" w:lineRule="auto"/>
        <w:jc w:val="both"/>
      </w:pPr>
      <w:r w:rsidRPr="00950AF7">
        <w:rPr>
          <w:b/>
          <w:bCs/>
        </w:rPr>
        <w:t xml:space="preserve">Confidence intervals: </w:t>
      </w:r>
      <w:r w:rsidRPr="00950AF7">
        <w:t>P10, P25, P50 (median), P75, P80, P90 extracted from simulation output distribution</w:t>
      </w:r>
    </w:p>
    <w:p w14:paraId="70C88ADD" w14:textId="77777777" w:rsidR="00EF2EB6" w:rsidRPr="00950AF7" w:rsidRDefault="00000000" w:rsidP="00950AF7">
      <w:pPr>
        <w:spacing w:after="120" w:line="360" w:lineRule="auto"/>
        <w:jc w:val="both"/>
      </w:pPr>
      <w:r w:rsidRPr="00950AF7">
        <w:rPr>
          <w:b/>
          <w:bCs/>
        </w:rPr>
        <w:lastRenderedPageBreak/>
        <w:t xml:space="preserve">Random seed: </w:t>
      </w:r>
      <w:r w:rsidRPr="00950AF7">
        <w:t>42 (for reproducibility)</w:t>
      </w:r>
    </w:p>
    <w:p w14:paraId="58842DC1" w14:textId="77777777" w:rsidR="00EF2EB6" w:rsidRPr="00950AF7" w:rsidRDefault="00EF2EB6" w:rsidP="00950AF7">
      <w:pPr>
        <w:spacing w:after="120" w:line="360" w:lineRule="auto"/>
        <w:jc w:val="both"/>
      </w:pPr>
    </w:p>
    <w:p w14:paraId="61DC2D7D" w14:textId="77777777" w:rsidR="00EF2EB6" w:rsidRPr="00950AF7" w:rsidRDefault="00000000" w:rsidP="00950AF7">
      <w:pPr>
        <w:pStyle w:val="Heading2"/>
        <w:spacing w:after="120"/>
        <w:jc w:val="both"/>
        <w:rPr>
          <w:color w:val="auto"/>
          <w:sz w:val="24"/>
          <w:szCs w:val="24"/>
        </w:rPr>
      </w:pPr>
      <w:bookmarkStart w:id="91" w:name="_Toc222201135"/>
      <w:r w:rsidRPr="00950AF7">
        <w:rPr>
          <w:color w:val="auto"/>
          <w:sz w:val="24"/>
          <w:szCs w:val="24"/>
        </w:rPr>
        <w:t>Appendix C: List of Figures</w:t>
      </w:r>
      <w:bookmarkEnd w:id="91"/>
    </w:p>
    <w:p w14:paraId="56C9EF39" w14:textId="77777777" w:rsidR="00EF2EB6" w:rsidRPr="00950AF7" w:rsidRDefault="00000000" w:rsidP="00950AF7">
      <w:pPr>
        <w:spacing w:after="120" w:line="360" w:lineRule="auto"/>
        <w:jc w:val="both"/>
      </w:pPr>
      <w:r w:rsidRPr="00950AF7">
        <w:t>Figure 1: Conceptual Framework – Relationship between Forecasting Methodology, Moderating Variables, and Forecast Accuracy</w:t>
      </w:r>
    </w:p>
    <w:p w14:paraId="1BEB3D3E" w14:textId="77777777" w:rsidR="00EF2EB6" w:rsidRPr="00950AF7" w:rsidRDefault="00000000" w:rsidP="00950AF7">
      <w:pPr>
        <w:spacing w:after="120" w:line="360" w:lineRule="auto"/>
        <w:jc w:val="both"/>
      </w:pPr>
      <w:r w:rsidRPr="00950AF7">
        <w:t>Figure 2: Forecast Accuracy Comparison by Project Completion Stage</w:t>
      </w:r>
    </w:p>
    <w:p w14:paraId="2A993DB4" w14:textId="77777777" w:rsidR="00EF2EB6" w:rsidRPr="00950AF7" w:rsidRDefault="00000000" w:rsidP="00950AF7">
      <w:pPr>
        <w:spacing w:after="120" w:line="360" w:lineRule="auto"/>
        <w:jc w:val="both"/>
      </w:pPr>
      <w:r w:rsidRPr="00950AF7">
        <w:t>Figure 3: EVM S-Curves with SEVM Probabilistic Forecast (Oil Refinery, BAC = $120M)</w:t>
      </w:r>
    </w:p>
    <w:p w14:paraId="53E0F57C" w14:textId="77777777" w:rsidR="00EF2EB6" w:rsidRPr="00950AF7" w:rsidRDefault="00000000" w:rsidP="00950AF7">
      <w:pPr>
        <w:spacing w:after="120" w:line="360" w:lineRule="auto"/>
        <w:jc w:val="both"/>
      </w:pPr>
      <w:r w:rsidRPr="00950AF7">
        <w:t>Figure 4: Monte Carlo Simulation EAC Probability Distribution (Gas Processing Facility, 50% Completion)</w:t>
      </w:r>
    </w:p>
    <w:p w14:paraId="783680BE" w14:textId="77777777" w:rsidR="00EF2EB6" w:rsidRPr="00950AF7" w:rsidRDefault="00000000" w:rsidP="00950AF7">
      <w:pPr>
        <w:spacing w:after="120" w:line="360" w:lineRule="auto"/>
        <w:jc w:val="both"/>
      </w:pPr>
      <w:r w:rsidRPr="00950AF7">
        <w:t>Figure 5: SEVM Accuracy Advantage by Project Complexity</w:t>
      </w:r>
    </w:p>
    <w:p w14:paraId="5DF5EC09" w14:textId="77777777" w:rsidR="00EF2EB6" w:rsidRPr="00950AF7" w:rsidRDefault="00000000" w:rsidP="00950AF7">
      <w:pPr>
        <w:spacing w:after="120" w:line="360" w:lineRule="auto"/>
        <w:jc w:val="both"/>
      </w:pPr>
      <w:r w:rsidRPr="00950AF7">
        <w:t>Figure 6: Cumulative Distribution Function of SEVM EAC Forecast</w:t>
      </w:r>
    </w:p>
    <w:p w14:paraId="3E6D0E94" w14:textId="77777777" w:rsidR="00EF2EB6" w:rsidRPr="00950AF7" w:rsidRDefault="00000000" w:rsidP="00950AF7">
      <w:pPr>
        <w:spacing w:after="120" w:line="360" w:lineRule="auto"/>
        <w:jc w:val="both"/>
      </w:pPr>
      <w:r w:rsidRPr="00950AF7">
        <w:t>Figure 7: Period CPI Variability Across the Project Lifecycle (Selected Projects)</w:t>
      </w:r>
    </w:p>
    <w:p w14:paraId="78D52086" w14:textId="77777777" w:rsidR="00EF2EB6" w:rsidRPr="00950AF7" w:rsidRDefault="00000000" w:rsidP="00950AF7">
      <w:pPr>
        <w:spacing w:after="120" w:line="360" w:lineRule="auto"/>
        <w:jc w:val="both"/>
      </w:pPr>
      <w:r w:rsidRPr="00950AF7">
        <w:t>Figure 8: SEVM Accuracy Advantage by Project Phase</w:t>
      </w:r>
    </w:p>
    <w:p w14:paraId="234DAFF0" w14:textId="77777777" w:rsidR="00EF2EB6" w:rsidRPr="00950AF7" w:rsidRDefault="00EF2EB6" w:rsidP="00950AF7">
      <w:pPr>
        <w:spacing w:after="120" w:line="360" w:lineRule="auto"/>
        <w:jc w:val="both"/>
      </w:pPr>
    </w:p>
    <w:p w14:paraId="76635C61" w14:textId="77777777" w:rsidR="00EF2EB6" w:rsidRPr="00950AF7" w:rsidRDefault="00000000" w:rsidP="00950AF7">
      <w:pPr>
        <w:pStyle w:val="Heading2"/>
        <w:spacing w:after="120"/>
        <w:jc w:val="both"/>
        <w:rPr>
          <w:color w:val="auto"/>
          <w:sz w:val="24"/>
          <w:szCs w:val="24"/>
        </w:rPr>
      </w:pPr>
      <w:bookmarkStart w:id="92" w:name="_Toc222201136"/>
      <w:r w:rsidRPr="00950AF7">
        <w:rPr>
          <w:color w:val="auto"/>
          <w:sz w:val="24"/>
          <w:szCs w:val="24"/>
        </w:rPr>
        <w:t>Appendix D: List of Tables</w:t>
      </w:r>
      <w:bookmarkEnd w:id="92"/>
    </w:p>
    <w:p w14:paraId="5CDBFF68" w14:textId="77777777" w:rsidR="00EF2EB6" w:rsidRPr="00950AF7" w:rsidRDefault="00000000" w:rsidP="00950AF7">
      <w:pPr>
        <w:spacing w:after="120" w:line="360" w:lineRule="auto"/>
        <w:jc w:val="both"/>
      </w:pPr>
      <w:r w:rsidRPr="00950AF7">
        <w:t>Table 1: Descriptive Characteristics of the EPC Project Dataset</w:t>
      </w:r>
    </w:p>
    <w:p w14:paraId="7EE21085" w14:textId="77777777" w:rsidR="00EF2EB6" w:rsidRPr="00950AF7" w:rsidRDefault="00000000" w:rsidP="00950AF7">
      <w:pPr>
        <w:spacing w:after="120" w:line="360" w:lineRule="auto"/>
        <w:jc w:val="both"/>
      </w:pPr>
      <w:r w:rsidRPr="00950AF7">
        <w:t>Table 2: Forecast Accuracy Comparison by Project Completion Stage</w:t>
      </w:r>
    </w:p>
    <w:p w14:paraId="41A0B30E" w14:textId="77777777" w:rsidR="00EF2EB6" w:rsidRPr="00950AF7" w:rsidRDefault="00000000" w:rsidP="00950AF7">
      <w:pPr>
        <w:spacing w:after="120" w:line="360" w:lineRule="auto"/>
        <w:jc w:val="both"/>
      </w:pPr>
      <w:r w:rsidRPr="00950AF7">
        <w:t>Table 3: Forecast Accuracy by Project Complexity</w:t>
      </w:r>
    </w:p>
    <w:p w14:paraId="4D01F9ED" w14:textId="77777777" w:rsidR="00EF2EB6" w:rsidRPr="00950AF7" w:rsidRDefault="00000000" w:rsidP="00950AF7">
      <w:pPr>
        <w:spacing w:after="120" w:line="360" w:lineRule="auto"/>
        <w:jc w:val="both"/>
      </w:pPr>
      <w:r w:rsidRPr="00950AF7">
        <w:t>Table 4: Summary of Hypothesis Testing Results</w:t>
      </w:r>
    </w:p>
    <w:p w14:paraId="5FDDCAC5" w14:textId="77777777" w:rsidR="00EF2EB6" w:rsidRPr="00950AF7" w:rsidRDefault="00000000" w:rsidP="00950AF7">
      <w:pPr>
        <w:spacing w:after="120" w:line="360" w:lineRule="auto"/>
        <w:jc w:val="both"/>
      </w:pPr>
      <w:r w:rsidRPr="00950AF7">
        <w:t>Table 5: SWOT Analysis of SEVM Implementation in EPC Organizations</w:t>
      </w:r>
    </w:p>
    <w:p w14:paraId="5AB8C0F4" w14:textId="77777777" w:rsidR="00EF2EB6" w:rsidRPr="00950AF7" w:rsidRDefault="00EF2EB6" w:rsidP="00950AF7">
      <w:pPr>
        <w:spacing w:after="120" w:line="360" w:lineRule="auto"/>
        <w:jc w:val="both"/>
      </w:pPr>
    </w:p>
    <w:p w14:paraId="7CCF453A" w14:textId="77777777" w:rsidR="00EF2EB6" w:rsidRPr="00950AF7" w:rsidRDefault="00000000" w:rsidP="00950AF7">
      <w:pPr>
        <w:pStyle w:val="Heading2"/>
        <w:spacing w:after="120"/>
        <w:jc w:val="both"/>
        <w:rPr>
          <w:color w:val="auto"/>
          <w:sz w:val="24"/>
          <w:szCs w:val="24"/>
        </w:rPr>
      </w:pPr>
      <w:bookmarkStart w:id="93" w:name="_Toc222201137"/>
      <w:r w:rsidRPr="00950AF7">
        <w:rPr>
          <w:color w:val="auto"/>
          <w:sz w:val="24"/>
          <w:szCs w:val="24"/>
        </w:rPr>
        <w:t>Appendix E: Glossary of Statistical Terms</w:t>
      </w:r>
      <w:bookmarkEnd w:id="93"/>
    </w:p>
    <w:p w14:paraId="369FB430" w14:textId="77777777" w:rsidR="00EF2EB6" w:rsidRPr="00950AF7" w:rsidRDefault="00000000" w:rsidP="00950AF7">
      <w:pPr>
        <w:spacing w:after="120" w:line="360" w:lineRule="auto"/>
        <w:jc w:val="both"/>
      </w:pPr>
      <w:r w:rsidRPr="00950AF7">
        <w:rPr>
          <w:b/>
          <w:bCs/>
        </w:rPr>
        <w:t xml:space="preserve">MAPE (Mean Absolute Percentage Error): </w:t>
      </w:r>
      <w:r w:rsidRPr="00950AF7">
        <w:t>The average of the absolute percentage differences between forecasted and actual values. Lower MAPE indicates higher forecast accuracy.</w:t>
      </w:r>
    </w:p>
    <w:p w14:paraId="27D0617E" w14:textId="77777777" w:rsidR="00EF2EB6" w:rsidRPr="00950AF7" w:rsidRDefault="00000000" w:rsidP="00950AF7">
      <w:pPr>
        <w:spacing w:after="120" w:line="360" w:lineRule="auto"/>
        <w:jc w:val="both"/>
      </w:pPr>
      <w:r w:rsidRPr="00950AF7">
        <w:rPr>
          <w:b/>
          <w:bCs/>
        </w:rPr>
        <w:lastRenderedPageBreak/>
        <w:t xml:space="preserve">Calibration: </w:t>
      </w:r>
      <w:r w:rsidRPr="00950AF7">
        <w:t>The proportion of actual outcomes that fall within the predicted confidence interval. A well-calibrated model achieves calibration percentages close to the nominal confidence level.</w:t>
      </w:r>
    </w:p>
    <w:p w14:paraId="0038E044" w14:textId="77777777" w:rsidR="00EF2EB6" w:rsidRPr="00950AF7" w:rsidRDefault="00000000" w:rsidP="00950AF7">
      <w:pPr>
        <w:spacing w:after="120" w:line="360" w:lineRule="auto"/>
        <w:jc w:val="both"/>
      </w:pPr>
      <w:r w:rsidRPr="00950AF7">
        <w:rPr>
          <w:b/>
          <w:bCs/>
        </w:rPr>
        <w:t xml:space="preserve">Kolmogorov-Smirnov Test: </w:t>
      </w:r>
      <w:r w:rsidRPr="00950AF7">
        <w:t>A non-parametric test used to determine whether a sample comes from a specified probability distribution. Used in this study to validate the fit of lognormal and normal distributions to CPI and SPI data.</w:t>
      </w:r>
    </w:p>
    <w:p w14:paraId="21003ABD" w14:textId="77777777" w:rsidR="00EF2EB6" w:rsidRPr="00950AF7" w:rsidRDefault="00000000" w:rsidP="00950AF7">
      <w:pPr>
        <w:spacing w:after="120" w:line="360" w:lineRule="auto"/>
        <w:jc w:val="both"/>
      </w:pPr>
      <w:r w:rsidRPr="00950AF7">
        <w:rPr>
          <w:b/>
          <w:bCs/>
        </w:rPr>
        <w:t xml:space="preserve">Wilcoxon Signed-Rank Test: </w:t>
      </w:r>
      <w:r w:rsidRPr="00950AF7">
        <w:t>A non-parametric test used to compare paired observations. Used in this study to test the statistical significance of accuracy differences between SEVM and deterministic EVM.</w:t>
      </w:r>
    </w:p>
    <w:p w14:paraId="20DA3AAE" w14:textId="77777777" w:rsidR="00EF2EB6" w:rsidRPr="00950AF7" w:rsidRDefault="00000000" w:rsidP="00950AF7">
      <w:pPr>
        <w:spacing w:after="120" w:line="360" w:lineRule="auto"/>
        <w:jc w:val="both"/>
      </w:pPr>
      <w:r w:rsidRPr="00950AF7">
        <w:rPr>
          <w:b/>
          <w:bCs/>
        </w:rPr>
        <w:t xml:space="preserve">P50, P80, P90: </w:t>
      </w:r>
      <w:r w:rsidRPr="00950AF7">
        <w:t>Percentile values from the Monte Carlo output distribution. P50 is the median (50% probability of the actual being below this value), P80 indicates an 80% probability, and P90 indicates a 90% probability.</w:t>
      </w:r>
    </w:p>
    <w:sectPr w:rsidR="00EF2EB6" w:rsidRPr="00950AF7">
      <w:headerReference w:type="default" r:id="rId20"/>
      <w:footerReference w:type="default" r:id="rId21"/>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9EC35" w14:textId="77777777" w:rsidR="00924CC8" w:rsidRDefault="00924CC8">
      <w:r>
        <w:separator/>
      </w:r>
    </w:p>
  </w:endnote>
  <w:endnote w:type="continuationSeparator" w:id="0">
    <w:p w14:paraId="7B80E128" w14:textId="77777777" w:rsidR="00924CC8" w:rsidRDefault="00924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6C135" w14:textId="77777777" w:rsidR="00EF2EB6"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950AF7">
      <w:rPr>
        <w:noProof/>
        <w:color w:val="888888"/>
        <w:sz w:val="20"/>
        <w:szCs w:val="20"/>
      </w:rPr>
      <w:t>4</w:t>
    </w:r>
    <w:r>
      <w:rPr>
        <w:color w:val="888888"/>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6A3D4" w14:textId="77777777" w:rsidR="00EF2EB6"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950AF7">
      <w:rPr>
        <w:noProof/>
        <w:color w:val="888888"/>
        <w:sz w:val="20"/>
        <w:szCs w:val="20"/>
      </w:rPr>
      <w:t>5</w:t>
    </w:r>
    <w:r>
      <w:rPr>
        <w:color w:val="888888"/>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94F74" w14:textId="77777777" w:rsidR="00EF2EB6"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950AF7">
      <w:rPr>
        <w:noProof/>
        <w:color w:val="888888"/>
        <w:sz w:val="20"/>
        <w:szCs w:val="20"/>
      </w:rPr>
      <w:t>11</w:t>
    </w:r>
    <w:r>
      <w:rPr>
        <w:color w:val="888888"/>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0511" w14:textId="77777777" w:rsidR="00EF2EB6"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950AF7">
      <w:rPr>
        <w:noProof/>
        <w:color w:val="888888"/>
        <w:sz w:val="20"/>
        <w:szCs w:val="20"/>
      </w:rPr>
      <w:t>14</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EE3C9" w14:textId="77777777" w:rsidR="00924CC8" w:rsidRDefault="00924CC8">
      <w:r>
        <w:separator/>
      </w:r>
    </w:p>
  </w:footnote>
  <w:footnote w:type="continuationSeparator" w:id="0">
    <w:p w14:paraId="5B61C8BC" w14:textId="77777777" w:rsidR="00924CC8" w:rsidRDefault="00924C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34B53" w14:textId="77777777" w:rsidR="00EF2EB6" w:rsidRDefault="00000000">
    <w:pPr>
      <w:pBdr>
        <w:bottom w:val="single" w:sz="1" w:space="4" w:color="CCCCCC"/>
      </w:pBdr>
    </w:pPr>
    <w:r>
      <w:rPr>
        <w:i/>
        <w:iCs/>
        <w:color w:val="888888"/>
        <w:sz w:val="20"/>
        <w:szCs w:val="20"/>
      </w:rPr>
      <w:t>Integrated Project Control: SEVM in EPC Projects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8086E" w14:textId="77777777" w:rsidR="00EF2EB6" w:rsidRDefault="00000000">
    <w:pPr>
      <w:pBdr>
        <w:bottom w:val="single" w:sz="1" w:space="4" w:color="CCCCCC"/>
      </w:pBdr>
    </w:pPr>
    <w:r>
      <w:rPr>
        <w:i/>
        <w:iCs/>
        <w:color w:val="888888"/>
        <w:sz w:val="20"/>
        <w:szCs w:val="20"/>
      </w:rPr>
      <w:t>Integrated Project Control: SEVM in EPC Projects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CDCE" w14:textId="77777777" w:rsidR="00EF2EB6" w:rsidRDefault="00000000">
    <w:pPr>
      <w:pBdr>
        <w:bottom w:val="single" w:sz="1" w:space="4" w:color="CCCCCC"/>
      </w:pBdr>
    </w:pPr>
    <w:r>
      <w:rPr>
        <w:i/>
        <w:iCs/>
        <w:color w:val="888888"/>
        <w:sz w:val="20"/>
        <w:szCs w:val="20"/>
      </w:rPr>
      <w:t>Integrated Project Control: SEVM in EPC Projects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37DA" w14:textId="77777777" w:rsidR="00EF2EB6" w:rsidRDefault="00000000">
    <w:pPr>
      <w:pBdr>
        <w:bottom w:val="single" w:sz="1" w:space="4" w:color="CCCCCC"/>
      </w:pBdr>
    </w:pPr>
    <w:r>
      <w:rPr>
        <w:i/>
        <w:iCs/>
        <w:color w:val="888888"/>
        <w:sz w:val="20"/>
        <w:szCs w:val="20"/>
      </w:rPr>
      <w:t>Integrated Project Control: SEVM in EPC Projects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47E6F"/>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3DE02D6"/>
    <w:multiLevelType w:val="hybridMultilevel"/>
    <w:tmpl w:val="9ADC5CD6"/>
    <w:lvl w:ilvl="0" w:tplc="1BC25AE8">
      <w:start w:val="1"/>
      <w:numFmt w:val="bullet"/>
      <w:lvlText w:val="●"/>
      <w:lvlJc w:val="left"/>
      <w:pPr>
        <w:ind w:left="720" w:hanging="360"/>
      </w:pPr>
    </w:lvl>
    <w:lvl w:ilvl="1" w:tplc="F9D2A91E">
      <w:start w:val="1"/>
      <w:numFmt w:val="bullet"/>
      <w:lvlText w:val="○"/>
      <w:lvlJc w:val="left"/>
      <w:pPr>
        <w:ind w:left="1440" w:hanging="360"/>
      </w:pPr>
    </w:lvl>
    <w:lvl w:ilvl="2" w:tplc="4CF00AEA">
      <w:start w:val="1"/>
      <w:numFmt w:val="bullet"/>
      <w:lvlText w:val="■"/>
      <w:lvlJc w:val="left"/>
      <w:pPr>
        <w:ind w:left="2160" w:hanging="360"/>
      </w:pPr>
    </w:lvl>
    <w:lvl w:ilvl="3" w:tplc="0792EA64">
      <w:start w:val="1"/>
      <w:numFmt w:val="bullet"/>
      <w:lvlText w:val="●"/>
      <w:lvlJc w:val="left"/>
      <w:pPr>
        <w:ind w:left="2880" w:hanging="360"/>
      </w:pPr>
    </w:lvl>
    <w:lvl w:ilvl="4" w:tplc="C0F2B29E">
      <w:start w:val="1"/>
      <w:numFmt w:val="bullet"/>
      <w:lvlText w:val="○"/>
      <w:lvlJc w:val="left"/>
      <w:pPr>
        <w:ind w:left="3600" w:hanging="360"/>
      </w:pPr>
    </w:lvl>
    <w:lvl w:ilvl="5" w:tplc="F8C43454">
      <w:start w:val="1"/>
      <w:numFmt w:val="bullet"/>
      <w:lvlText w:val="■"/>
      <w:lvlJc w:val="left"/>
      <w:pPr>
        <w:ind w:left="4320" w:hanging="360"/>
      </w:pPr>
    </w:lvl>
    <w:lvl w:ilvl="6" w:tplc="FFFC324A">
      <w:start w:val="1"/>
      <w:numFmt w:val="bullet"/>
      <w:lvlText w:val="●"/>
      <w:lvlJc w:val="left"/>
      <w:pPr>
        <w:ind w:left="5040" w:hanging="360"/>
      </w:pPr>
    </w:lvl>
    <w:lvl w:ilvl="7" w:tplc="B8F887F6">
      <w:start w:val="1"/>
      <w:numFmt w:val="bullet"/>
      <w:lvlText w:val="●"/>
      <w:lvlJc w:val="left"/>
      <w:pPr>
        <w:ind w:left="5760" w:hanging="360"/>
      </w:pPr>
    </w:lvl>
    <w:lvl w:ilvl="8" w:tplc="499650E2">
      <w:start w:val="1"/>
      <w:numFmt w:val="bullet"/>
      <w:lvlText w:val="●"/>
      <w:lvlJc w:val="left"/>
      <w:pPr>
        <w:ind w:left="6480" w:hanging="360"/>
      </w:pPr>
    </w:lvl>
  </w:abstractNum>
  <w:abstractNum w:abstractNumId="2" w15:restartNumberingAfterBreak="0">
    <w:nsid w:val="5E005DB9"/>
    <w:multiLevelType w:val="hybridMultilevel"/>
    <w:tmpl w:val="9A842B54"/>
    <w:lvl w:ilvl="0" w:tplc="91E48106">
      <w:start w:val="1"/>
      <w:numFmt w:val="decimal"/>
      <w:lvlText w:val="%1."/>
      <w:lvlJc w:val="left"/>
      <w:pPr>
        <w:ind w:left="720" w:hanging="360"/>
      </w:pPr>
    </w:lvl>
    <w:lvl w:ilvl="1" w:tplc="62967168">
      <w:numFmt w:val="decimal"/>
      <w:lvlText w:val=""/>
      <w:lvlJc w:val="left"/>
    </w:lvl>
    <w:lvl w:ilvl="2" w:tplc="162AC1AE">
      <w:numFmt w:val="decimal"/>
      <w:lvlText w:val=""/>
      <w:lvlJc w:val="left"/>
    </w:lvl>
    <w:lvl w:ilvl="3" w:tplc="AC665636">
      <w:numFmt w:val="decimal"/>
      <w:lvlText w:val=""/>
      <w:lvlJc w:val="left"/>
    </w:lvl>
    <w:lvl w:ilvl="4" w:tplc="D19025FA">
      <w:numFmt w:val="decimal"/>
      <w:lvlText w:val=""/>
      <w:lvlJc w:val="left"/>
    </w:lvl>
    <w:lvl w:ilvl="5" w:tplc="55BC78D6">
      <w:numFmt w:val="decimal"/>
      <w:lvlText w:val=""/>
      <w:lvlJc w:val="left"/>
    </w:lvl>
    <w:lvl w:ilvl="6" w:tplc="11B8471A">
      <w:numFmt w:val="decimal"/>
      <w:lvlText w:val=""/>
      <w:lvlJc w:val="left"/>
    </w:lvl>
    <w:lvl w:ilvl="7" w:tplc="0F72CC34">
      <w:numFmt w:val="decimal"/>
      <w:lvlText w:val=""/>
      <w:lvlJc w:val="left"/>
    </w:lvl>
    <w:lvl w:ilvl="8" w:tplc="675CAD58">
      <w:numFmt w:val="decimal"/>
      <w:lvlText w:val=""/>
      <w:lvlJc w:val="left"/>
    </w:lvl>
  </w:abstractNum>
  <w:abstractNum w:abstractNumId="3" w15:restartNumberingAfterBreak="0">
    <w:nsid w:val="7140666C"/>
    <w:multiLevelType w:val="hybridMultilevel"/>
    <w:tmpl w:val="2ACE753E"/>
    <w:lvl w:ilvl="0" w:tplc="28A0EFD0">
      <w:start w:val="1"/>
      <w:numFmt w:val="bullet"/>
      <w:lvlText w:val="•"/>
      <w:lvlJc w:val="left"/>
      <w:pPr>
        <w:ind w:left="720" w:hanging="360"/>
      </w:pPr>
    </w:lvl>
    <w:lvl w:ilvl="1" w:tplc="A36AC5BA">
      <w:numFmt w:val="decimal"/>
      <w:lvlText w:val=""/>
      <w:lvlJc w:val="left"/>
    </w:lvl>
    <w:lvl w:ilvl="2" w:tplc="064AABFA">
      <w:numFmt w:val="decimal"/>
      <w:lvlText w:val=""/>
      <w:lvlJc w:val="left"/>
    </w:lvl>
    <w:lvl w:ilvl="3" w:tplc="265E6F86">
      <w:numFmt w:val="decimal"/>
      <w:lvlText w:val=""/>
      <w:lvlJc w:val="left"/>
    </w:lvl>
    <w:lvl w:ilvl="4" w:tplc="DC0A1C5C">
      <w:numFmt w:val="decimal"/>
      <w:lvlText w:val=""/>
      <w:lvlJc w:val="left"/>
    </w:lvl>
    <w:lvl w:ilvl="5" w:tplc="36DAA674">
      <w:numFmt w:val="decimal"/>
      <w:lvlText w:val=""/>
      <w:lvlJc w:val="left"/>
    </w:lvl>
    <w:lvl w:ilvl="6" w:tplc="5C4AD730">
      <w:numFmt w:val="decimal"/>
      <w:lvlText w:val=""/>
      <w:lvlJc w:val="left"/>
    </w:lvl>
    <w:lvl w:ilvl="7" w:tplc="ED7C4E54">
      <w:numFmt w:val="decimal"/>
      <w:lvlText w:val=""/>
      <w:lvlJc w:val="left"/>
    </w:lvl>
    <w:lvl w:ilvl="8" w:tplc="750E3090">
      <w:numFmt w:val="decimal"/>
      <w:lvlText w:val=""/>
      <w:lvlJc w:val="left"/>
    </w:lvl>
  </w:abstractNum>
  <w:num w:numId="1" w16cid:durableId="1450709435">
    <w:abstractNumId w:val="1"/>
    <w:lvlOverride w:ilvl="0">
      <w:startOverride w:val="1"/>
    </w:lvlOverride>
  </w:num>
  <w:num w:numId="2" w16cid:durableId="206825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EB6"/>
    <w:rsid w:val="00287823"/>
    <w:rsid w:val="00924CC8"/>
    <w:rsid w:val="00950AF7"/>
    <w:rsid w:val="00BB1DE1"/>
    <w:rsid w:val="00EF2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4E3D"/>
  <w15:docId w15:val="{AC9A4581-7484-404C-B917-9CD309C8F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numPr>
        <w:numId w:val="2"/>
      </w:numPr>
      <w:spacing w:before="360" w:after="240" w:line="360" w:lineRule="auto"/>
      <w:outlineLvl w:val="0"/>
    </w:pPr>
    <w:rPr>
      <w:b/>
      <w:bCs/>
      <w:color w:val="1F3864"/>
      <w:sz w:val="32"/>
      <w:szCs w:val="32"/>
    </w:rPr>
  </w:style>
  <w:style w:type="paragraph" w:styleId="Heading2">
    <w:name w:val="heading 2"/>
    <w:uiPriority w:val="9"/>
    <w:unhideWhenUsed/>
    <w:qFormat/>
    <w:pPr>
      <w:numPr>
        <w:ilvl w:val="1"/>
        <w:numId w:val="2"/>
      </w:numPr>
      <w:spacing w:before="280" w:after="160" w:line="360" w:lineRule="auto"/>
      <w:outlineLvl w:val="1"/>
    </w:pPr>
    <w:rPr>
      <w:b/>
      <w:bCs/>
      <w:color w:val="2E5090"/>
      <w:sz w:val="28"/>
      <w:szCs w:val="28"/>
    </w:rPr>
  </w:style>
  <w:style w:type="paragraph" w:styleId="Heading3">
    <w:name w:val="heading 3"/>
    <w:uiPriority w:val="9"/>
    <w:unhideWhenUsed/>
    <w:qFormat/>
    <w:pPr>
      <w:numPr>
        <w:ilvl w:val="2"/>
        <w:numId w:val="2"/>
      </w:numPr>
      <w:spacing w:before="200" w:after="120" w:line="360" w:lineRule="auto"/>
      <w:outlineLvl w:val="2"/>
    </w:pPr>
    <w:rPr>
      <w:b/>
      <w:bCs/>
      <w:color w:val="404040"/>
      <w:sz w:val="26"/>
      <w:szCs w:val="26"/>
    </w:rPr>
  </w:style>
  <w:style w:type="paragraph" w:styleId="Heading4">
    <w:name w:val="heading 4"/>
    <w:uiPriority w:val="9"/>
    <w:semiHidden/>
    <w:unhideWhenUsed/>
    <w:qFormat/>
    <w:pPr>
      <w:numPr>
        <w:ilvl w:val="3"/>
        <w:numId w:val="2"/>
      </w:numPr>
      <w:outlineLvl w:val="3"/>
    </w:pPr>
    <w:rPr>
      <w:i/>
      <w:iCs/>
      <w:color w:val="2E74B5"/>
    </w:rPr>
  </w:style>
  <w:style w:type="paragraph" w:styleId="Heading5">
    <w:name w:val="heading 5"/>
    <w:uiPriority w:val="9"/>
    <w:semiHidden/>
    <w:unhideWhenUsed/>
    <w:qFormat/>
    <w:pPr>
      <w:numPr>
        <w:ilvl w:val="4"/>
        <w:numId w:val="2"/>
      </w:numPr>
      <w:outlineLvl w:val="4"/>
    </w:pPr>
    <w:rPr>
      <w:color w:val="2E74B5"/>
    </w:rPr>
  </w:style>
  <w:style w:type="paragraph" w:styleId="Heading6">
    <w:name w:val="heading 6"/>
    <w:uiPriority w:val="9"/>
    <w:semiHidden/>
    <w:unhideWhenUsed/>
    <w:qFormat/>
    <w:pPr>
      <w:numPr>
        <w:ilvl w:val="5"/>
        <w:numId w:val="2"/>
      </w:numPr>
      <w:outlineLvl w:val="5"/>
    </w:pPr>
    <w:rPr>
      <w:color w:val="1F4D78"/>
    </w:rPr>
  </w:style>
  <w:style w:type="paragraph" w:styleId="Heading7">
    <w:name w:val="heading 7"/>
    <w:basedOn w:val="Normal"/>
    <w:next w:val="Normal"/>
    <w:link w:val="Heading7Char"/>
    <w:uiPriority w:val="9"/>
    <w:semiHidden/>
    <w:unhideWhenUsed/>
    <w:qFormat/>
    <w:rsid w:val="00950AF7"/>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50AF7"/>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0AF7"/>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50AF7"/>
    <w:pPr>
      <w:spacing w:after="100"/>
    </w:pPr>
  </w:style>
  <w:style w:type="paragraph" w:styleId="TOC2">
    <w:name w:val="toc 2"/>
    <w:basedOn w:val="Normal"/>
    <w:next w:val="Normal"/>
    <w:autoRedefine/>
    <w:uiPriority w:val="39"/>
    <w:unhideWhenUsed/>
    <w:rsid w:val="00950AF7"/>
    <w:pPr>
      <w:spacing w:after="100"/>
      <w:ind w:left="240"/>
    </w:pPr>
  </w:style>
  <w:style w:type="paragraph" w:styleId="TOC3">
    <w:name w:val="toc 3"/>
    <w:basedOn w:val="Normal"/>
    <w:next w:val="Normal"/>
    <w:autoRedefine/>
    <w:uiPriority w:val="39"/>
    <w:unhideWhenUsed/>
    <w:rsid w:val="00950AF7"/>
    <w:pPr>
      <w:spacing w:after="100"/>
      <w:ind w:left="480"/>
    </w:pPr>
  </w:style>
  <w:style w:type="paragraph" w:styleId="TOC4">
    <w:name w:val="toc 4"/>
    <w:basedOn w:val="Normal"/>
    <w:next w:val="Normal"/>
    <w:autoRedefine/>
    <w:uiPriority w:val="39"/>
    <w:unhideWhenUsed/>
    <w:rsid w:val="00950AF7"/>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950AF7"/>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950AF7"/>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950AF7"/>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950AF7"/>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950AF7"/>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950AF7"/>
    <w:rPr>
      <w:color w:val="605E5C"/>
      <w:shd w:val="clear" w:color="auto" w:fill="E1DFDD"/>
    </w:rPr>
  </w:style>
  <w:style w:type="table" w:styleId="TableGrid">
    <w:name w:val="Table Grid"/>
    <w:basedOn w:val="TableNormal"/>
    <w:uiPriority w:val="39"/>
    <w:rsid w:val="00950A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950AF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50AF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0AF7"/>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60</Pages>
  <Words>17082</Words>
  <Characters>97373</Characters>
  <Application>Microsoft Office Word</Application>
  <DocSecurity>0</DocSecurity>
  <Lines>811</Lines>
  <Paragraphs>228</Paragraphs>
  <ScaleCrop>false</ScaleCrop>
  <Company/>
  <LinksUpToDate>false</LinksUpToDate>
  <CharactersWithSpaces>114227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APPALA</cp:lastModifiedBy>
  <cp:revision>2</cp:revision>
  <dcterms:created xsi:type="dcterms:W3CDTF">2026-02-16T17:44:00Z</dcterms:created>
  <dcterms:modified xsi:type="dcterms:W3CDTF">2026-02-17T00:52:00Z</dcterms:modified>
</cp:coreProperties>
</file>