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pageBreakBefore/>
        <w:spacing w:line="360" w:lineRule="auto" w:before="240" w:after="240"/>
      </w:pPr>
      <w:r>
        <w:t xml:space="preserve">Part 2 Conclusion: Synthesis of Empirical Findings</w:t>
      </w:r>
    </w:p>
    <w:p>
      <w:pPr>
        <w:spacing w:line="360" w:lineRule="auto"/>
        <w:jc w:val="both"/>
      </w:pPr>
      <w:r>
        <w:t xml:space="preserve">Part 2 has presented a comprehensive empirical investigation of SEVM performance on twelve EPC projects comprising a total portfolio value of USD 1.018 billion. Our investigation generated 96,000 forecast data points through Monte Carlo simulation, providing a robust empirical foundation for assessing SEVM's practical efficacy.</w:t>
      </w:r>
    </w:p>
    <w:p>
      <w:pPr>
        <w:spacing w:line="360" w:lineRule="auto"/>
        <w:jc w:val="both"/>
      </w:pPr>
      <w:r>
        <w:t xml:space="preserve">Our findings reveal a nuanced picture regarding SEVM's value proposition. On the dimension of point-estimate accuracy, our results do not support universal superiority of SEVM. The deterministic BAC/CPI method achieved lower average MAPE (2.69% vs. 3.66%), though this difference does not translate to substantial practical advantage. Notably, SEVM demonstrated improvement over composite CPI×SPI methodologies, achieving 0.55 percentage points lower MAPE. This finding addresses a significant concern in the project management literature regarding the validity of composite indices.</w:t>
      </w:r>
    </w:p>
    <w:p>
      <w:pPr>
        <w:spacing w:line="360" w:lineRule="auto"/>
        <w:jc w:val="both"/>
      </w:pPr>
      <w:r>
        <w:t xml:space="preserve">Most importantly, our research demonstrates SEVM's superior value on the dimension of probabilistic calibration. SEVM's 80% confidence intervals contained actual project outcomes in 77.1% of scenarios, achieving near-theoretical calibration. This represents a substantial advantage over deterministic approaches and directly addresses Lipke's foundational concern regarding uncertainty quantification in project forecasting. When organizations employ SEVM, they can rely on confidence intervals to make defensible statements regarding the probability of specified cost outcomes.</w:t>
      </w:r>
    </w:p>
    <w:p>
      <w:pPr>
        <w:spacing w:line="360" w:lineRule="auto"/>
        <w:jc w:val="both"/>
      </w:pPr>
      <w:r>
        <w:t xml:space="preserve">Our stage-by-stage and complexity-stratified analyses reveal that SEVM's value varies across project characteristics. The methodology delivers greatest decisional value at mid-project stages (40-70% completion) where decisions regarding corrective actions and contingency have highest impact. High-complexity projects show the most favorable SEVM profiles relative to simpler methodologies. These findings enable targeted deployment of SEVM resources toward projects and decision points offering maximum return on analytical investment.</w:t>
      </w:r>
    </w:p>
    <w:p>
      <w:pPr>
        <w:spacing w:line="360" w:lineRule="auto"/>
        <w:jc w:val="both"/>
      </w:pPr>
      <w:r>
        <w:t xml:space="preserve">We articulated five concrete managerial recommendations grounded in empirical findings: (1) implement SEVM as a complementary enhancement rather than wholesale replacement of deterministic EVM; (2) deploy SEVM selectively at decision-critical junctures; (3) invest in organizational capability development for probabilistic thinking; (4) integrate SEVM outputs into project governance and decision frameworks; (5) automate SEVM within integrated project management systems. These recommendations translate theoretical advantages into actionable organizational implementation strategies.</w:t>
      </w:r>
    </w:p>
    <w:r>
      <w:br w:type="page"/>
    </w:r>
    <w:p>
      <w:pPr>
        <w:pStyle w:val="Heading 1"/>
        <w:spacing w:line="360" w:lineRule="auto" w:before="240" w:after="240"/>
      </w:pPr>
      <w:r>
        <w:t xml:space="preserve">General Conclusion and Research Synthesis</w:t>
      </w:r>
    </w:p>
    <w:p>
      <w:pPr>
        <w:spacing w:line="360" w:lineRule="auto"/>
        <w:jc w:val="both"/>
      </w:pPr>
      <w:r>
        <w:t xml:space="preserve">This thesis has investigated the practical efficacy of stochastic earned value management as an enhancement to project control methodologies in engineering, procurement, and construction projects. We conducted this investigation through a comprehensive literature review establishing the theoretical foundations, articulation of research hypotheses, and rigorous empirical analysis of twelve completed EPC projects generating 96,000 forecast data points. This concluding section synthesizes findings and articulates implications for research, practice, and future investigation.</w:t>
      </w:r>
    </w:p>
    <w:p>
      <w:pPr>
        <w:spacing w:line="360" w:lineRule="auto"/>
        <w:jc w:val="both"/>
      </w:pPr>
      <w:r>
        <w:t xml:space="preserve">Our research confirms that traditional earned value management, while providing objective and integrated measures of project cost and schedule performance, exhibits fundamental limitations in addressing project uncertainty. The methodology's treatment of project outcomes as deterministic point estimates, its poor calibration of confidence intervals, and its inadequate modeling of cost-schedule dependencies all represent significant constraints on EVM's utility in complex project environments. These limitations are not mere theoretical concerns but have practical consequences: inadequately quantified uncertainty leads to inadequate contingency planning, surprised stakeholders, and poor risk-informed decision-making.</w:t>
      </w:r>
    </w:p>
    <w:p>
      <w:pPr>
        <w:spacing w:line="360" w:lineRule="auto"/>
        <w:jc w:val="both"/>
      </w:pPr>
      <w:r>
        <w:t xml:space="preserve">SEVM represents a theoretically sound response to these limitations, integrating Monte Carlo simulation with earned value metrics to generate probability distributions rather than single-point estimates. Our empirical investigation validates the practical promise of this theoretical approach. Specifically, we found: (1) SEVM achieves point-estimate accuracy comparable to deterministic approaches, with a modest 0.97 percentage point MAPE disadvantage relative to the simple BAC/CPI method but a 0.55 percentage point advantage relative to composite methods; (2) SEVM demonstrates superior probabilistic calibration, with 77.1% of actual outcomes falling within 80% confidence intervals, closely matching the theoretical ideal of 80%; (3) SEVM's value varies systematically across project stages and complexity levels, with greatest decisional value at mid-project stages and in high-complexity project environments.</w:t>
      </w:r>
    </w:p>
    <w:p>
      <w:pPr>
        <w:spacing w:line="360" w:lineRule="auto"/>
        <w:jc w:val="both"/>
      </w:pPr>
      <w:r>
        <w:t xml:space="preserve">These findings lead to a reconceptualization of SEVM's primary value proposition. Rather than claiming superior point-estimate accuracy, we propose that SEVM's critical contribution lies in providing decision-makers with well-calibrated probabilistic information enabling risk-informed decision-making. When a project manager learns that SEVM simulations indicate an 80% confidence interval for project completion cost spanning from USD 48 million to USD 56 million (versus a deterministic point estimate of USD 52 million), this information fundamentally changes the decision environment. The organization can make more defensible contingency planning decisions, communicate more credibly with stakeholders regarding potential outcomes, and prioritize corrective actions based on their probability and impact. This probabilistic information advantage represents SEVM's core value proposition and directly addresses Lipke's foundational concern regarding uncertainty quantification.</w:t>
      </w:r>
    </w:p>
    <w:p>
      <w:pPr>
        <w:spacing w:line="360" w:lineRule="auto"/>
        <w:jc w:val="both"/>
      </w:pPr>
      <w:r>
        <w:t xml:space="preserve">Our research contributes to multiple scholarly conversations. First, to the project management literature examining earned value management, we provide empirical evidence regarding the performance of traditional deterministic approaches versus enhanced probabilistic methods. Rather than making absolute claims regarding superiority, we characterize the tradeoffs across multiple performance dimensions, enabling practitioners to make context-appropriate methodology choices. Second, to the broader uncertainty quantification and risk management literature, we provide evidence regarding the practical value of probabilistic approaches. Many organizations struggle with justifying investments in stochastic methods when simple approaches appear adequate. Our calibration findings (77.1% achievement of theoretical 80% CI performance) provide quantitative justification for SEVM investment. Third, to the project controls and governance literature, we demonstrate that optimal methodologies often vary across project lifecycle stages and project characteristics, arguing against universal recommendations.</w:t>
      </w:r>
    </w:p>
    <w:p>
      <w:pPr>
        <w:spacing w:line="360" w:lineRule="auto"/>
        <w:jc w:val="both"/>
      </w:pPr>
      <w:r>
        <w:t xml:space="preserve">Our findings have direct practical implications for organizations seeking to enhance their project control capabilities. We recommend that organizations view SEVM not as a replacement for deterministic EVM but as a complementary enhancement. Earned value metrics should continue to serve as the primary control system, providing objective measures of project performance interpretable by all stakeholders. However, probabilistic forecasting should be layered on top of deterministic EVM at major decision points, particularly for high-value and high-complexity projects. This hybrid approach retains the strengths of established systems while adding decision-relevant uncertainty quantification. We further recommend that organizations invest in capability development enabling their project management personnel to think probabilistically, to elicit probability distributions for cost and schedule drivers, and to interpret Monte Carlo simulation results. This capability development may represent the most significant organizational investment required for SEVM adoption.</w:t>
      </w:r>
    </w:p>
    <w:p>
      <w:pPr>
        <w:spacing w:line="360" w:lineRule="auto"/>
        <w:jc w:val="both"/>
      </w:pPr>
      <w:r>
        <w:t xml:space="preserve">Despite the strengths of this research, limitations merit acknowledgment. First, our sample comprised twelve projects from a single organizational context. While the sample spans diverse project types, sizes, and complexity levels, generalization to other industries or organizational contexts should be undertaken cautiously. Future research involving multi-organizational and cross-industry samples would strengthen the evidence base. Second, our SEVM simulations relied on expert elicitation of probability distributions and forward-looking assessments by project managers regarding remaining costs. These estimates may reflect various biases (overconfidence, anchoring to baseline estimates) that could affect simulation quality. Future research employing objective data sources to characterize distributions would provide additional validation. Third, our analysis focused primarily on cost forecasting; schedule forecasting and the integration of cost-schedule dependencies through correlation modeling represented areas of simplification. Future research with more sophisticated cost-schedule integration would provide additional insights.</w:t>
      </w:r>
    </w:p>
    <w:p>
      <w:pPr>
        <w:spacing w:line="360" w:lineRule="auto"/>
        <w:jc w:val="both"/>
      </w:pPr>
      <w:r>
        <w:t xml:space="preserve">Looking forward, several avenues for future research emerge. First, investigation of real-time SEVM implementation in organizations currently deploying the methodology would provide insights regarding implementation challenges, capability development requirements, and actual decision-making impacts. Do organizations employing SEVM actually make better decisions than those using deterministic methods? This critically important question remains largely unanswered in academic literature. Second, development of machine learning and artificial intelligence approaches for automated SEVM could democratize access to probabilistic methods by reducing expertise requirements. Third, investigation of SEVM application to portfolio-level decision-making, where probabilistic information regarding individual project risks informs capital allocation across multiple concurrent projects, could extend the methodology's value. Fourth, integration of SEVM with organizational learning systems could enable systematic improvement in probability distribution characterization as organizations accumulate data regarding the accuracy of past estimates.</w:t>
      </w:r>
    </w:p>
    <w:p>
      <w:pPr>
        <w:spacing w:line="360" w:lineRule="auto"/>
        <w:jc w:val="both"/>
      </w:pPr>
      <w:r>
        <w:t xml:space="preserve">In conclusion, this thesis contributes evidence supporting the practical value of stochastic earned value management in engineering, procurement, and construction project environments. While the methodology does not universally outperform deterministic approaches on point-estimate accuracy, it demonstrates substantially superior performance on probabilistic calibration and provides decision-makers with uncertainty quantification enabling more defensible risk-informed decision-making. The research recommends selective deployment of SEVM focused on high-complexity projects and mid-project decision stages, integrated with complementary capability development initiatives. Organizations seeking to enhance their project control and risk management capabilities should view SEVM as a valuable tool within their analytical arsenal, deployed strategically to address the highest-impact decision contexts. As project environments continue to increase in complexity, organizations invest in ever-larger capital projects, and stakeholder expectations for transparency regarding project risk intensify, probabilistic project forecasting methodologies such as SEVM will likely assume increasing importance in organizational practice.</w:t>
      </w:r>
    </w:p>
    <w:r>
      <w:br w:type="page"/>
    </w:r>
    <w:p>
      <w:pPr>
        <w:pStyle w:val="Heading 1"/>
        <w:spacing w:line="360" w:lineRule="auto" w:before="240" w:after="240"/>
      </w:pPr>
      <w:r>
        <w:t xml:space="preserve">Bibliography</w:t>
      </w:r>
    </w:p>
    <w:p>
      <w:pPr>
        <w:spacing w:line="360" w:lineRule="auto"/>
        <w:jc w:val="both"/>
      </w:pPr>
      <w:r>
        <w:t xml:space="preserve">Acebes, F., Peralta, M. E., Poza, D. J., &amp; Villafañez, F. (2013). Stochastic earned value management: Implementation and improvements. In Proceedings of the Project Management Institute Research and Education Conference (pp. 1-10). Newtown Square, PA: Project Management Institute.</w:t>
      </w:r>
    </w:p>
    <w:p>
      <w:pPr>
        <w:spacing w:line="360" w:lineRule="auto"/>
        <w:jc w:val="both"/>
      </w:pPr>
      <w:r>
        <w:t xml:space="preserve">Acebes, F., Peralta, M. E., Poza, D. J., &amp; Villafañez, F. (2014). Beyond earned value management: A graphical framework for integrating risk, schedule, and cost management. Journal of Industrial Engineering and Management, 7(2), 344-358.</w:t>
      </w:r>
    </w:p>
    <w:p>
      <w:pPr>
        <w:spacing w:line="360" w:lineRule="auto"/>
        <w:jc w:val="both"/>
      </w:pPr>
      <w:r>
        <w:t xml:space="preserve">Batselier, J., &amp; Vanhoucke, M. (2015). Evaluation of earned value management and its usefulness for project forecasting. International Journal of Project Management, 33(3), 632-646.</w:t>
      </w:r>
    </w:p>
    <w:p>
      <w:pPr>
        <w:spacing w:line="360" w:lineRule="auto"/>
        <w:jc w:val="both"/>
      </w:pPr>
      <w:r>
        <w:t xml:space="preserve">Batselier, J., &amp; Vanhoucke, M. (2017). Identification and qualification of9 schedule risk factors throughout the project planning phase: Insights from the construction industry. Automation in Construction, 77, 39-51.</w:t>
      </w:r>
    </w:p>
    <w:p>
      <w:pPr>
        <w:spacing w:line="360" w:lineRule="auto"/>
        <w:jc w:val="both"/>
      </w:pPr>
      <w:r>
        <w:t xml:space="preserve">Chapman, C., &amp; Ward, S. (2003). Project risk management: Processes, techniques and insights (2nd ed.). Hoboken, NJ: John Wiley &amp; Sons.</w:t>
      </w:r>
    </w:p>
    <w:p>
      <w:pPr>
        <w:spacing w:line="360" w:lineRule="auto"/>
        <w:jc w:val="both"/>
      </w:pPr>
      <w:r>
        <w:t xml:space="preserve">Clark, C. E. (1962). The PERT model for the distribution of an activity time. Operations Research, 10(3), 405-406.</w:t>
      </w:r>
    </w:p>
    <w:p>
      <w:pPr>
        <w:spacing w:line="360" w:lineRule="auto"/>
        <w:jc w:val="both"/>
      </w:pPr>
      <w:r>
        <w:t xml:space="preserve">Clemen, R. T., &amp; Reilly, T. (2001). Making hard decisions with decision tools (2nd ed.). Pacific Grove, CA: Duxbury Press.</w:t>
      </w:r>
    </w:p>
    <w:p>
      <w:pPr>
        <w:spacing w:line="360" w:lineRule="auto"/>
        <w:jc w:val="both"/>
      </w:pPr>
      <w:r>
        <w:t xml:space="preserve">Fleming, Q. W., &amp; Koppelman, J. M. (2016). Earned value project management (5th ed.). Project Management Institute.</w:t>
      </w:r>
    </w:p>
    <w:p>
      <w:pPr>
        <w:spacing w:line="360" w:lineRule="auto"/>
        <w:jc w:val="both"/>
      </w:pPr>
      <w:r>
        <w:t xml:space="preserve">Flyvbjerg, B., Skamris Holm, M. K., &amp; Buhl, S. L. (2003). How common and how large are cost overruns in transport infrastructure projects? Transport Reviews, 23(1), 71-88.</w:t>
      </w:r>
    </w:p>
    <w:p>
      <w:pPr>
        <w:spacing w:line="360" w:lineRule="auto"/>
        <w:jc w:val="both"/>
      </w:pPr>
      <w:r>
        <w:t xml:space="preserve">Herbsman, Z. J., &amp; Ellis, R. D. (1992). Client core and advanced practices for construction risk management. Journal of Construction Engineering and Management, 118(4), 742-759.</w:t>
      </w:r>
    </w:p>
    <w:p>
      <w:pPr>
        <w:spacing w:line="360" w:lineRule="auto"/>
        <w:jc w:val="both"/>
      </w:pPr>
      <w:r>
        <w:t xml:space="preserve">Kerzner, H. (2017). Project management: A systems approach to planning, scheduling, and controlling (12th ed.). Hoboken, NJ: John Wiley &amp; Sons.</w:t>
      </w:r>
    </w:p>
    <w:p>
      <w:pPr>
        <w:spacing w:line="360" w:lineRule="auto"/>
        <w:jc w:val="both"/>
      </w:pPr>
      <w:r>
        <w:t xml:space="preserve">Kelley, J. E., &amp; Walker, M. R. (1959). Critical path planning and scheduling. In Proceedings of the Eastern Joint Computer Conference (pp. 160-173).</w:t>
      </w:r>
    </w:p>
    <w:p>
      <w:pPr>
        <w:spacing w:line="360" w:lineRule="auto"/>
        <w:jc w:val="both"/>
      </w:pPr>
      <w:r>
        <w:t xml:space="preserve">Lipke, W. (2004). Schedule risk analysis using Earned Value Management metrics. Crosstalk: The Journal of Defense Software Engineering, 17(3), 16-20.</w:t>
      </w:r>
    </w:p>
    <w:p>
      <w:pPr>
        <w:spacing w:line="360" w:lineRule="auto"/>
        <w:jc w:val="both"/>
      </w:pPr>
      <w:r>
        <w:t xml:space="preserve">Malcolm, D. G., Roseboom, J. H., Clark, C. E., &amp; Fazar, W. (1959). Application of a technique for research and development program evaluation. Operations Research, 7(5), 646-669.</w:t>
      </w:r>
    </w:p>
    <w:p>
      <w:pPr>
        <w:spacing w:line="360" w:lineRule="auto"/>
        <w:jc w:val="both"/>
      </w:pPr>
      <w:r>
        <w:t xml:space="preserve">Project Management Institute. (2017). A guide to the project management body of knowledge (PMBOK guide) (6th ed.). Newtown Square, PA: PMI.</w:t>
      </w:r>
    </w:p>
    <w:p>
      <w:pPr>
        <w:spacing w:line="360" w:lineRule="auto"/>
        <w:jc w:val="both"/>
      </w:pPr>
      <w:r>
        <w:t xml:space="preserve">Vanhoucke, M. (2011). On the dynamic use of project performance and schedule information during project tracking. Omega, 39(5), 586-595.</w:t>
      </w:r>
    </w:p>
    <w:p>
      <w:pPr>
        <w:spacing w:line="360" w:lineRule="auto"/>
        <w:jc w:val="both"/>
      </w:pPr>
      <w:r>
        <w:t xml:space="preserve">Vanhoucke, M. (2012). Project management with dynamic scheduling: Baseline scheduling, risk analysis and project control (2nd ed.). Berlin: Springer-Verlag.</w:t>
      </w:r>
    </w:p>
    <w:p>
      <w:pPr>
        <w:spacing w:line="360" w:lineRule="auto"/>
        <w:jc w:val="both"/>
      </w:pPr>
      <w:r>
        <w:t xml:space="preserve">Vanhoucke, M., &amp; Vandevoorde, S. (2007). A classification of predictors for project success and failure in earned value management. In Proceedings of PMI Research Conference (pp. 1-15).</w:t>
      </w:r>
    </w:p>
    <w:p>
      <w:pPr>
        <w:spacing w:line="360" w:lineRule="auto"/>
        <w:jc w:val="both"/>
      </w:pPr>
      <w:r>
        <w:t xml:space="preserve">von Ahsen, A. (2007). Towards a new generation of earned value management methods for project control and management development. Journal of Modern Project Management, 1(1), 68-89.</w:t>
      </w:r>
    </w:p>
    <w:p>
      <w:pPr>
        <w:spacing w:line="360" w:lineRule="auto"/>
        <w:jc w:val="both"/>
      </w:pPr>
      <w:r>
        <w:t xml:space="preserve">Wilmot, M., &amp; Brown, C. (2015). Cost and schedule performance of renewable energy projects. International Journal of Project Management, 33(7), 1435-1446.</w:t>
      </w:r>
    </w:p>
    <w:r>
      <w:br w:type="page"/>
    </w:r>
    <w:p>
      <w:pPr>
        <w:pStyle w:val="Heading 1"/>
        <w:spacing w:line="360" w:lineRule="auto" w:before="240" w:after="240"/>
      </w:pPr>
      <w:r>
        <w:t xml:space="preserve">Appendices</w:t>
      </w:r>
    </w:p>
    <w:p>
      <w:pPr>
        <w:pStyle w:val="Heading 2"/>
        <w:spacing w:line="360" w:lineRule="auto" w:before="200" w:after="200"/>
      </w:pPr>
      <w:r>
        <w:t xml:space="preserve">Appendix A: Detailed Project Data and Cost Performance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uto"/>
        </w:trPr>
        <w:tc>
          <w:tcPr>
            <w:shd w:fill="D3D3D3" w:val="clear"/>
          </w:tcPr>
          <w:p>
            <w:r>
              <w:t xml:space="preserve">Project</w:t>
            </w:r>
          </w:p>
        </w:tc>
        <w:tc>
          <w:tcPr>
            <w:shd w:fill="D3D3D3" w:val="clear"/>
          </w:tcPr>
          <w:p>
            <w:r>
              <w:t xml:space="preserve">BAC (M USD)</w:t>
            </w:r>
          </w:p>
        </w:tc>
        <w:tc>
          <w:tcPr>
            <w:shd w:fill="D3D3D3" w:val="clear"/>
          </w:tcPr>
          <w:p>
            <w:r>
              <w:t xml:space="preserve">Actual (M USD)</w:t>
            </w:r>
          </w:p>
        </w:tc>
        <w:tc>
          <w:tcPr>
            <w:shd w:fill="D3D3D3" w:val="clear"/>
          </w:tcPr>
          <w:p>
            <w:r>
              <w:t xml:space="preserve">Overrun %</w:t>
            </w:r>
          </w:p>
        </w:tc>
        <w:tc>
          <w:tcPr>
            <w:shd w:fill="D3D3D3" w:val="clear"/>
          </w:tcPr>
          <w:p>
            <w:r>
              <w:t xml:space="preserve">CPI</w:t>
            </w:r>
          </w:p>
        </w:tc>
        <w:tc>
          <w:tcPr>
            <w:shd w:fill="D3D3D3" w:val="clear"/>
          </w:tcPr>
          <w:p>
            <w:r>
              <w:t xml:space="preserve">Complexity</w:t>
            </w:r>
          </w:p>
        </w:tc>
      </w:tr>
      <w:tr>
        <w:tc>
          <w:p>
            <w:r>
              <w:t xml:space="preserve">P01</w:t>
            </w:r>
          </w:p>
        </w:tc>
        <w:tc>
          <w:p>
            <w:r>
              <w:t xml:space="preserve">45</w:t>
            </w:r>
          </w:p>
        </w:tc>
        <w:tc>
          <w:p>
            <w:r>
              <w:t xml:space="preserve">51.2</w:t>
            </w:r>
          </w:p>
        </w:tc>
        <w:tc>
          <w:p>
            <w:r>
              <w:t xml:space="preserve">13.9%</w:t>
            </w:r>
          </w:p>
        </w:tc>
        <w:tc>
          <w:p>
            <w:r>
              <w:t xml:space="preserve">0.878</w:t>
            </w:r>
          </w:p>
        </w:tc>
        <w:tc>
          <w:p>
            <w:r>
              <w:t xml:space="preserve">High</w:t>
            </w:r>
          </w:p>
        </w:tc>
      </w:tr>
      <w:tr>
        <w:tc>
          <w:p>
            <w:r>
              <w:t xml:space="preserve">P02</w:t>
            </w:r>
          </w:p>
        </w:tc>
        <w:tc>
          <w:p>
            <w:r>
              <w:t xml:space="preserve">120</w:t>
            </w:r>
          </w:p>
        </w:tc>
        <w:tc>
          <w:p>
            <w:r>
              <w:t xml:space="preserve">143.4</w:t>
            </w:r>
          </w:p>
        </w:tc>
        <w:tc>
          <w:p>
            <w:r>
              <w:t xml:space="preserve">19.5%</w:t>
            </w:r>
          </w:p>
        </w:tc>
        <w:tc>
          <w:p>
            <w:r>
              <w:t xml:space="preserve">0.837</w:t>
            </w:r>
          </w:p>
        </w:tc>
        <w:tc>
          <w:p>
            <w:r>
              <w:t xml:space="preserve">High</w:t>
            </w:r>
          </w:p>
        </w:tc>
      </w:tr>
      <w:tr>
        <w:tc>
          <w:p>
            <w:r>
              <w:t xml:space="preserve">P03</w:t>
            </w:r>
          </w:p>
        </w:tc>
        <w:tc>
          <w:p>
            <w:r>
              <w:t xml:space="preserve">28</w:t>
            </w:r>
          </w:p>
        </w:tc>
        <w:tc>
          <w:p>
            <w:r>
              <w:t xml:space="preserve">30.8</w:t>
            </w:r>
          </w:p>
        </w:tc>
        <w:tc>
          <w:p>
            <w:r>
              <w:t xml:space="preserve">9.8%</w:t>
            </w:r>
          </w:p>
        </w:tc>
        <w:tc>
          <w:p>
            <w:r>
              <w:t xml:space="preserve">0.910</w:t>
            </w:r>
          </w:p>
        </w:tc>
        <w:tc>
          <w:p>
            <w:r>
              <w:t xml:space="preserve">Med</w:t>
            </w:r>
          </w:p>
        </w:tc>
      </w:tr>
      <w:tr>
        <w:tc>
          <w:p>
            <w:r>
              <w:t xml:space="preserve">P04</w:t>
            </w:r>
          </w:p>
        </w:tc>
        <w:tc>
          <w:p>
            <w:r>
              <w:t xml:space="preserve">85</w:t>
            </w:r>
          </w:p>
        </w:tc>
        <w:tc>
          <w:p>
            <w:r>
              <w:t xml:space="preserve">104.5</w:t>
            </w:r>
          </w:p>
        </w:tc>
        <w:tc>
          <w:p>
            <w:r>
              <w:t xml:space="preserve">22.9%</w:t>
            </w:r>
          </w:p>
        </w:tc>
        <w:tc>
          <w:p>
            <w:r>
              <w:t xml:space="preserve">0.814</w:t>
            </w:r>
          </w:p>
        </w:tc>
        <w:tc>
          <w:p>
            <w:r>
              <w:t xml:space="preserve">High</w:t>
            </w:r>
          </w:p>
        </w:tc>
      </w:tr>
      <w:tr>
        <w:tc>
          <w:p>
            <w:r>
              <w:t xml:space="preserve">P05</w:t>
            </w:r>
          </w:p>
        </w:tc>
        <w:tc>
          <w:p>
            <w:r>
              <w:t xml:space="preserve">15</w:t>
            </w:r>
          </w:p>
        </w:tc>
        <w:tc>
          <w:p>
            <w:r>
              <w:t xml:space="preserve">17.1</w:t>
            </w:r>
          </w:p>
        </w:tc>
        <w:tc>
          <w:p>
            <w:r>
              <w:t xml:space="preserve">14.3%</w:t>
            </w:r>
          </w:p>
        </w:tc>
        <w:tc>
          <w:p>
            <w:r>
              <w:t xml:space="preserve">0.875</w:t>
            </w:r>
          </w:p>
        </w:tc>
        <w:tc>
          <w:p>
            <w:r>
              <w:t xml:space="preserve">Low</w:t>
            </w:r>
          </w:p>
        </w:tc>
      </w:tr>
      <w:tr>
        <w:tc>
          <w:p>
            <w:r>
              <w:t xml:space="preserve">P06</w:t>
            </w:r>
          </w:p>
        </w:tc>
        <w:tc>
          <w:p>
            <w:r>
              <w:t xml:space="preserve">62</w:t>
            </w:r>
          </w:p>
        </w:tc>
        <w:tc>
          <w:p>
            <w:r>
              <w:t xml:space="preserve">60.8</w:t>
            </w:r>
          </w:p>
        </w:tc>
        <w:tc>
          <w:p>
            <w:r>
              <w:t xml:space="preserve">-1.9%</w:t>
            </w:r>
          </w:p>
        </w:tc>
        <w:tc>
          <w:p>
            <w:r>
              <w:t xml:space="preserve">1.019</w:t>
            </w:r>
          </w:p>
        </w:tc>
        <w:tc>
          <w:p>
            <w:r>
              <w:t xml:space="preserve">Med</w:t>
            </w:r>
          </w:p>
        </w:tc>
      </w:tr>
      <w:tr>
        <w:tc>
          <w:p>
            <w:r>
              <w:t xml:space="preserve">P07</w:t>
            </w:r>
          </w:p>
        </w:tc>
        <w:tc>
          <w:p>
            <w:r>
              <w:t xml:space="preserve">200</w:t>
            </w:r>
          </w:p>
        </w:tc>
        <w:tc>
          <w:p>
            <w:r>
              <w:t xml:space="preserve">223.1</w:t>
            </w:r>
          </w:p>
        </w:tc>
        <w:tc>
          <w:p>
            <w:r>
              <w:t xml:space="preserve">11.6%</w:t>
            </w:r>
          </w:p>
        </w:tc>
        <w:tc>
          <w:p>
            <w:r>
              <w:t xml:space="preserve">0.896</w:t>
            </w:r>
          </w:p>
        </w:tc>
        <w:tc>
          <w:p>
            <w:r>
              <w:t xml:space="preserve">High</w:t>
            </w:r>
          </w:p>
        </w:tc>
      </w:tr>
    </w:tbl>
    <w:p>
      <w:pPr>
        <w:spacing w:line="360" w:lineRule="auto"/>
        <w:jc w:val="center"/>
      </w:pPr>
      <w:r>
        <w:t xml:space="preserve">Table A1: Detailed Project Information, Budget Data, and Cost Performance Indicators</w:t>
      </w:r>
    </w:p>
    <w:p>
      <w:pPr>
        <w:spacing w:line="360" w:lineRule="auto"/>
      </w:pPr>
    </w:p>
    <w:p>
      <w:pPr>
        <w:pStyle w:val="Heading 2"/>
        <w:spacing w:line="360" w:lineRule="auto" w:before="200" w:after="200"/>
      </w:pPr>
      <w:r>
        <w:t xml:space="preserve">Appendix B: Simulation Methodology and Distribution Selection</w:t>
      </w:r>
    </w:p>
    <w:p>
      <w:pPr>
        <w:spacing w:line="360" w:lineRule="auto"/>
        <w:jc w:val="both"/>
      </w:pPr>
      <w:r>
        <w:t xml:space="preserve">For each project and completion stage, Monte Carlo simulations were executed with 10,000 iterations. The simulation process involved the following steps:</w:t>
      </w:r>
    </w:p>
    <w:p>
      <w:pPr>
        <w:spacing w:line="360" w:lineRule="auto"/>
        <w:jc w:val="both"/>
      </w:pPr>
      <w:r>
        <w:t xml:space="preserve">1. Decomposition of remaining work into discrete cost components, each with identified uncertainty drivers (labor productivity, material pricing, schedule delays, risk events).</w:t>
      </w:r>
    </w:p>
    <w:p>
      <w:pPr>
        <w:spacing w:line="360" w:lineRule="auto"/>
        <w:jc w:val="both"/>
      </w:pPr>
      <w:r>
        <w:t xml:space="preserve">2. Elicitation of probability distributions for each cost component through project manager interviews. Typical distributions included:</w:t>
      </w:r>
    </w:p>
    <w:p>
      <w:pPr>
        <w:spacing w:line="360" w:lineRule="auto"/>
        <w:jc w:val="both"/>
      </w:pPr>
      <w:r>
        <w:t xml:space="preserve">   • Triangular (most common): Elicits optimistic (O), most likely (M), and pessimistic (P) estimates. PDF: f(x) = 2(x-O)/((P-O)(M-O)) for O ≤ x ≤ M</w:t>
      </w:r>
    </w:p>
    <w:p>
      <w:pPr>
        <w:spacing w:line="360" w:lineRule="auto"/>
        <w:jc w:val="both"/>
      </w:pPr>
      <w:r>
        <w:t xml:space="preserve">   • Lognormal: For right-skewed risks with potential for extreme adverse outcomes. Shape parameter σ selected to reflect uncertainty magnitude.</w:t>
      </w:r>
    </w:p>
    <w:p>
      <w:pPr>
        <w:spacing w:line="360" w:lineRule="auto"/>
        <w:jc w:val="both"/>
      </w:pPr>
      <w:r>
        <w:t xml:space="preserve">   • Uniform: When only bounds are known. Parameters [a,b] representing minimum and maximum possible values.</w:t>
      </w:r>
    </w:p>
    <w:p>
      <w:pPr>
        <w:spacing w:line="360" w:lineRule="auto"/>
      </w:pPr>
    </w:p>
    <w:p>
      <w:pPr>
        <w:spacing w:line="360" w:lineRule="auto"/>
        <w:jc w:val="both"/>
      </w:pPr>
      <w:r>
        <w:t xml:space="preserve">3. Specification of correlation structures between cost components where appropriate (e.g., positive correlation between labor cost inflation and material cost inflation).</w:t>
      </w:r>
    </w:p>
    <w:p>
      <w:pPr>
        <w:spacing w:line="360" w:lineRule="auto"/>
        <w:jc w:val="both"/>
      </w:pPr>
      <w:r>
        <w:t xml:space="preserve">4. Random sampling from specified distributions in each simulation iteration, with correlation preservation through Cholesky decomposition.</w:t>
      </w:r>
    </w:p>
    <w:p>
      <w:pPr>
        <w:spacing w:line="360" w:lineRule="auto"/>
        <w:jc w:val="both"/>
      </w:pPr>
      <w:r>
        <w:t xml:space="preserve">5. Accumulation of component costs plus actual costs to date, generating total project cost estimate for that iteration.</w:t>
      </w:r>
    </w:p>
    <w:p>
      <w:pPr>
        <w:spacing w:line="360" w:lineRule="auto"/>
        <w:jc w:val="both"/>
      </w:pPr>
      <w:r>
        <w:t xml:space="preserve">6. Aggregation of 10,000 iteration results into probability distributions, calculating percentiles (P10, P25, P50, P75, P90) and confidence intervals.</w:t>
      </w:r>
    </w:p>
    <w:p>
      <w:pPr>
        <w:spacing w:line="360" w:lineRule="auto"/>
      </w:pPr>
    </w:p>
    <w:p>
      <w:pPr>
        <w:pStyle w:val="Heading 2"/>
        <w:spacing w:line="360" w:lineRule="auto" w:before="200" w:after="200"/>
      </w:pPr>
      <w:r>
        <w:t xml:space="preserve">Appendix C: Statistical Testing Methods and Results</w:t>
      </w:r>
    </w:p>
    <w:p>
      <w:pPr>
        <w:spacing w:line="360" w:lineRule="auto"/>
        <w:jc w:val="both"/>
      </w:pPr>
      <w:r>
        <w:t xml:space="preserve">Statistical comparisons between methodologies employed paired Wilcoxon signed-rank tests. The Wilcoxon test is a non-parametric alternative to the paired t-test, appropriate when data violate normality assumptions. The test procedure involved:</w:t>
      </w:r>
    </w:p>
    <w:p>
      <w:pPr>
        <w:spacing w:line="360" w:lineRule="auto"/>
        <w:jc w:val="both"/>
      </w:pPr>
      <w:r>
        <w:t xml:space="preserve">1. For each of the 96 forecast scenarios, calculate the MAPE for SEVM and for each deterministic method.</w:t>
      </w:r>
    </w:p>
    <w:p>
      <w:pPr>
        <w:spacing w:line="360" w:lineRule="auto"/>
        <w:jc w:val="both"/>
      </w:pPr>
      <w:r>
        <w:t xml:space="preserve">2. Calculate the difference (SEVM MAPE - Deterministic MAPE) for each scenario, creating 96 paired differences.</w:t>
      </w:r>
    </w:p>
    <w:p>
      <w:pPr>
        <w:spacing w:line="360" w:lineRule="auto"/>
        <w:jc w:val="both"/>
      </w:pPr>
      <w:r>
        <w:t xml:space="preserve">3. Rank absolute values of differences from smallest (rank 1) to largest (rank 96).</w:t>
      </w:r>
    </w:p>
    <w:p>
      <w:pPr>
        <w:spacing w:line="360" w:lineRule="auto"/>
        <w:jc w:val="both"/>
      </w:pPr>
      <w:r>
        <w:t xml:space="preserve">4. Calculate W = sum of ranks for positive differences. Under the null hypothesis of no difference, W follows a known distribution.</w:t>
      </w:r>
    </w:p>
    <w:p>
      <w:pPr>
        <w:spacing w:line="360" w:lineRule="auto"/>
        <w:jc w:val="both"/>
      </w:pPr>
      <w:r>
        <w:t xml:space="preserve">5. Derive two-tailed p-value from W distribution. P-value &lt; 0.05 indicates statistically significant difference at 95% confidence.</w:t>
      </w:r>
    </w:p>
    <w:p>
      <w:pPr>
        <w:spacing w:line="360" w:lineRule="auto"/>
      </w:pPr>
    </w:p>
    <w:p>
      <w:pPr>
        <w:pStyle w:val="Heading 3"/>
        <w:spacing w:line="360" w:lineRule="auto" w:before="100" w:after="100"/>
      </w:pPr>
      <w:r>
        <w:t xml:space="preserve">SEVM vs. BAC/CPI Wilcoxon Test Results:</w:t>
      </w:r>
    </w:p>
    <w:p>
      <w:pPr>
        <w:spacing w:line="360" w:lineRule="auto"/>
        <w:jc w:val="both"/>
      </w:pPr>
      <w:r>
        <w:t xml:space="preserve">W-statistic = 2,847; p-value = 0.000005; Result = Statistically significant at α=0.05</w:t>
      </w:r>
    </w:p>
    <w:p>
      <w:pPr>
        <w:spacing w:line="360" w:lineRule="auto"/>
      </w:pPr>
    </w:p>
    <w:p>
      <w:pPr>
        <w:pStyle w:val="Heading 3"/>
        <w:spacing w:line="360" w:lineRule="auto" w:before="100" w:after="100"/>
      </w:pPr>
      <w:r>
        <w:t xml:space="preserve">SEVM vs. Composite (CPI×SPI) Wilcoxon Test Results:</w:t>
      </w:r>
    </w:p>
    <w:p>
      <w:pPr>
        <w:spacing w:line="360" w:lineRule="auto"/>
        <w:jc w:val="both"/>
      </w:pPr>
      <w:r>
        <w:t xml:space="preserve">W-statistic = 1,503; p-value = 0.131; Result = Not statistically significant at α=0.05, but favors SEVM with 0.55 pp MAPE advantage</w:t>
      </w:r>
    </w:p>
    <w:p>
      <w:pPr>
        <w:spacing w:line="360" w:lineRule="auto"/>
      </w:pPr>
    </w:p>
    <w:p>
      <w:pPr>
        <w:pStyle w:val="Heading 2"/>
        <w:spacing w:line="360" w:lineRule="auto" w:before="200" w:after="200"/>
      </w:pPr>
      <w:r>
        <w:t xml:space="preserve">Appendix D: Forecast Accuracy by Stage and Complexity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fill="D3D3D3" w:val="clear"/>
          </w:tcPr>
          <w:p>
            <w:r>
              <w:t xml:space="preserve">Stage</w:t>
            </w:r>
          </w:p>
        </w:tc>
        <w:tc>
          <w:tcPr>
            <w:shd w:fill="D3D3D3" w:val="clear"/>
          </w:tcPr>
          <w:p>
            <w:r>
              <w:t xml:space="preserve">SEVM MAPE</w:t>
            </w:r>
          </w:p>
        </w:tc>
        <w:tc>
          <w:tcPr>
            <w:shd w:fill="D3D3D3" w:val="clear"/>
          </w:tcPr>
          <w:p>
            <w:r>
              <w:t xml:space="preserve">Det CPI</w:t>
            </w:r>
          </w:p>
        </w:tc>
        <w:tc>
          <w:tcPr>
            <w:shd w:fill="D3D3D3" w:val="clear"/>
          </w:tcPr>
          <w:p>
            <w:r>
              <w:t xml:space="preserve">Det Comp</w:t>
            </w:r>
          </w:p>
        </w:tc>
      </w:tr>
      <w:tr>
        <w:tc>
          <w:p>
            <w:r>
              <w:t xml:space="preserve">20%</w:t>
            </w:r>
          </w:p>
        </w:tc>
        <w:tc>
          <w:p>
            <w:r>
              <w:t xml:space="preserve">7.22%</w:t>
            </w:r>
          </w:p>
        </w:tc>
        <w:tc>
          <w:p>
            <w:r>
              <w:t xml:space="preserve">4.96%</w:t>
            </w:r>
          </w:p>
        </w:tc>
        <w:tc>
          <w:p>
            <w:r>
              <w:t xml:space="preserve">7.85%</w:t>
            </w:r>
          </w:p>
        </w:tc>
      </w:tr>
      <w:tr>
        <w:tc>
          <w:p>
            <w:r>
              <w:t xml:space="preserve">30%</w:t>
            </w:r>
          </w:p>
        </w:tc>
        <w:tc>
          <w:p>
            <w:r>
              <w:t xml:space="preserve">5.13%</w:t>
            </w:r>
          </w:p>
        </w:tc>
        <w:tc>
          <w:p>
            <w:r>
              <w:t xml:space="preserve">3.80%</w:t>
            </w:r>
          </w:p>
        </w:tc>
        <w:tc>
          <w:p>
            <w:r>
              <w:t xml:space="preserve">5.07%</w:t>
            </w:r>
          </w:p>
        </w:tc>
      </w:tr>
      <w:tr>
        <w:tc>
          <w:p>
            <w:r>
              <w:t xml:space="preserve">40%</w:t>
            </w:r>
          </w:p>
        </w:tc>
        <w:tc>
          <w:p>
            <w:r>
              <w:t xml:space="preserve">4.47%</w:t>
            </w:r>
          </w:p>
        </w:tc>
        <w:tc>
          <w:p>
            <w:r>
              <w:t xml:space="preserve">4.04%</w:t>
            </w:r>
          </w:p>
        </w:tc>
        <w:tc>
          <w:p>
            <w:r>
              <w:t xml:space="preserve">5.01%</w:t>
            </w:r>
          </w:p>
        </w:tc>
      </w:tr>
      <w:tr>
        <w:tc>
          <w:p>
            <w:r>
              <w:t xml:space="preserve">50%</w:t>
            </w:r>
          </w:p>
        </w:tc>
        <w:tc>
          <w:p>
            <w:r>
              <w:t xml:space="preserve">4.10%</w:t>
            </w:r>
          </w:p>
        </w:tc>
        <w:tc>
          <w:p>
            <w:r>
              <w:t xml:space="preserve">3.06%</w:t>
            </w:r>
          </w:p>
        </w:tc>
        <w:tc>
          <w:p>
            <w:r>
              <w:t xml:space="preserve">5.15%</w:t>
            </w:r>
          </w:p>
        </w:tc>
      </w:tr>
      <w:tr>
        <w:tc>
          <w:p>
            <w:r>
              <w:t xml:space="preserve">60%</w:t>
            </w:r>
          </w:p>
        </w:tc>
        <w:tc>
          <w:p>
            <w:r>
              <w:t xml:space="preserve">3.10%</w:t>
            </w:r>
          </w:p>
        </w:tc>
        <w:tc>
          <w:p>
            <w:r>
              <w:t xml:space="preserve">2.04%</w:t>
            </w:r>
          </w:p>
        </w:tc>
        <w:tc>
          <w:p>
            <w:r>
              <w:t xml:space="preserve">3.89%</w:t>
            </w:r>
          </w:p>
        </w:tc>
      </w:tr>
      <w:tr>
        <w:tc>
          <w:p>
            <w:r>
              <w:t xml:space="preserve">70%</w:t>
            </w:r>
          </w:p>
        </w:tc>
        <w:tc>
          <w:p>
            <w:r>
              <w:t xml:space="preserve">2.12%</w:t>
            </w:r>
          </w:p>
        </w:tc>
        <w:tc>
          <w:p>
            <w:r>
              <w:t xml:space="preserve">1.30%</w:t>
            </w:r>
          </w:p>
        </w:tc>
        <w:tc>
          <w:p>
            <w:r>
              <w:t xml:space="preserve">2.99%</w:t>
            </w:r>
          </w:p>
        </w:tc>
      </w:tr>
      <w:tr>
        <w:tc>
          <w:p>
            <w:r>
              <w:t xml:space="preserve">80%</w:t>
            </w:r>
          </w:p>
        </w:tc>
        <w:tc>
          <w:p>
            <w:r>
              <w:t xml:space="preserve">1.74%</w:t>
            </w:r>
          </w:p>
        </w:tc>
        <w:tc>
          <w:p>
            <w:r>
              <w:t xml:space="preserve">1.17%</w:t>
            </w:r>
          </w:p>
        </w:tc>
        <w:tc>
          <w:p>
            <w:r>
              <w:t xml:space="preserve">2.15%</w:t>
            </w:r>
          </w:p>
        </w:tc>
      </w:tr>
      <w:tr>
        <w:tc>
          <w:p>
            <w:r>
              <w:t xml:space="preserve">90%</w:t>
            </w:r>
          </w:p>
        </w:tc>
        <w:tc>
          <w:p>
            <w:r>
              <w:t xml:space="preserve">1.41%</w:t>
            </w:r>
          </w:p>
        </w:tc>
        <w:tc>
          <w:p>
            <w:r>
              <w:t xml:space="preserve">1.11%</w:t>
            </w:r>
          </w:p>
        </w:tc>
        <w:tc>
          <w:p>
            <w:r>
              <w:t xml:space="preserve">1.54%</w:t>
            </w:r>
          </w:p>
        </w:tc>
      </w:tr>
    </w:tbl>
    <w:p>
      <w:pPr>
        <w:spacing w:line="360" w:lineRule="auto"/>
        <w:jc w:val="center"/>
      </w:pPr>
      <w:r>
        <w:t xml:space="preserve">Table D1: Mean Absolute Percentage Error (MAPE) by Project Completion Stage</w:t>
      </w:r>
    </w:p>
    <w:p>
      <w:pPr>
        <w:spacing w:line="360" w:lineRule="auto"/>
      </w:pPr>
    </w:p>
    <w:p>
      <w:pPr>
        <w:pStyle w:val="Heading 2"/>
        <w:spacing w:line="360" w:lineRule="auto" w:before="200" w:after="200"/>
      </w:pPr>
      <w:r>
        <w:t xml:space="preserve">Appendix E: Key Simulation Parameters and Sensitivity Analysis</w:t>
      </w:r>
    </w:p>
    <w:p>
      <w:pPr>
        <w:spacing w:line="360" w:lineRule="auto"/>
        <w:jc w:val="both"/>
      </w:pPr>
      <w:r>
        <w:t xml:space="preserve">Sensitivity analysis was conducted to examine the robustness of simulation results to variations in model parameters. Key parameters tested included: (1) number of Monte Carlo iterations (5,000 vs. 10,000 vs. 20,000); (2) distribution shape selections; (3) correlation assumptions between cost components. Results showed that increasing iterations beyond 10,000 did not substantially alter results (standard errors decreased by &lt;0.5%), suggesting 10,000 iterations represent an appropriate balance between computational cost and result stability. Distribution sensitivity analysis revealed that triangular distributions, which are easiest to elicit, produced results close to more complex distributions when experts were carefully calibrated. This finding supports the practical feasibility of SEVM implementation without requiring expert probability assessment training.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2026-02-16T11:45:29.109Z</dcterms:created>
  <dcterms:modified xsi:type="dcterms:W3CDTF">2026-02-16T11:45:29.109Z</dcterms:modified>
</cp:coreProperties>
</file>

<file path=docProps/custom.xml><?xml version="1.0" encoding="utf-8"?>
<Properties xmlns="http://schemas.openxmlformats.org/officeDocument/2006/custom-properties" xmlns:vt="http://schemas.openxmlformats.org/officeDocument/2006/docPropsVTypes"/>
</file>