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3CBB" w:rsidRDefault="008D3CBB" w:rsidP="00067244">
      <w:pPr>
        <w:pStyle w:val="NormalWeb"/>
        <w:spacing w:before="0" w:beforeAutospacing="0" w:after="160" w:afterAutospacing="0" w:line="360" w:lineRule="auto"/>
        <w:jc w:val="both"/>
      </w:pPr>
    </w:p>
    <w:p w:rsidR="008D3CBB" w:rsidRPr="00F87F59" w:rsidRDefault="008D3CBB" w:rsidP="00067244">
      <w:pPr>
        <w:spacing w:line="360" w:lineRule="auto"/>
        <w:jc w:val="center"/>
        <w:rPr>
          <w:b/>
          <w:sz w:val="28"/>
        </w:rPr>
      </w:pPr>
      <w:r w:rsidRPr="00F87F59">
        <w:rPr>
          <w:b/>
          <w:sz w:val="28"/>
        </w:rPr>
        <w:t>Impact of AI-Driven Strategic Risk Management on Risk Management Effectiveness in Hybrid Project Environments</w:t>
      </w:r>
    </w:p>
    <w:p w:rsidR="008D3CBB" w:rsidRDefault="008D3CBB" w:rsidP="00067244">
      <w:pPr>
        <w:spacing w:line="360" w:lineRule="auto"/>
        <w:jc w:val="center"/>
      </w:pPr>
    </w:p>
    <w:p w:rsidR="008D3CBB" w:rsidRPr="00FE2A4B" w:rsidRDefault="008D3CBB" w:rsidP="00067244">
      <w:pPr>
        <w:pStyle w:val="Heading1"/>
        <w:spacing w:before="0" w:after="160" w:line="360" w:lineRule="auto"/>
      </w:pPr>
      <w:r w:rsidRPr="00CC27A3">
        <w:t>Methodology</w:t>
      </w:r>
    </w:p>
    <w:p w:rsidR="008D3CBB" w:rsidRPr="00562D0F" w:rsidRDefault="008D3CBB" w:rsidP="00067244">
      <w:pPr>
        <w:pStyle w:val="Heading2"/>
        <w:spacing w:before="0"/>
      </w:pPr>
      <w:r w:rsidRPr="00562D0F">
        <w:t>Introduction</w:t>
      </w:r>
    </w:p>
    <w:p w:rsidR="00D22CEB" w:rsidRDefault="008D3CBB" w:rsidP="00067244">
      <w:pPr>
        <w:spacing w:line="360" w:lineRule="auto"/>
        <w:rPr>
          <w:rFonts w:cs="Times New Roman"/>
        </w:rPr>
      </w:pPr>
      <w:r w:rsidRPr="003D7F3B">
        <w:rPr>
          <w:rFonts w:cs="Times New Roman"/>
        </w:rPr>
        <w:t xml:space="preserve">Research methodology is the term used to describe the methodical framework that guides the research process. It comprises the tools, procedures, and techniques that researchers use to collect, analyse, and assess data in order to address a specific research question. Research methodology must be learnt in order to conduct research in a systematic, exacting, and scientifically sound way. </w:t>
      </w:r>
    </w:p>
    <w:p w:rsidR="008D3CBB" w:rsidRDefault="008D3CBB" w:rsidP="00067244">
      <w:pPr>
        <w:spacing w:line="360" w:lineRule="auto"/>
        <w:rPr>
          <w:rFonts w:cs="Times New Roman"/>
        </w:rPr>
      </w:pPr>
      <w:r w:rsidRPr="003D7F3B">
        <w:rPr>
          <w:rFonts w:cs="Times New Roman"/>
        </w:rPr>
        <w:t xml:space="preserve">In essence, a research technique serves as a roadmap for conducting an inquiry. It assists in selecting the most effective methods for data collection, such as surveys, experiments, or observational studies, as well as the most effective instruments for data processing, such as quantitative analysis and statistical methods. It also involves assessing the validity and reliability of the chosen procedures to ensure that the research findings are trustworthy and relevant to a larger variety of circumstances. </w:t>
      </w:r>
      <w:r>
        <w:rPr>
          <w:rFonts w:cs="Times New Roman"/>
        </w:rPr>
        <w:t xml:space="preserve"> </w:t>
      </w:r>
      <w:r w:rsidRPr="003D7F3B">
        <w:rPr>
          <w:rFonts w:cs="Times New Roman"/>
        </w:rPr>
        <w:t>In addition to the measurements that were used and the conceptual and operational definitions of variables, the chapter examines SEM analysis and the application of various statistical methods. The following section presents the finding</w:t>
      </w:r>
      <w:r>
        <w:rPr>
          <w:rFonts w:cs="Times New Roman"/>
        </w:rPr>
        <w:t>s of research conducted for the tittle</w:t>
      </w:r>
      <w:r w:rsidRPr="00F6286F">
        <w:t xml:space="preserve"> </w:t>
      </w:r>
      <w:r>
        <w:t>“</w:t>
      </w:r>
      <w:r w:rsidRPr="00F6286F">
        <w:rPr>
          <w:rFonts w:cs="Times New Roman"/>
        </w:rPr>
        <w:t>Impact of AI-Driven Strategic Risk Management on Risk Management Effectiveness in Hybrid Project Environments</w:t>
      </w:r>
      <w:r>
        <w:rPr>
          <w:rFonts w:cs="Times New Roman"/>
        </w:rPr>
        <w:t>”.</w:t>
      </w:r>
    </w:p>
    <w:p w:rsidR="008D3CBB" w:rsidRPr="008D3CBB" w:rsidRDefault="008D3CBB" w:rsidP="00067244">
      <w:pPr>
        <w:pStyle w:val="Heading2"/>
        <w:spacing w:before="0"/>
      </w:pPr>
      <w:r w:rsidRPr="008D3CBB">
        <w:t>Research design</w:t>
      </w:r>
    </w:p>
    <w:p w:rsidR="00FE2758" w:rsidRDefault="00147211" w:rsidP="00D65585">
      <w:pPr>
        <w:spacing w:before="160" w:after="0" w:line="360" w:lineRule="auto"/>
        <w:rPr>
          <w:rFonts w:cs="Times New Roman"/>
        </w:rPr>
      </w:pPr>
      <w:r w:rsidRPr="00703D2B">
        <w:rPr>
          <w:rFonts w:cs="Times New Roman"/>
          <w:lang w:val="en-US" w:bidi="en-US"/>
        </w:rPr>
        <w:t>This study examined</w:t>
      </w:r>
      <w:r>
        <w:rPr>
          <w:rFonts w:cs="Times New Roman"/>
          <w:lang w:val="en-US" w:bidi="en-US"/>
        </w:rPr>
        <w:t xml:space="preserve"> </w:t>
      </w:r>
      <w:r w:rsidRPr="00073F3E">
        <w:rPr>
          <w:rFonts w:cs="Times New Roman"/>
        </w:rPr>
        <w:t>the</w:t>
      </w:r>
      <w:r>
        <w:rPr>
          <w:rFonts w:cs="Times New Roman"/>
        </w:rPr>
        <w:t xml:space="preserve"> impact of AI-driven strategic risk management on risk </w:t>
      </w:r>
      <w:r w:rsidR="004950AD">
        <w:rPr>
          <w:rFonts w:cs="Times New Roman"/>
        </w:rPr>
        <w:t>management</w:t>
      </w:r>
      <w:r>
        <w:rPr>
          <w:rFonts w:cs="Times New Roman"/>
        </w:rPr>
        <w:t xml:space="preserve"> effectiveness in hybrid project environments and has been carried out through a </w:t>
      </w:r>
      <w:r w:rsidRPr="00073F3E">
        <w:rPr>
          <w:rFonts w:cs="Times New Roman"/>
        </w:rPr>
        <w:t xml:space="preserve">quantitative research methodology </w:t>
      </w:r>
      <w:r>
        <w:rPr>
          <w:rFonts w:cs="Times New Roman"/>
        </w:rPr>
        <w:t>based</w:t>
      </w:r>
      <w:r>
        <w:rPr>
          <w:rFonts w:cs="Times New Roman"/>
        </w:rPr>
        <w:t xml:space="preserve"> </w:t>
      </w:r>
      <w:r>
        <w:rPr>
          <w:rFonts w:cs="Times New Roman"/>
          <w:lang w:val="en-US" w:bidi="en-US"/>
        </w:rPr>
        <w:t xml:space="preserve">on primary data. </w:t>
      </w:r>
      <w:r w:rsidR="008D3CBB">
        <w:t xml:space="preserve"> </w:t>
      </w:r>
      <w:r w:rsidR="00506E71" w:rsidRPr="00644B80">
        <w:rPr>
          <w:rFonts w:cs="Times New Roman"/>
          <w:lang w:eastAsia="en-IN"/>
        </w:rPr>
        <w:t xml:space="preserve">A structured approach is used to systematically collect and analyse data from a representative sample of </w:t>
      </w:r>
      <w:r w:rsidR="00506E71" w:rsidRPr="00506E71">
        <w:rPr>
          <w:rFonts w:cs="Times New Roman"/>
          <w:lang w:eastAsia="en-IN"/>
        </w:rPr>
        <w:t>384 project managers, risk managers, and project team members involved in hybrid project environments across various industries</w:t>
      </w:r>
      <w:r w:rsidR="00506E71">
        <w:rPr>
          <w:rFonts w:cs="Times New Roman"/>
          <w:lang w:eastAsia="en-IN"/>
        </w:rPr>
        <w:t xml:space="preserve"> </w:t>
      </w:r>
      <w:r w:rsidR="00506E71" w:rsidRPr="00644B80">
        <w:rPr>
          <w:rFonts w:cs="Times New Roman"/>
          <w:lang w:eastAsia="en-IN"/>
        </w:rPr>
        <w:t>to ensure statistical reliability and validity.</w:t>
      </w:r>
      <w:r w:rsidR="0069555C">
        <w:t xml:space="preserve"> </w:t>
      </w:r>
      <w:r w:rsidR="00FE2758">
        <w:t xml:space="preserve">The primary data were collected through </w:t>
      </w:r>
      <w:r w:rsidR="00506E71" w:rsidRPr="00644B80">
        <w:rPr>
          <w:rFonts w:eastAsia="Times New Roman" w:cs="Times New Roman"/>
          <w:lang w:eastAsia="en-IN"/>
        </w:rPr>
        <w:t>a standardized questionnaire using a five-point Likert-scales items measured key dimensions such as</w:t>
      </w:r>
      <w:r w:rsidR="00506E71">
        <w:rPr>
          <w:rFonts w:eastAsia="Times New Roman" w:cs="Times New Roman"/>
          <w:lang w:eastAsia="en-IN"/>
        </w:rPr>
        <w:t>,</w:t>
      </w:r>
      <w:r w:rsidR="00670B03" w:rsidRPr="00670B03">
        <w:t xml:space="preserve"> </w:t>
      </w:r>
      <w:r w:rsidR="00670B03" w:rsidRPr="00670B03">
        <w:rPr>
          <w:rFonts w:eastAsia="Times New Roman" w:cs="Times New Roman"/>
          <w:lang w:eastAsia="en-IN"/>
        </w:rPr>
        <w:t>risk process alignment between Agile and Waterfall methodologies,</w:t>
      </w:r>
      <w:r w:rsidR="00506E71">
        <w:rPr>
          <w:rFonts w:eastAsia="Times New Roman" w:cs="Times New Roman"/>
          <w:lang w:eastAsia="en-IN"/>
        </w:rPr>
        <w:t xml:space="preserve"> </w:t>
      </w:r>
      <w:r w:rsidR="000E0229">
        <w:rPr>
          <w:rFonts w:cs="Times New Roman"/>
        </w:rPr>
        <w:t xml:space="preserve"> </w:t>
      </w:r>
      <w:r w:rsidR="00780843" w:rsidRPr="00780843">
        <w:rPr>
          <w:rFonts w:cs="Times New Roman"/>
        </w:rPr>
        <w:t xml:space="preserve">Risk Visibility </w:t>
      </w:r>
      <w:r w:rsidR="00780843" w:rsidRPr="00780843">
        <w:rPr>
          <w:rFonts w:cs="Times New Roman"/>
        </w:rPr>
        <w:lastRenderedPageBreak/>
        <w:t>Integration</w:t>
      </w:r>
      <w:r w:rsidR="00780843">
        <w:rPr>
          <w:rFonts w:cs="Times New Roman"/>
        </w:rPr>
        <w:t xml:space="preserve">, </w:t>
      </w:r>
      <w:r w:rsidR="00780843" w:rsidRPr="00780843">
        <w:rPr>
          <w:rFonts w:cs="Times New Roman"/>
        </w:rPr>
        <w:t>Timely Risk Escalation</w:t>
      </w:r>
      <w:r w:rsidR="00780843">
        <w:rPr>
          <w:rFonts w:cs="Times New Roman"/>
        </w:rPr>
        <w:t xml:space="preserve">, </w:t>
      </w:r>
      <w:r w:rsidR="00780843" w:rsidRPr="00780843">
        <w:rPr>
          <w:rFonts w:cs="Times New Roman"/>
        </w:rPr>
        <w:t>Governance Consistency</w:t>
      </w:r>
      <w:r w:rsidR="00780843">
        <w:rPr>
          <w:rFonts w:cs="Times New Roman"/>
        </w:rPr>
        <w:t xml:space="preserve">, </w:t>
      </w:r>
      <w:r w:rsidR="00780843" w:rsidRPr="00780843">
        <w:rPr>
          <w:rFonts w:cs="Times New Roman"/>
        </w:rPr>
        <w:t>AI-Driven Risk Analytics Capability</w:t>
      </w:r>
      <w:r w:rsidR="00780843">
        <w:rPr>
          <w:rFonts w:cs="Times New Roman"/>
        </w:rPr>
        <w:t xml:space="preserve">, </w:t>
      </w:r>
      <w:r w:rsidR="00780843" w:rsidRPr="00780843">
        <w:rPr>
          <w:rFonts w:cs="Times New Roman"/>
        </w:rPr>
        <w:t>Risk Management Effectiveness in Hybrid Project</w:t>
      </w:r>
      <w:r w:rsidR="00780843">
        <w:rPr>
          <w:rFonts w:cs="Times New Roman"/>
        </w:rPr>
        <w:t xml:space="preserve">. </w:t>
      </w:r>
      <w:r w:rsidR="00824452" w:rsidRPr="00824452">
        <w:rPr>
          <w:rFonts w:cs="Times New Roman"/>
        </w:rPr>
        <w:t>Data analysis was performed using</w:t>
      </w:r>
      <w:r w:rsidR="00191256">
        <w:rPr>
          <w:rFonts w:cs="Times New Roman"/>
        </w:rPr>
        <w:t xml:space="preserve"> </w:t>
      </w:r>
      <w:r w:rsidR="00191256" w:rsidRPr="00363140">
        <w:t>SPSS</w:t>
      </w:r>
      <w:r w:rsidR="00D24720">
        <w:t xml:space="preserve"> </w:t>
      </w:r>
      <w:r w:rsidR="0065278B">
        <w:t xml:space="preserve">(Statistical Package for the social sciences) </w:t>
      </w:r>
      <w:r w:rsidR="00D24720">
        <w:t xml:space="preserve">and </w:t>
      </w:r>
      <w:r w:rsidR="00824452" w:rsidRPr="00824452">
        <w:rPr>
          <w:rFonts w:cs="Times New Roman"/>
        </w:rPr>
        <w:t>AMOS software to perform Structural Equation Modelling (SEM). Descriptive statistics, reliability analysis, Composite reliability (CR), Average variance extracted (AVE) and regression analysis were employed to evaluate the proposed hypotheses and examined the correlations between the primary variables.</w:t>
      </w:r>
    </w:p>
    <w:p w:rsidR="008D3CBB" w:rsidRPr="00B17D01" w:rsidRDefault="008D3CBB" w:rsidP="00430975">
      <w:pPr>
        <w:pStyle w:val="Heading2"/>
      </w:pPr>
      <w:r w:rsidRPr="00B17D01">
        <w:t>Objectives</w:t>
      </w:r>
    </w:p>
    <w:p w:rsidR="008D3CBB" w:rsidRPr="00341128" w:rsidRDefault="008D3CBB" w:rsidP="00067244">
      <w:pPr>
        <w:pStyle w:val="NormalWeb"/>
        <w:numPr>
          <w:ilvl w:val="0"/>
          <w:numId w:val="16"/>
        </w:numPr>
        <w:spacing w:before="0" w:beforeAutospacing="0" w:after="160" w:afterAutospacing="0" w:line="360" w:lineRule="auto"/>
        <w:jc w:val="both"/>
      </w:pPr>
      <w:r w:rsidRPr="00341128">
        <w:t xml:space="preserve">To examine the impact of </w:t>
      </w:r>
      <w:r w:rsidRPr="00341128">
        <w:rPr>
          <w:rStyle w:val="Strong"/>
          <w:rFonts w:eastAsiaTheme="majorEastAsia"/>
          <w:b w:val="0"/>
          <w:bCs w:val="0"/>
        </w:rPr>
        <w:t>risk process alignment</w:t>
      </w:r>
      <w:r w:rsidRPr="00341128">
        <w:t xml:space="preserve"> between Agile and Waterfall methodologies on risk management effectiveness in hybrid project environments.</w:t>
      </w:r>
    </w:p>
    <w:p w:rsidR="008D3CBB" w:rsidRPr="00341128" w:rsidRDefault="008D3CBB" w:rsidP="00067244">
      <w:pPr>
        <w:pStyle w:val="NormalWeb"/>
        <w:numPr>
          <w:ilvl w:val="0"/>
          <w:numId w:val="16"/>
        </w:numPr>
        <w:spacing w:before="0" w:beforeAutospacing="0" w:after="160" w:afterAutospacing="0" w:line="360" w:lineRule="auto"/>
        <w:jc w:val="both"/>
      </w:pPr>
      <w:r w:rsidRPr="00341128">
        <w:t xml:space="preserve">To analyze the influence of </w:t>
      </w:r>
      <w:r w:rsidRPr="00341128">
        <w:rPr>
          <w:rStyle w:val="Strong"/>
          <w:rFonts w:eastAsiaTheme="majorEastAsia"/>
          <w:b w:val="0"/>
          <w:bCs w:val="0"/>
        </w:rPr>
        <w:t>risk visibility integration</w:t>
      </w:r>
      <w:r w:rsidRPr="00341128">
        <w:t xml:space="preserve"> on risk management effectiveness in hybrid projects.</w:t>
      </w:r>
    </w:p>
    <w:p w:rsidR="008D3CBB" w:rsidRPr="00341128" w:rsidRDefault="008D3CBB" w:rsidP="00067244">
      <w:pPr>
        <w:pStyle w:val="NormalWeb"/>
        <w:numPr>
          <w:ilvl w:val="0"/>
          <w:numId w:val="16"/>
        </w:numPr>
        <w:spacing w:before="0" w:beforeAutospacing="0" w:after="160" w:afterAutospacing="0" w:line="360" w:lineRule="auto"/>
        <w:jc w:val="both"/>
      </w:pPr>
      <w:r w:rsidRPr="00341128">
        <w:t xml:space="preserve">To assess the effect of </w:t>
      </w:r>
      <w:r w:rsidRPr="00341128">
        <w:rPr>
          <w:rStyle w:val="Strong"/>
          <w:rFonts w:eastAsiaTheme="majorEastAsia"/>
          <w:b w:val="0"/>
          <w:bCs w:val="0"/>
        </w:rPr>
        <w:t>timely risk escalation</w:t>
      </w:r>
      <w:r w:rsidRPr="00341128">
        <w:t xml:space="preserve"> on risk management effectiveness in hybrid project environments.</w:t>
      </w:r>
    </w:p>
    <w:p w:rsidR="008D3CBB" w:rsidRPr="00341128" w:rsidRDefault="008D3CBB" w:rsidP="00067244">
      <w:pPr>
        <w:pStyle w:val="NormalWeb"/>
        <w:numPr>
          <w:ilvl w:val="0"/>
          <w:numId w:val="16"/>
        </w:numPr>
        <w:spacing w:before="0" w:beforeAutospacing="0" w:after="160" w:afterAutospacing="0" w:line="360" w:lineRule="auto"/>
        <w:jc w:val="both"/>
      </w:pPr>
      <w:r w:rsidRPr="00341128">
        <w:t xml:space="preserve">To evaluate the role of </w:t>
      </w:r>
      <w:r w:rsidRPr="00341128">
        <w:rPr>
          <w:rStyle w:val="Strong"/>
          <w:rFonts w:eastAsiaTheme="majorEastAsia"/>
          <w:b w:val="0"/>
          <w:bCs w:val="0"/>
        </w:rPr>
        <w:t>governance consistency</w:t>
      </w:r>
      <w:r w:rsidRPr="00341128">
        <w:t xml:space="preserve"> in enhancing risk management effectiveness in hybrid projects.</w:t>
      </w:r>
    </w:p>
    <w:p w:rsidR="008D3CBB" w:rsidRPr="00341128" w:rsidRDefault="008D3CBB" w:rsidP="00067244">
      <w:pPr>
        <w:pStyle w:val="NormalWeb"/>
        <w:numPr>
          <w:ilvl w:val="0"/>
          <w:numId w:val="16"/>
        </w:numPr>
        <w:spacing w:before="0" w:beforeAutospacing="0" w:after="160" w:afterAutospacing="0" w:line="360" w:lineRule="auto"/>
        <w:jc w:val="both"/>
      </w:pPr>
      <w:r w:rsidRPr="00341128">
        <w:t xml:space="preserve">To examine the impact of </w:t>
      </w:r>
      <w:r w:rsidRPr="00341128">
        <w:rPr>
          <w:rStyle w:val="Strong"/>
          <w:rFonts w:eastAsiaTheme="majorEastAsia"/>
          <w:b w:val="0"/>
          <w:bCs w:val="0"/>
        </w:rPr>
        <w:t>AI-driven risk analytics capability</w:t>
      </w:r>
      <w:r w:rsidRPr="00341128">
        <w:t xml:space="preserve"> on overall risk management effectiveness in hybrid project environments.</w:t>
      </w:r>
    </w:p>
    <w:p w:rsidR="002B22B8" w:rsidRDefault="002B22B8" w:rsidP="00067244">
      <w:pPr>
        <w:pStyle w:val="Heading2"/>
        <w:spacing w:before="0"/>
      </w:pPr>
      <w:r>
        <w:t>Hypothesis</w:t>
      </w:r>
    </w:p>
    <w:p w:rsidR="00BF2203" w:rsidRDefault="008D3CBB" w:rsidP="00067244">
      <w:pPr>
        <w:pStyle w:val="NormalWeb"/>
        <w:spacing w:before="0" w:beforeAutospacing="0" w:after="160" w:afterAutospacing="0" w:line="360" w:lineRule="auto"/>
        <w:jc w:val="both"/>
      </w:pPr>
      <w:r>
        <w:rPr>
          <w:rStyle w:val="Strong"/>
          <w:rFonts w:eastAsiaTheme="majorEastAsia"/>
        </w:rPr>
        <w:t>H01:</w:t>
      </w:r>
      <w:r>
        <w:t xml:space="preserve"> Risk process alignment has no significant impact on risk management effectiveness in hybrid project environments.</w:t>
      </w:r>
    </w:p>
    <w:p w:rsidR="00BF2203" w:rsidRDefault="00AE027C" w:rsidP="00067244">
      <w:pPr>
        <w:pStyle w:val="NormalWeb"/>
        <w:spacing w:before="0" w:beforeAutospacing="0" w:after="160" w:afterAutospacing="0" w:line="360" w:lineRule="auto"/>
        <w:jc w:val="both"/>
      </w:pPr>
      <w:r>
        <w:rPr>
          <w:rStyle w:val="Strong"/>
          <w:rFonts w:eastAsiaTheme="majorEastAsia"/>
        </w:rPr>
        <w:t>H1:</w:t>
      </w:r>
      <w:r>
        <w:t xml:space="preserve"> Risk process alignment has a significant positive impact on risk management effectiveness in hybrid project environments.</w:t>
      </w:r>
    </w:p>
    <w:p w:rsidR="00BF2203" w:rsidRDefault="008D3CBB" w:rsidP="00067244">
      <w:pPr>
        <w:pStyle w:val="NormalWeb"/>
        <w:spacing w:before="0" w:beforeAutospacing="0" w:after="160" w:afterAutospacing="0" w:line="360" w:lineRule="auto"/>
        <w:jc w:val="both"/>
      </w:pPr>
      <w:r>
        <w:rPr>
          <w:rStyle w:val="Strong"/>
          <w:rFonts w:eastAsiaTheme="majorEastAsia"/>
        </w:rPr>
        <w:t>H02:</w:t>
      </w:r>
      <w:r>
        <w:t xml:space="preserve"> Risk visibility integration has no significant impact on risk management effectiveness in hybrid project environments.</w:t>
      </w:r>
    </w:p>
    <w:p w:rsidR="00BF2203" w:rsidRDefault="00AE027C" w:rsidP="00067244">
      <w:pPr>
        <w:pStyle w:val="NormalWeb"/>
        <w:spacing w:before="0" w:beforeAutospacing="0" w:after="160" w:afterAutospacing="0" w:line="360" w:lineRule="auto"/>
        <w:jc w:val="both"/>
      </w:pPr>
      <w:r>
        <w:rPr>
          <w:rStyle w:val="Strong"/>
          <w:rFonts w:eastAsiaTheme="majorEastAsia"/>
        </w:rPr>
        <w:t>H2:</w:t>
      </w:r>
      <w:r>
        <w:t xml:space="preserve"> Risk visibility integration has a significant positive impact on risk management effectiveness in hybrid project environments.</w:t>
      </w:r>
    </w:p>
    <w:p w:rsidR="00BF2203" w:rsidRDefault="008D3CBB" w:rsidP="00067244">
      <w:pPr>
        <w:pStyle w:val="NormalWeb"/>
        <w:spacing w:before="0" w:beforeAutospacing="0" w:after="160" w:afterAutospacing="0" w:line="360" w:lineRule="auto"/>
        <w:jc w:val="both"/>
      </w:pPr>
      <w:r>
        <w:rPr>
          <w:rStyle w:val="Strong"/>
          <w:rFonts w:eastAsiaTheme="majorEastAsia"/>
        </w:rPr>
        <w:t>H03:</w:t>
      </w:r>
      <w:r>
        <w:t xml:space="preserve"> Timely risk escalation has no significant impact on risk management effectiveness in hybrid project environments.</w:t>
      </w:r>
    </w:p>
    <w:p w:rsidR="00BF2203" w:rsidRDefault="00AE027C" w:rsidP="00067244">
      <w:pPr>
        <w:pStyle w:val="NormalWeb"/>
        <w:spacing w:before="0" w:beforeAutospacing="0" w:after="160" w:afterAutospacing="0" w:line="360" w:lineRule="auto"/>
        <w:jc w:val="both"/>
      </w:pPr>
      <w:r>
        <w:rPr>
          <w:rStyle w:val="Strong"/>
          <w:rFonts w:eastAsiaTheme="majorEastAsia"/>
        </w:rPr>
        <w:lastRenderedPageBreak/>
        <w:t>H3:</w:t>
      </w:r>
      <w:r>
        <w:t xml:space="preserve"> Timely risk escalation has a significant positive impact on risk management effectiveness in hybrid project environments.</w:t>
      </w:r>
    </w:p>
    <w:p w:rsidR="00BF2203" w:rsidRDefault="008D3CBB" w:rsidP="00067244">
      <w:pPr>
        <w:pStyle w:val="NormalWeb"/>
        <w:spacing w:before="0" w:beforeAutospacing="0" w:after="160" w:afterAutospacing="0" w:line="360" w:lineRule="auto"/>
        <w:jc w:val="both"/>
      </w:pPr>
      <w:r>
        <w:rPr>
          <w:rStyle w:val="Strong"/>
          <w:rFonts w:eastAsiaTheme="majorEastAsia"/>
        </w:rPr>
        <w:t>H04:</w:t>
      </w:r>
      <w:r>
        <w:t xml:space="preserve"> Governance consistency has no significant impact on risk management effectiveness in hybrid project environments.</w:t>
      </w:r>
    </w:p>
    <w:p w:rsidR="00BF2203" w:rsidRDefault="00AE027C" w:rsidP="00067244">
      <w:pPr>
        <w:pStyle w:val="NormalWeb"/>
        <w:spacing w:before="0" w:beforeAutospacing="0" w:after="160" w:afterAutospacing="0" w:line="360" w:lineRule="auto"/>
        <w:jc w:val="both"/>
      </w:pPr>
      <w:r>
        <w:rPr>
          <w:rStyle w:val="Strong"/>
          <w:rFonts w:eastAsiaTheme="majorEastAsia"/>
        </w:rPr>
        <w:t>H4:</w:t>
      </w:r>
      <w:r>
        <w:t xml:space="preserve"> Governance consistency has a significant positive impact on risk management effectiveness in hybrid project environments.</w:t>
      </w:r>
    </w:p>
    <w:p w:rsidR="00BF2203" w:rsidRDefault="008D3CBB" w:rsidP="00067244">
      <w:pPr>
        <w:pStyle w:val="NormalWeb"/>
        <w:spacing w:before="0" w:beforeAutospacing="0" w:after="160" w:afterAutospacing="0" w:line="360" w:lineRule="auto"/>
        <w:jc w:val="both"/>
      </w:pPr>
      <w:r>
        <w:rPr>
          <w:rStyle w:val="Strong"/>
          <w:rFonts w:eastAsiaTheme="majorEastAsia"/>
        </w:rPr>
        <w:t>H05:</w:t>
      </w:r>
      <w:r>
        <w:t xml:space="preserve"> AI-driven risk analytics capability has no significant impact on risk management effectiveness in hybrid project environments.</w:t>
      </w:r>
    </w:p>
    <w:p w:rsidR="008D3CBB" w:rsidRDefault="008D3CBB" w:rsidP="00067244">
      <w:pPr>
        <w:pStyle w:val="NormalWeb"/>
        <w:spacing w:before="0" w:beforeAutospacing="0" w:after="160" w:afterAutospacing="0" w:line="360" w:lineRule="auto"/>
        <w:jc w:val="both"/>
      </w:pPr>
      <w:r>
        <w:rPr>
          <w:rStyle w:val="Strong"/>
          <w:rFonts w:eastAsiaTheme="majorEastAsia"/>
        </w:rPr>
        <w:t>H5:</w:t>
      </w:r>
      <w:r>
        <w:t xml:space="preserve"> AI-driven risk analytics capability has a significant positive impact on risk management effectiveness in hybrid project environments.</w:t>
      </w:r>
    </w:p>
    <w:p w:rsidR="00B04E63" w:rsidRDefault="00B04E63" w:rsidP="00067244">
      <w:pPr>
        <w:pStyle w:val="Heading2"/>
        <w:spacing w:before="0"/>
        <w:rPr>
          <w:rFonts w:eastAsia="Times New Roman"/>
          <w:lang w:eastAsia="en-IN"/>
        </w:rPr>
      </w:pPr>
      <w:bookmarkStart w:id="0" w:name="_Toc218340079"/>
      <w:bookmarkStart w:id="1" w:name="_Toc219538811"/>
      <w:r w:rsidRPr="00545C5F">
        <w:rPr>
          <w:rFonts w:eastAsia="Times New Roman"/>
          <w:lang w:eastAsia="en-IN"/>
        </w:rPr>
        <w:t>Conceptual framework</w:t>
      </w:r>
      <w:bookmarkEnd w:id="0"/>
      <w:bookmarkEnd w:id="1"/>
    </w:p>
    <w:p w:rsidR="006E6BD0" w:rsidRDefault="006601F8" w:rsidP="006E6BD0">
      <w:pPr>
        <w:keepNext/>
        <w:jc w:val="center"/>
      </w:pPr>
      <w:r w:rsidRPr="006601F8">
        <w:rPr>
          <w:lang w:val="en-US" w:eastAsia="en-IN"/>
        </w:rPr>
        <w:drawing>
          <wp:inline distT="0" distB="0" distL="0" distR="0" wp14:anchorId="682E5A5E" wp14:editId="62A82858">
            <wp:extent cx="5191125" cy="3352800"/>
            <wp:effectExtent l="0" t="0" r="9525" b="0"/>
            <wp:docPr id="66183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34758" name=""/>
                    <pic:cNvPicPr/>
                  </pic:nvPicPr>
                  <pic:blipFill rotWithShape="1">
                    <a:blip r:embed="rId6"/>
                    <a:srcRect l="7783" t="4835" b="5598"/>
                    <a:stretch>
                      <a:fillRect/>
                    </a:stretch>
                  </pic:blipFill>
                  <pic:spPr bwMode="auto">
                    <a:xfrm>
                      <a:off x="0" y="0"/>
                      <a:ext cx="5191850" cy="3353268"/>
                    </a:xfrm>
                    <a:prstGeom prst="rect">
                      <a:avLst/>
                    </a:prstGeom>
                    <a:ln>
                      <a:noFill/>
                    </a:ln>
                    <a:extLst>
                      <a:ext uri="{53640926-AAD7-44D8-BBD7-CCE9431645EC}">
                        <a14:shadowObscured xmlns:a14="http://schemas.microsoft.com/office/drawing/2010/main"/>
                      </a:ext>
                    </a:extLst>
                  </pic:spPr>
                </pic:pic>
              </a:graphicData>
            </a:graphic>
          </wp:inline>
        </w:drawing>
      </w:r>
    </w:p>
    <w:p w:rsidR="0004217E" w:rsidRDefault="006E6BD0" w:rsidP="006E6BD0">
      <w:pPr>
        <w:pStyle w:val="Caption"/>
        <w:jc w:val="center"/>
        <w:rPr>
          <w:b/>
          <w:bCs/>
          <w:i w:val="0"/>
          <w:iCs w:val="0"/>
          <w:color w:val="auto"/>
        </w:rPr>
      </w:pPr>
      <w:r w:rsidRPr="006E6BD0">
        <w:rPr>
          <w:b/>
          <w:bCs/>
          <w:i w:val="0"/>
          <w:iCs w:val="0"/>
          <w:color w:val="auto"/>
        </w:rPr>
        <w:t xml:space="preserve">Figure </w:t>
      </w:r>
      <w:r w:rsidRPr="006E6BD0">
        <w:rPr>
          <w:b/>
          <w:bCs/>
          <w:i w:val="0"/>
          <w:iCs w:val="0"/>
          <w:color w:val="auto"/>
        </w:rPr>
        <w:fldChar w:fldCharType="begin"/>
      </w:r>
      <w:r w:rsidRPr="006E6BD0">
        <w:rPr>
          <w:b/>
          <w:bCs/>
          <w:i w:val="0"/>
          <w:iCs w:val="0"/>
          <w:color w:val="auto"/>
        </w:rPr>
        <w:instrText xml:space="preserve"> SEQ Figure \* ARABIC </w:instrText>
      </w:r>
      <w:r w:rsidRPr="006E6BD0">
        <w:rPr>
          <w:b/>
          <w:bCs/>
          <w:i w:val="0"/>
          <w:iCs w:val="0"/>
          <w:color w:val="auto"/>
        </w:rPr>
        <w:fldChar w:fldCharType="separate"/>
      </w:r>
      <w:r w:rsidRPr="006E6BD0">
        <w:rPr>
          <w:b/>
          <w:bCs/>
          <w:i w:val="0"/>
          <w:iCs w:val="0"/>
          <w:noProof/>
          <w:color w:val="auto"/>
        </w:rPr>
        <w:t>1</w:t>
      </w:r>
      <w:r w:rsidRPr="006E6BD0">
        <w:rPr>
          <w:b/>
          <w:bCs/>
          <w:i w:val="0"/>
          <w:iCs w:val="0"/>
          <w:color w:val="auto"/>
        </w:rPr>
        <w:fldChar w:fldCharType="end"/>
      </w:r>
      <w:r w:rsidRPr="006E6BD0">
        <w:rPr>
          <w:b/>
          <w:bCs/>
          <w:i w:val="0"/>
          <w:iCs w:val="0"/>
          <w:color w:val="auto"/>
        </w:rPr>
        <w:t xml:space="preserve"> Conceptual Frame work</w:t>
      </w:r>
    </w:p>
    <w:p w:rsidR="003F3308" w:rsidRPr="001B2BC0" w:rsidRDefault="001B2BC0" w:rsidP="001B2BC0">
      <w:pPr>
        <w:spacing w:line="360" w:lineRule="auto"/>
        <w:rPr>
          <w:lang w:val="en-US" w:eastAsia="en-IN"/>
        </w:rPr>
      </w:pPr>
      <w:r w:rsidRPr="001B2BC0">
        <w:rPr>
          <w:lang w:eastAsia="en-IN"/>
        </w:rPr>
        <w:t xml:space="preserve">The conceptual framework depicted in the diagram illustrates the key factors influencing risk management effectiveness in hybrid projects. It identifies five critical dimensions: Risk Process Alignment, which ensures that risk management procedures are integrated and consistent with overall project processes; Risk Visibility Integration, which emphasizes the timely and transparent sharing of risk information across stakeholders; Timely Risk Escalation, highlighting the importance of promptly addressing emerging risks to prevent escalation; </w:t>
      </w:r>
      <w:r w:rsidRPr="001B2BC0">
        <w:rPr>
          <w:lang w:eastAsia="en-IN"/>
        </w:rPr>
        <w:lastRenderedPageBreak/>
        <w:t>Governance Consistency, ensuring that organizational policies, standards, and decision-making structures are uniformly applied; and AI-Driven Risk Analytics Capability, reflecting the use of artificial intelligence tools to enhance risk identification, assessment, and mitigation. Collectively, these dimensions are hypothesized to positively influence the overall effectiveness of risk management in hybrid project environments, where traditional and agile practices coexist.</w:t>
      </w:r>
    </w:p>
    <w:p w:rsidR="008D3CBB" w:rsidRDefault="008D3CBB" w:rsidP="00067244">
      <w:pPr>
        <w:pStyle w:val="Heading2"/>
        <w:spacing w:before="0"/>
      </w:pPr>
      <w:r w:rsidRPr="00F8021A">
        <w:t>Sample Design</w:t>
      </w:r>
    </w:p>
    <w:p w:rsidR="0004217E" w:rsidRDefault="00FA077E" w:rsidP="006C4FA4">
      <w:pPr>
        <w:spacing w:line="360" w:lineRule="auto"/>
        <w:rPr>
          <w:lang w:val="en-US"/>
        </w:rPr>
      </w:pPr>
      <w:r w:rsidRPr="00B46078">
        <w:t>In this study, a simple random sampling method was adopted to</w:t>
      </w:r>
      <w:r w:rsidR="00786022" w:rsidRPr="00B46078">
        <w:t xml:space="preserve"> </w:t>
      </w:r>
      <w:r w:rsidR="00786022" w:rsidRPr="00B46078">
        <w:rPr>
          <w:lang w:val="en-US"/>
        </w:rPr>
        <w:t xml:space="preserve">ensure adequate and unbiased representation of professionals working in hybrid project environments, thereby providing a well-justified coverage of respondents relevant to examining the impact of AI-driven strategic risk management on risk management effectiveness. The sampling framework was designed by considering key demographic and professional parameters such as age, gender, educational qualification, years of experience, organizational role, industry type, organizational size, and level of involvement in hybrid projects, thus ensuring balanced representation across different respondent groups. Participants were selected from diverse professional roles, including project managers, risk managers, PMO professionals, agile practitioners, and IT professionals, to capture varied perspectives on risk management practices and AI adoption in hybrid project settings. </w:t>
      </w:r>
    </w:p>
    <w:p w:rsidR="008D3CBB" w:rsidRPr="00B46078" w:rsidRDefault="00786022" w:rsidP="006C4FA4">
      <w:pPr>
        <w:spacing w:line="360" w:lineRule="auto"/>
        <w:rPr>
          <w:lang w:val="en-US"/>
        </w:rPr>
      </w:pPr>
      <w:r w:rsidRPr="00B46078">
        <w:rPr>
          <w:lang w:val="en-US"/>
        </w:rPr>
        <w:t>The sampling design also ensured representation across multiple industries and geographical locations within India, enhancing the diversity and generalizability of the study findings while minimizing sampling bias. The intended and achieved sample size of 384 respondents was considered statistically adequate for conducting robust statistical analyses, including Structural Equation Modelling (SEM), ensuring the reliability, validity, and generalizability of the research outcomes.</w:t>
      </w:r>
    </w:p>
    <w:p w:rsidR="008D3CBB" w:rsidRPr="00F8021A" w:rsidRDefault="008D3CBB" w:rsidP="00067244">
      <w:pPr>
        <w:pStyle w:val="Heading2"/>
        <w:spacing w:before="0"/>
      </w:pPr>
      <w:r w:rsidRPr="00F8021A">
        <w:t>Data collection</w:t>
      </w:r>
    </w:p>
    <w:p w:rsidR="008D3CBB" w:rsidRDefault="00EE3607" w:rsidP="00B206DB">
      <w:pPr>
        <w:spacing w:line="360" w:lineRule="auto"/>
      </w:pPr>
      <w:r w:rsidRPr="003F7436">
        <w:t xml:space="preserve">A quantitative </w:t>
      </w:r>
      <w:r>
        <w:t>approach was adopted for this</w:t>
      </w:r>
      <w:r w:rsidRPr="003F7436">
        <w:t xml:space="preserve"> study, where systematic data collection procedures have been performed to ensure accuracy and reliability. In this respect, primary data have been collected through a structured questionnaire with statements containing five-point Likert-scale items, ranging from strongly disagree to strongly agree, in order to measure perceptions of</w:t>
      </w:r>
      <w:r w:rsidR="009900E7">
        <w:t xml:space="preserve"> </w:t>
      </w:r>
      <w:r w:rsidR="009900E7" w:rsidRPr="00670B03">
        <w:rPr>
          <w:rFonts w:eastAsia="Times New Roman" w:cs="Times New Roman"/>
          <w:lang w:eastAsia="en-IN"/>
        </w:rPr>
        <w:t xml:space="preserve">risk process alignment between Agile and Waterfall </w:t>
      </w:r>
      <w:r w:rsidR="00302733" w:rsidRPr="00670B03">
        <w:rPr>
          <w:lang w:eastAsia="en-IN"/>
        </w:rPr>
        <w:t>methodologies,</w:t>
      </w:r>
      <w:r w:rsidR="00302733">
        <w:rPr>
          <w:lang w:eastAsia="en-IN"/>
        </w:rPr>
        <w:t xml:space="preserve"> </w:t>
      </w:r>
      <w:r w:rsidR="00302733">
        <w:t>Risk</w:t>
      </w:r>
      <w:r w:rsidR="009900E7" w:rsidRPr="00780843">
        <w:rPr>
          <w:rFonts w:cs="Times New Roman"/>
        </w:rPr>
        <w:t xml:space="preserve"> Visibility Integration</w:t>
      </w:r>
      <w:r w:rsidR="009900E7">
        <w:rPr>
          <w:rFonts w:cs="Times New Roman"/>
        </w:rPr>
        <w:t xml:space="preserve">, </w:t>
      </w:r>
      <w:r w:rsidR="009900E7" w:rsidRPr="00780843">
        <w:rPr>
          <w:rFonts w:cs="Times New Roman"/>
        </w:rPr>
        <w:t>Timely Risk Escalation</w:t>
      </w:r>
      <w:r w:rsidR="009900E7">
        <w:rPr>
          <w:rFonts w:cs="Times New Roman"/>
        </w:rPr>
        <w:t xml:space="preserve">, </w:t>
      </w:r>
      <w:r w:rsidR="009900E7" w:rsidRPr="00780843">
        <w:rPr>
          <w:rFonts w:cs="Times New Roman"/>
        </w:rPr>
        <w:t>Governance Consistency</w:t>
      </w:r>
      <w:r w:rsidR="009900E7">
        <w:rPr>
          <w:rFonts w:cs="Times New Roman"/>
        </w:rPr>
        <w:t xml:space="preserve">, </w:t>
      </w:r>
      <w:r w:rsidR="009900E7" w:rsidRPr="00780843">
        <w:rPr>
          <w:rFonts w:cs="Times New Roman"/>
        </w:rPr>
        <w:t>AI-Driven Risk Analytics Capability</w:t>
      </w:r>
      <w:r w:rsidR="009900E7">
        <w:rPr>
          <w:rFonts w:cs="Times New Roman"/>
        </w:rPr>
        <w:t xml:space="preserve">, </w:t>
      </w:r>
      <w:r w:rsidR="009900E7" w:rsidRPr="00780843">
        <w:rPr>
          <w:rFonts w:cs="Times New Roman"/>
        </w:rPr>
        <w:t>Risk Management Effectiveness in Hybrid Project</w:t>
      </w:r>
      <w:r w:rsidR="009900E7">
        <w:rPr>
          <w:rFonts w:cs="Times New Roman"/>
        </w:rPr>
        <w:t>.</w:t>
      </w:r>
      <w:r w:rsidR="00302733">
        <w:t xml:space="preserve"> </w:t>
      </w:r>
      <w:r w:rsidR="00302733" w:rsidRPr="003F7436">
        <w:t xml:space="preserve">The </w:t>
      </w:r>
      <w:r w:rsidR="00302733">
        <w:t xml:space="preserve">survey was </w:t>
      </w:r>
      <w:r w:rsidR="00302733">
        <w:lastRenderedPageBreak/>
        <w:t xml:space="preserve">administrated online using </w:t>
      </w:r>
      <w:r w:rsidR="00302733" w:rsidRPr="003F7436">
        <w:t>Google Forms and email</w:t>
      </w:r>
      <w:r w:rsidR="00302733">
        <w:t xml:space="preserve"> </w:t>
      </w:r>
      <w:r w:rsidR="00302733" w:rsidRPr="00302733">
        <w:t>and email distribution, to reach professionals actively involved in hybrid project management across various industries</w:t>
      </w:r>
      <w:r w:rsidR="00302733">
        <w:t>.</w:t>
      </w:r>
      <w:r w:rsidR="00302733" w:rsidRPr="003F7436">
        <w:t xml:space="preserve"> </w:t>
      </w:r>
      <w:r w:rsidR="00302733">
        <w:t>In addition, s</w:t>
      </w:r>
      <w:r w:rsidR="00302733" w:rsidRPr="003F7436">
        <w:t xml:space="preserve">econdary data from </w:t>
      </w:r>
      <w:r w:rsidR="00C10ECA" w:rsidRPr="00C10ECA">
        <w:t xml:space="preserve">relevant academic literature, industry reports, project management standards, and published studies were reviewed to support the conceptual framework and to validate and contextualize </w:t>
      </w:r>
      <w:r w:rsidR="00302733" w:rsidRPr="003F7436">
        <w:t>the primary findings.</w:t>
      </w:r>
    </w:p>
    <w:p w:rsidR="008D3CBB" w:rsidRDefault="008D3CBB" w:rsidP="00067244">
      <w:pPr>
        <w:pStyle w:val="Heading2"/>
        <w:spacing w:before="0"/>
      </w:pPr>
      <w:r w:rsidRPr="00F8021A">
        <w:t>Source of data</w:t>
      </w:r>
    </w:p>
    <w:p w:rsidR="00162CE1" w:rsidRPr="001B7F58" w:rsidRDefault="00162CE1" w:rsidP="001B7F58">
      <w:pPr>
        <w:spacing w:line="360" w:lineRule="auto"/>
        <w:rPr>
          <w:rFonts w:cs="Times New Roman"/>
        </w:rPr>
      </w:pPr>
      <w:r w:rsidRPr="00204353">
        <w:rPr>
          <w:rFonts w:cs="Times New Roman"/>
          <w:bCs/>
        </w:rPr>
        <w:t>The data for this research on the</w:t>
      </w:r>
      <w:r w:rsidR="00EE2A6E">
        <w:rPr>
          <w:rFonts w:cs="Times New Roman"/>
          <w:bCs/>
        </w:rPr>
        <w:t xml:space="preserve"> impact of AI-driven strategic risk management on risk management effectiveness in hybrid project environments</w:t>
      </w:r>
      <w:r w:rsidR="00635FB0">
        <w:rPr>
          <w:rFonts w:cs="Times New Roman"/>
          <w:bCs/>
        </w:rPr>
        <w:t xml:space="preserve"> were collected from both primary and secondary sources to ensure a comprehensive and multidimensional understanding of risk management practices from both empirical and theoretical practices.</w:t>
      </w:r>
    </w:p>
    <w:p w:rsidR="008D3CBB" w:rsidRPr="00F8021A" w:rsidRDefault="008D3CBB" w:rsidP="00067244">
      <w:pPr>
        <w:pStyle w:val="Heading3"/>
        <w:spacing w:before="0" w:after="160"/>
        <w:rPr>
          <w:rFonts w:cs="Times New Roman"/>
          <w:b w:val="0"/>
          <w:bCs/>
        </w:rPr>
      </w:pPr>
      <w:r w:rsidRPr="00F8021A">
        <w:rPr>
          <w:rFonts w:cs="Times New Roman"/>
          <w:bCs/>
        </w:rPr>
        <w:t>Primary source:</w:t>
      </w:r>
    </w:p>
    <w:p w:rsidR="008D3CBB" w:rsidRPr="001823DC" w:rsidRDefault="008D3CBB" w:rsidP="00067244">
      <w:pPr>
        <w:spacing w:line="360" w:lineRule="auto"/>
        <w:rPr>
          <w:rFonts w:cs="Times New Roman"/>
          <w:bCs/>
        </w:rPr>
      </w:pPr>
      <w:r w:rsidRPr="00955EFD">
        <w:rPr>
          <w:rFonts w:cs="Times New Roman"/>
          <w:bCs/>
        </w:rPr>
        <w:t>The primary data for this research were gathered via structured questionnaires, surveys, and Google Forms</w:t>
      </w:r>
      <w:r w:rsidRPr="001823DC">
        <w:rPr>
          <w:rFonts w:cs="Times New Roman"/>
          <w:bCs/>
        </w:rPr>
        <w:t>.</w:t>
      </w:r>
    </w:p>
    <w:p w:rsidR="008D3CBB" w:rsidRPr="006E6C3B" w:rsidRDefault="008D3CBB" w:rsidP="00067244">
      <w:pPr>
        <w:rPr>
          <w:b/>
          <w:bCs/>
          <w:sz w:val="28"/>
          <w:szCs w:val="28"/>
        </w:rPr>
      </w:pPr>
      <w:r w:rsidRPr="006E6C3B">
        <w:rPr>
          <w:b/>
          <w:bCs/>
        </w:rPr>
        <w:t>Structured questionnaires</w:t>
      </w:r>
      <w:r w:rsidR="00861C29">
        <w:rPr>
          <w:b/>
          <w:bCs/>
        </w:rPr>
        <w:t>:</w:t>
      </w:r>
    </w:p>
    <w:p w:rsidR="00861C29" w:rsidRDefault="00861C29" w:rsidP="00067244">
      <w:pPr>
        <w:spacing w:line="360" w:lineRule="auto"/>
        <w:rPr>
          <w:rFonts w:eastAsia="Times New Roman" w:cs="Times New Roman"/>
          <w:kern w:val="0"/>
          <w:lang w:val="en-US"/>
          <w14:ligatures w14:val="none"/>
        </w:rPr>
      </w:pPr>
      <w:r w:rsidRPr="00861C29">
        <w:rPr>
          <w:rFonts w:eastAsia="Times New Roman" w:cs="Times New Roman"/>
          <w:kern w:val="0"/>
          <w:lang w:val="en-US"/>
          <w14:ligatures w14:val="none"/>
        </w:rPr>
        <w:t>Structured questionnaires were designed to systematically collect information on respondents’ perceptions of AI-driven strategic risk management practices in hybrid project environments. The questionnaire covered key dimensions such as risk process alignment between Agile and Waterfall methodologies, risk visibility integration, timely risk escalation, governance consistency, AI-driven risk analytics capability, and overall risk management effectiveness. A five-point Likert scale was employed to ensure objective and quantitatively reliable measurement of respondents’ perceptions. This structured approach enabled consistent assessment of AI-enabled risk management practices and their effectiveness in identifying, assessing, monitoring, and mitigating risks in hybrid projects</w:t>
      </w:r>
    </w:p>
    <w:p w:rsidR="008D3CBB" w:rsidRDefault="008D3CBB" w:rsidP="00067244">
      <w:pPr>
        <w:spacing w:line="360" w:lineRule="auto"/>
        <w:rPr>
          <w:rFonts w:cs="Times New Roman"/>
          <w:b/>
          <w:bCs/>
        </w:rPr>
      </w:pPr>
      <w:r w:rsidRPr="00A9061D">
        <w:rPr>
          <w:rFonts w:cs="Times New Roman"/>
          <w:b/>
          <w:bCs/>
        </w:rPr>
        <w:t xml:space="preserve">Surveys: </w:t>
      </w:r>
    </w:p>
    <w:p w:rsidR="008D3CBB" w:rsidRPr="00331041" w:rsidRDefault="00F66299" w:rsidP="00067244">
      <w:pPr>
        <w:pStyle w:val="NormalWeb"/>
        <w:spacing w:before="0" w:beforeAutospacing="0" w:after="160" w:afterAutospacing="0" w:line="360" w:lineRule="auto"/>
        <w:jc w:val="both"/>
      </w:pPr>
      <w:r w:rsidRPr="00F66299">
        <w:t>The survey targeted professionals involved in hybrid project environments, including project managers, risk managers, Agile practitioners, PMO professionals, and IT specialists. Data were collected using both online and offline methods to ensure adequate inclusion of respondents across different industries, organizational sizes, experience levels, and geographical regions within India. The survey design enabled comparative analysis across professional roles and levels of exposure to AI-enabled tools, allowing the study to examine variations in perceptions and implementation of AI-driven risk management practices in hybrid projects</w:t>
      </w:r>
      <w:r w:rsidR="008D3CBB">
        <w:t>.</w:t>
      </w:r>
    </w:p>
    <w:p w:rsidR="008D3CBB" w:rsidRPr="00721722" w:rsidRDefault="008D3CBB" w:rsidP="00721722">
      <w:pPr>
        <w:rPr>
          <w:b/>
          <w:bCs/>
        </w:rPr>
      </w:pPr>
      <w:r w:rsidRPr="00721722">
        <w:rPr>
          <w:b/>
          <w:bCs/>
        </w:rPr>
        <w:lastRenderedPageBreak/>
        <w:t xml:space="preserve">Google forms: </w:t>
      </w:r>
    </w:p>
    <w:p w:rsidR="008D3CBB" w:rsidRDefault="008D3CBB" w:rsidP="00F50211">
      <w:pPr>
        <w:pStyle w:val="NormalWeb"/>
        <w:spacing w:before="0" w:beforeAutospacing="0" w:after="160" w:afterAutospacing="0" w:line="360" w:lineRule="auto"/>
        <w:jc w:val="both"/>
      </w:pPr>
      <w:r w:rsidRPr="009E2C35">
        <w:t>Google Forms was used to distribute the surveys and questionnaires in order to increase reach and guarantee effective data collecting.</w:t>
      </w:r>
      <w:r w:rsidR="00F50211">
        <w:t xml:space="preserve"> </w:t>
      </w:r>
      <w:r w:rsidR="00F50211" w:rsidRPr="00F50211">
        <w:t>The use of digital data collection facilitated convenience and anonymity for respondents, thereby encouraging honest and unbiased responses regarding organizational risk management practices and AI adoption. To address potential limitations related to digital accessibility, offline methods, including paper-based questionnaires and direct interactions within organizations, were also employed to ensure inclusiveness and balanced representation of the study population.</w:t>
      </w:r>
    </w:p>
    <w:p w:rsidR="008D3CBB" w:rsidRDefault="008D3CBB" w:rsidP="00067244">
      <w:pPr>
        <w:pStyle w:val="Heading3"/>
        <w:spacing w:before="0" w:after="160"/>
      </w:pPr>
      <w:r>
        <w:t>Secondary Data</w:t>
      </w:r>
    </w:p>
    <w:p w:rsidR="008D3CBB" w:rsidRDefault="001D1BC3" w:rsidP="00067244">
      <w:pPr>
        <w:pStyle w:val="NormalWeb"/>
        <w:spacing w:before="0" w:beforeAutospacing="0" w:after="160" w:afterAutospacing="0" w:line="360" w:lineRule="auto"/>
        <w:jc w:val="both"/>
      </w:pPr>
      <w:r w:rsidRPr="001D1BC3">
        <w:t>Secondary data were collected from peer-reviewed journals, conference proceedings, industry reports, project management standards, government publications, and professional body reports related to project management, risk management, hybrid project methodologies, and artificial intelligence adoption. These sources were used to support the conceptual framework, develop measurement constructs, and validate the findings derived from primary data. Secondary data also helped contextualize the study results by providing theoretical and empirical insights into risk management effectiveness, AI-enabled decision-making, and governance practices in hybrid project environments, thereby strengthening the overall analysis and interpretation of results.</w:t>
      </w:r>
    </w:p>
    <w:p w:rsidR="008D3CBB" w:rsidRPr="00837BF8" w:rsidRDefault="008D3CBB" w:rsidP="00067244">
      <w:pPr>
        <w:pStyle w:val="Heading2"/>
        <w:spacing w:before="0"/>
      </w:pPr>
      <w:r w:rsidRPr="00837BF8">
        <w:t>Sampling Technique</w:t>
      </w:r>
    </w:p>
    <w:p w:rsidR="008D3CBB" w:rsidRDefault="008D3CBB" w:rsidP="00067244">
      <w:pPr>
        <w:spacing w:line="360" w:lineRule="auto"/>
        <w:rPr>
          <w:rFonts w:cs="Times New Roman"/>
          <w:bCs/>
        </w:rPr>
      </w:pPr>
      <w:r w:rsidRPr="00196B18">
        <w:rPr>
          <w:rFonts w:cs="Times New Roman"/>
          <w:bCs/>
        </w:rPr>
        <w:t>The random sample approach was chosen in this study since it was the most efficient way to choose research participants. Every member of a population has an equal chance of being chosen for the study, according to the random sampling principle. As a result, we are certain that our results will be impartial and generalisable. This process eliminates any systematic preferences or tendencies since each person or component is chosen at random. The external validity of study findings is improved by the widespread use of random sampling, which offers an objective and equitable representation of a population. After dividing the population into these pertinent strata, it's easy to create a representative and balanced sample by selecting individuals at random from the organisations</w:t>
      </w:r>
      <w:r w:rsidRPr="000E43C9">
        <w:rPr>
          <w:rFonts w:cs="Times New Roman"/>
          <w:bCs/>
        </w:rPr>
        <w:t xml:space="preserve">. </w:t>
      </w:r>
    </w:p>
    <w:p w:rsidR="008D3CBB" w:rsidRPr="000E43C9" w:rsidRDefault="008D3CBB" w:rsidP="00067244">
      <w:pPr>
        <w:spacing w:line="360" w:lineRule="auto"/>
        <w:jc w:val="center"/>
        <w:rPr>
          <w:rFonts w:cs="Times New Roman"/>
          <w:bCs/>
        </w:rPr>
      </w:pPr>
      <w:r w:rsidRPr="001823DC">
        <w:rPr>
          <w:position w:val="-30"/>
        </w:rPr>
        <w:object w:dxaOrig="478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9.25pt;height:30pt" o:ole="">
            <v:imagedata r:id="rId7" o:title=""/>
          </v:shape>
          <o:OLEObject Type="Embed" ProgID="Equation.DSMT4" ShapeID="_x0000_i1025" DrawAspect="Content" ObjectID="_1831550861" r:id="rId8"/>
        </w:object>
      </w:r>
    </w:p>
    <w:p w:rsidR="008D3CBB" w:rsidRPr="00837BF8" w:rsidRDefault="008D3CBB" w:rsidP="00067244">
      <w:pPr>
        <w:pStyle w:val="Heading2"/>
        <w:spacing w:before="0"/>
      </w:pPr>
      <w:r w:rsidRPr="00837BF8">
        <w:lastRenderedPageBreak/>
        <w:t>Inclusion and exclusion Criteria</w:t>
      </w:r>
    </w:p>
    <w:p w:rsidR="008D3CBB" w:rsidRDefault="008D3CBB" w:rsidP="00067244">
      <w:pPr>
        <w:spacing w:line="360" w:lineRule="auto"/>
        <w:rPr>
          <w:rFonts w:cs="Times New Roman"/>
          <w:b/>
        </w:rPr>
      </w:pPr>
      <w:r w:rsidRPr="001823DC">
        <w:rPr>
          <w:rFonts w:cs="Times New Roman"/>
          <w:b/>
        </w:rPr>
        <w:t xml:space="preserve">Inclusion </w:t>
      </w:r>
    </w:p>
    <w:p w:rsidR="00B82CE2" w:rsidRPr="00B82CE2" w:rsidRDefault="00B82CE2" w:rsidP="00B82CE2">
      <w:pPr>
        <w:pStyle w:val="ListParagraph"/>
        <w:numPr>
          <w:ilvl w:val="0"/>
          <w:numId w:val="25"/>
        </w:numPr>
        <w:spacing w:line="360" w:lineRule="auto"/>
        <w:rPr>
          <w:rFonts w:cs="Times New Roman"/>
          <w:bCs/>
        </w:rPr>
      </w:pPr>
      <w:r w:rsidRPr="00B82CE2">
        <w:rPr>
          <w:rFonts w:cs="Times New Roman"/>
          <w:bCs/>
        </w:rPr>
        <w:t>Professionals working in hybrid project environments that integrate Agile and Waterfall methodologies.</w:t>
      </w:r>
    </w:p>
    <w:p w:rsidR="00B82CE2" w:rsidRPr="00B82CE2" w:rsidRDefault="00B82CE2" w:rsidP="00B82CE2">
      <w:pPr>
        <w:pStyle w:val="ListParagraph"/>
        <w:numPr>
          <w:ilvl w:val="0"/>
          <w:numId w:val="25"/>
        </w:numPr>
        <w:spacing w:line="360" w:lineRule="auto"/>
        <w:rPr>
          <w:rFonts w:cs="Times New Roman"/>
          <w:bCs/>
        </w:rPr>
      </w:pPr>
      <w:r w:rsidRPr="00B82CE2">
        <w:rPr>
          <w:rFonts w:cs="Times New Roman"/>
          <w:bCs/>
        </w:rPr>
        <w:t>Individuals aged 18 years and above with active involvement in project or risk management activities.</w:t>
      </w:r>
    </w:p>
    <w:p w:rsidR="00B82CE2" w:rsidRPr="00B82CE2" w:rsidRDefault="00B82CE2" w:rsidP="00B82CE2">
      <w:pPr>
        <w:pStyle w:val="ListParagraph"/>
        <w:numPr>
          <w:ilvl w:val="0"/>
          <w:numId w:val="25"/>
        </w:numPr>
        <w:spacing w:line="360" w:lineRule="auto"/>
        <w:rPr>
          <w:rFonts w:cs="Times New Roman"/>
          <w:bCs/>
        </w:rPr>
      </w:pPr>
      <w:r w:rsidRPr="00B82CE2">
        <w:rPr>
          <w:rFonts w:cs="Times New Roman"/>
          <w:bCs/>
        </w:rPr>
        <w:t>Respondents with a minimum of one year of experience in hybrid project environments to ensure sufficient exposure to risk management practices.</w:t>
      </w:r>
    </w:p>
    <w:p w:rsidR="00B82CE2" w:rsidRPr="00B82CE2" w:rsidRDefault="00B82CE2" w:rsidP="00B82CE2">
      <w:pPr>
        <w:pStyle w:val="ListParagraph"/>
        <w:numPr>
          <w:ilvl w:val="0"/>
          <w:numId w:val="25"/>
        </w:numPr>
        <w:spacing w:line="360" w:lineRule="auto"/>
        <w:rPr>
          <w:rFonts w:cs="Times New Roman"/>
          <w:bCs/>
        </w:rPr>
      </w:pPr>
      <w:r w:rsidRPr="00B82CE2">
        <w:rPr>
          <w:rFonts w:cs="Times New Roman"/>
          <w:bCs/>
        </w:rPr>
        <w:t>Professionals representing diverse educational backgrounds, industries, organizational sizes, experience levels, and project roles, including project managers, risk managers, PMO professionals, Agile practitioners, and IT professionals.</w:t>
      </w:r>
    </w:p>
    <w:p w:rsidR="00EB5C79" w:rsidRPr="00B82CE2" w:rsidRDefault="00B82CE2" w:rsidP="00B82CE2">
      <w:pPr>
        <w:pStyle w:val="ListParagraph"/>
        <w:numPr>
          <w:ilvl w:val="0"/>
          <w:numId w:val="25"/>
        </w:numPr>
        <w:spacing w:line="360" w:lineRule="auto"/>
        <w:rPr>
          <w:rFonts w:cs="Times New Roman"/>
          <w:bCs/>
        </w:rPr>
      </w:pPr>
      <w:r w:rsidRPr="00B82CE2">
        <w:rPr>
          <w:rFonts w:cs="Times New Roman"/>
          <w:bCs/>
        </w:rPr>
        <w:t>Participants who, upon informed consent, voluntarily agreed to participate in the study.</w:t>
      </w:r>
    </w:p>
    <w:p w:rsidR="008D3CBB" w:rsidRDefault="008D3CBB" w:rsidP="00067244">
      <w:pPr>
        <w:spacing w:line="360" w:lineRule="auto"/>
        <w:rPr>
          <w:rFonts w:cs="Times New Roman"/>
          <w:b/>
        </w:rPr>
      </w:pPr>
      <w:r w:rsidRPr="009D11AD">
        <w:rPr>
          <w:rFonts w:cs="Times New Roman"/>
          <w:b/>
        </w:rPr>
        <w:t>Exclusion</w:t>
      </w:r>
    </w:p>
    <w:p w:rsidR="00B82CE2" w:rsidRPr="00B82CE2" w:rsidRDefault="00B82CE2" w:rsidP="00B82CE2">
      <w:pPr>
        <w:pStyle w:val="ListParagraph"/>
        <w:numPr>
          <w:ilvl w:val="0"/>
          <w:numId w:val="29"/>
        </w:numPr>
        <w:spacing w:line="360" w:lineRule="auto"/>
        <w:rPr>
          <w:rFonts w:cs="Times New Roman"/>
          <w:bCs/>
        </w:rPr>
      </w:pPr>
      <w:r w:rsidRPr="00B82CE2">
        <w:rPr>
          <w:rFonts w:cs="Times New Roman"/>
          <w:bCs/>
        </w:rPr>
        <w:t>Individuals not involved in hybrid project environments or those working exclusively in pure Agile or pure Waterfall settings.</w:t>
      </w:r>
    </w:p>
    <w:p w:rsidR="00B82CE2" w:rsidRPr="00B82CE2" w:rsidRDefault="00B82CE2" w:rsidP="00B82CE2">
      <w:pPr>
        <w:pStyle w:val="ListParagraph"/>
        <w:numPr>
          <w:ilvl w:val="0"/>
          <w:numId w:val="29"/>
        </w:numPr>
        <w:spacing w:line="360" w:lineRule="auto"/>
        <w:rPr>
          <w:rFonts w:cs="Times New Roman"/>
          <w:bCs/>
        </w:rPr>
      </w:pPr>
      <w:r w:rsidRPr="00B82CE2">
        <w:rPr>
          <w:rFonts w:cs="Times New Roman"/>
          <w:bCs/>
        </w:rPr>
        <w:t>Respondents with less than one year of experience in hybrid project or risk management roles, as limited exposure may affect the accuracy of responses.</w:t>
      </w:r>
    </w:p>
    <w:p w:rsidR="00B82CE2" w:rsidRPr="00B82CE2" w:rsidRDefault="00B82CE2" w:rsidP="00B82CE2">
      <w:pPr>
        <w:pStyle w:val="ListParagraph"/>
        <w:numPr>
          <w:ilvl w:val="0"/>
          <w:numId w:val="29"/>
        </w:numPr>
        <w:spacing w:line="360" w:lineRule="auto"/>
        <w:rPr>
          <w:rFonts w:cs="Times New Roman"/>
          <w:bCs/>
        </w:rPr>
      </w:pPr>
      <w:r w:rsidRPr="00B82CE2">
        <w:rPr>
          <w:rFonts w:cs="Times New Roman"/>
          <w:bCs/>
        </w:rPr>
        <w:t>Incomplete, inconsistent, or invalid questionnaire responses that could compromise data reliability.</w:t>
      </w:r>
    </w:p>
    <w:p w:rsidR="00B82CE2" w:rsidRPr="00B82CE2" w:rsidRDefault="00B82CE2" w:rsidP="00B82CE2">
      <w:pPr>
        <w:pStyle w:val="ListParagraph"/>
        <w:numPr>
          <w:ilvl w:val="0"/>
          <w:numId w:val="29"/>
        </w:numPr>
        <w:spacing w:line="360" w:lineRule="auto"/>
        <w:rPr>
          <w:rFonts w:cs="Times New Roman"/>
          <w:bCs/>
        </w:rPr>
      </w:pPr>
      <w:r w:rsidRPr="00B82CE2">
        <w:rPr>
          <w:rFonts w:cs="Times New Roman"/>
          <w:bCs/>
        </w:rPr>
        <w:t>Individuals who were unable to provide informed consent or who declined to participate in the study.</w:t>
      </w:r>
    </w:p>
    <w:p w:rsidR="00ED61C4" w:rsidRPr="00185BC7" w:rsidRDefault="00ED61C4" w:rsidP="00067244">
      <w:pPr>
        <w:pStyle w:val="Heading2"/>
        <w:spacing w:before="0"/>
      </w:pPr>
      <w:r w:rsidRPr="00185BC7">
        <w:t>Measures</w:t>
      </w:r>
    </w:p>
    <w:p w:rsidR="00ED61C4" w:rsidRPr="00D53F6A" w:rsidRDefault="00ED61C4" w:rsidP="00067244">
      <w:pPr>
        <w:spacing w:line="360" w:lineRule="auto"/>
        <w:rPr>
          <w:rFonts w:cs="Times New Roman"/>
        </w:rPr>
      </w:pPr>
      <w:r w:rsidRPr="00923F61">
        <w:rPr>
          <w:rFonts w:cs="Times New Roman"/>
        </w:rPr>
        <w:t xml:space="preserve">Data has been gathered with the help of a structured questionnaire. Questionnaire has been prepared using 5 Likert-scale (Strongly disagree to strongly agree) where respondents will be asked to share their opinions regarding various research questions under study. </w:t>
      </w:r>
      <w:r>
        <w:rPr>
          <w:rFonts w:cs="Times New Roman"/>
        </w:rPr>
        <w:t xml:space="preserve">The </w:t>
      </w:r>
      <w:r w:rsidRPr="00923F61">
        <w:rPr>
          <w:rFonts w:cs="Times New Roman"/>
        </w:rPr>
        <w:t xml:space="preserve">Questionnaire </w:t>
      </w:r>
      <w:r>
        <w:rPr>
          <w:rFonts w:cs="Times New Roman"/>
        </w:rPr>
        <w:t xml:space="preserve">included only </w:t>
      </w:r>
      <w:r w:rsidRPr="00923F61">
        <w:rPr>
          <w:rFonts w:cs="Times New Roman"/>
        </w:rPr>
        <w:t xml:space="preserve">closed ended </w:t>
      </w:r>
      <w:r>
        <w:rPr>
          <w:rFonts w:cs="Times New Roman"/>
        </w:rPr>
        <w:t>items</w:t>
      </w:r>
      <w:r w:rsidRPr="00923F61">
        <w:rPr>
          <w:rFonts w:cs="Times New Roman"/>
        </w:rPr>
        <w:t>. Questions have been carefully crafted so as to gather meaningful information with respect to identified research variables.</w:t>
      </w:r>
      <w:r>
        <w:rPr>
          <w:rFonts w:cs="Times New Roman"/>
        </w:rPr>
        <w:t xml:space="preserve"> The details of the variables used for the analysis are presented below</w:t>
      </w:r>
      <w:r w:rsidRPr="00185BC7">
        <w:rPr>
          <w:rFonts w:cs="Times New Roman"/>
          <w:color w:val="000000" w:themeColor="text1"/>
        </w:rPr>
        <w:t xml:space="preserve">. </w:t>
      </w:r>
    </w:p>
    <w:p w:rsidR="008D3CBB" w:rsidRPr="001D2BBF" w:rsidRDefault="001D2BBF" w:rsidP="00067244">
      <w:pPr>
        <w:pStyle w:val="NormalWeb"/>
        <w:spacing w:before="0" w:beforeAutospacing="0" w:after="160" w:afterAutospacing="0" w:line="360" w:lineRule="auto"/>
        <w:jc w:val="both"/>
        <w:rPr>
          <w:b/>
          <w:bCs/>
        </w:rPr>
      </w:pPr>
      <w:r w:rsidRPr="001D2BBF">
        <w:rPr>
          <w:b/>
          <w:bCs/>
        </w:rPr>
        <w:t>Variables</w:t>
      </w:r>
    </w:p>
    <w:p w:rsidR="001D2BBF" w:rsidRDefault="001D2BBF" w:rsidP="00067244">
      <w:pPr>
        <w:pStyle w:val="NormalWeb"/>
        <w:spacing w:before="0" w:beforeAutospacing="0" w:after="160" w:afterAutospacing="0" w:line="360" w:lineRule="auto"/>
        <w:jc w:val="both"/>
        <w:rPr>
          <w:b/>
          <w:bCs/>
        </w:rPr>
      </w:pPr>
      <w:r w:rsidRPr="00925E72">
        <w:rPr>
          <w:b/>
          <w:bCs/>
        </w:rPr>
        <w:t>Risk Process Alignment</w:t>
      </w:r>
    </w:p>
    <w:p w:rsidR="00925E72" w:rsidRPr="00925E72" w:rsidRDefault="00925E72" w:rsidP="00067244">
      <w:pPr>
        <w:pStyle w:val="NormalWeb"/>
        <w:spacing w:before="0" w:beforeAutospacing="0" w:after="160" w:afterAutospacing="0" w:line="360" w:lineRule="auto"/>
        <w:jc w:val="both"/>
      </w:pPr>
      <w:r w:rsidRPr="00925E72">
        <w:rPr>
          <w:lang w:val="en-IN"/>
        </w:rPr>
        <w:lastRenderedPageBreak/>
        <w:t>Risk process alignment refers to the degree to which risk management processes are consistently structured and integrated across different project methodologies (such as Agile and Waterfall). It involves aligning risk identification, assessment, response planning, implementation, and monitoring processes so they work coherently across hybrid project environments, enabling smoother coordination and decision-making.</w:t>
      </w:r>
    </w:p>
    <w:p w:rsidR="001D2BBF" w:rsidRPr="009207F4" w:rsidRDefault="001D2BBF" w:rsidP="00067244">
      <w:pPr>
        <w:pStyle w:val="NormalWeb"/>
        <w:spacing w:before="0" w:beforeAutospacing="0" w:after="160" w:afterAutospacing="0" w:line="360" w:lineRule="auto"/>
        <w:jc w:val="both"/>
        <w:rPr>
          <w:b/>
          <w:bCs/>
        </w:rPr>
      </w:pPr>
      <w:r w:rsidRPr="009207F4">
        <w:rPr>
          <w:b/>
          <w:bCs/>
        </w:rPr>
        <w:t>Risk Visibility Integration</w:t>
      </w:r>
    </w:p>
    <w:p w:rsidR="008726BB" w:rsidRPr="009207F4" w:rsidRDefault="008726BB" w:rsidP="00067244">
      <w:pPr>
        <w:pStyle w:val="NormalWeb"/>
        <w:spacing w:before="0" w:beforeAutospacing="0" w:after="160" w:afterAutospacing="0" w:line="360" w:lineRule="auto"/>
        <w:jc w:val="both"/>
      </w:pPr>
      <w:r w:rsidRPr="009207F4">
        <w:rPr>
          <w:lang w:val="en-IN"/>
        </w:rPr>
        <w:t>Risk visibility integration is the extent to which risk information is consolidated, shared, and accessible across stakeholders and project layers, enabling continuous awareness of risk exposures and facilitating timely decision-making. It includes transparent documentation, dashboards, and communication channels that integrate risk data between teams, tools, and governance structures</w:t>
      </w:r>
      <w:r w:rsidR="009207F4">
        <w:rPr>
          <w:lang w:val="en-IN"/>
        </w:rPr>
        <w:t xml:space="preserve"> </w:t>
      </w:r>
      <w:r w:rsidR="009207F4">
        <w:rPr>
          <w:lang w:val="en-IN"/>
        </w:rPr>
        <w:fldChar w:fldCharType="begin" w:fldLock="1"/>
      </w:r>
      <w:r w:rsidR="009207F4">
        <w:rPr>
          <w:lang w:val="en-IN"/>
        </w:rPr>
        <w:instrText>ADDIN CSL_CITATION {"citationItems":[{"id":"ITEM-1","itemData":{"ISBN":"978-3-030-49392-9","abstract":"Agile methods are designed for handling uncertainty as well as reducing risks in product development through transparency, inspection, and adaptation. Applying an effective risk management is in the nature of agile methods. However, when multiple agile teams work on the same product, a higher coordination effort is required and more formal practices are applied. The objective of this paper is to study how risk management can be improved in a scaled agile environment. Therefore, we conducted a case study in a large-sized ecommerce company and interviewed several project managers. The results show that there are differences for risk management in terms of two contexts. On the one hand, informal risk management is rated as good enough for one autonomous team. On the other hand, more formal approaches are needed, when several teams work on the same requirement. Furthermore, a tool for the support of risk management in a scaled agile environment is presented. We can conclude that hybrid development approaches consisting of agile practices and traditional practices, are beneficial, when several teams work in parallel.","author":[{"dropping-particle":"","family":"Schön","given":"Eva-Maria","non-dropping-particle":"","parse-names":false,"suffix":""},{"dropping-particle":"","family":"Radtke","given":"Dirk","non-dropping-particle":"","parse-names":false,"suffix":""},{"dropping-particle":"","family":"Jordan","given":"Christian","non-dropping-particle":"","parse-names":false,"suffix":""}],"editor":[{"dropping-particle":"","family":"Stray","given":"Viktoria","non-dropping-particle":"","parse-names":false,"suffix":""},{"dropping-particle":"","family":"Hoda","given":"Rashina","non-dropping-particle":"","parse-names":false,"suffix":""},{"dropping-particle":"","family":"Paasivaara","given":"Maria","non-dropping-particle":"","parse-names":false,"suffix":""},{"dropping-particle":"","family":"Kruchten","given":"Philippe","non-dropping-particle":"","parse-names":false,"suffix":""}],"id":"ITEM-1","issued":{"date-parts":[["2020"]]},"page":"132-141","publisher":"Springer International Publishing","publisher-place":"Cham","title":"Improving Risk Management in a Scaled Agile Environment BT  - Agile Processes in Software Engineering and Extreme Programming","type":"paper-conference"},"uris":["http://www.mendeley.com/documents/?uuid=331a7670-c6a0-4c72-8fd9-8dc613e0fd08"]}],"mendeley":{"formattedCitation":"(Schön et al., 2020)","plainTextFormattedCitation":"(Schön et al., 2020)"},"properties":{"noteIndex":0},"schema":"https://github.com/citation-style-language/schema/raw/master/csl-citation.json"}</w:instrText>
      </w:r>
      <w:r w:rsidR="009207F4">
        <w:rPr>
          <w:lang w:val="en-IN"/>
        </w:rPr>
        <w:fldChar w:fldCharType="separate"/>
      </w:r>
      <w:r w:rsidR="009207F4" w:rsidRPr="009207F4">
        <w:rPr>
          <w:noProof/>
          <w:lang w:val="en-IN"/>
        </w:rPr>
        <w:t>(Schön et al., 2020)</w:t>
      </w:r>
      <w:r w:rsidR="009207F4">
        <w:rPr>
          <w:lang w:val="en-IN"/>
        </w:rPr>
        <w:fldChar w:fldCharType="end"/>
      </w:r>
      <w:r w:rsidRPr="009207F4">
        <w:rPr>
          <w:lang w:val="en-IN"/>
        </w:rPr>
        <w:t>.</w:t>
      </w:r>
      <w:r w:rsidR="009207F4">
        <w:rPr>
          <w:lang w:val="en-IN"/>
        </w:rPr>
        <w:t xml:space="preserve"> </w:t>
      </w:r>
    </w:p>
    <w:p w:rsidR="001D2BBF" w:rsidRPr="000635B7" w:rsidRDefault="001D2BBF" w:rsidP="00067244">
      <w:pPr>
        <w:pStyle w:val="NormalWeb"/>
        <w:spacing w:before="0" w:beforeAutospacing="0" w:after="160" w:afterAutospacing="0" w:line="360" w:lineRule="auto"/>
        <w:jc w:val="both"/>
        <w:rPr>
          <w:b/>
          <w:bCs/>
        </w:rPr>
      </w:pPr>
      <w:r w:rsidRPr="000635B7">
        <w:rPr>
          <w:b/>
          <w:bCs/>
        </w:rPr>
        <w:t>Timely Risk Escalation</w:t>
      </w:r>
    </w:p>
    <w:p w:rsidR="000635B7" w:rsidRDefault="000635B7" w:rsidP="00067244">
      <w:pPr>
        <w:pStyle w:val="NormalWeb"/>
        <w:spacing w:before="0" w:beforeAutospacing="0" w:after="160" w:afterAutospacing="0" w:line="360" w:lineRule="auto"/>
        <w:jc w:val="both"/>
      </w:pPr>
      <w:r w:rsidRPr="000635B7">
        <w:rPr>
          <w:lang w:val="en-IN"/>
        </w:rPr>
        <w:t>Timely risk escalation refers to the prompt reporting and escalation of risk events or triggers to appropriate decision-making levels when risks exceed predefined thresholds or require strategic intervention. This ensures that critical risks are addressed before they evolve into significant issues impacting objectives.</w:t>
      </w:r>
    </w:p>
    <w:p w:rsidR="001D2BBF" w:rsidRPr="009F1452" w:rsidRDefault="001D2BBF" w:rsidP="00067244">
      <w:pPr>
        <w:pStyle w:val="NormalWeb"/>
        <w:spacing w:before="0" w:beforeAutospacing="0" w:after="160" w:afterAutospacing="0" w:line="360" w:lineRule="auto"/>
        <w:jc w:val="both"/>
        <w:rPr>
          <w:b/>
          <w:bCs/>
        </w:rPr>
      </w:pPr>
      <w:r w:rsidRPr="009F1452">
        <w:rPr>
          <w:b/>
          <w:bCs/>
        </w:rPr>
        <w:t>Governance Consistency</w:t>
      </w:r>
    </w:p>
    <w:p w:rsidR="00CA58BD" w:rsidRDefault="00CA58BD" w:rsidP="00067244">
      <w:pPr>
        <w:pStyle w:val="NormalWeb"/>
        <w:spacing w:before="0" w:beforeAutospacing="0" w:after="160" w:afterAutospacing="0" w:line="360" w:lineRule="auto"/>
        <w:jc w:val="both"/>
      </w:pPr>
      <w:r w:rsidRPr="00CA58BD">
        <w:rPr>
          <w:lang w:val="en-IN"/>
        </w:rPr>
        <w:t>Governance consistency denotes the uniform application of risk governance structures, policies, roles, and decision-rights across project teams and organizational units. It includes consistent oversight mechanisms, reporting lines, and accountability for risk activities to ensure strategic alignment and compliance with organizational risk frameworks.</w:t>
      </w:r>
    </w:p>
    <w:p w:rsidR="001D2BBF" w:rsidRPr="0066453B" w:rsidRDefault="001D2BBF" w:rsidP="00067244">
      <w:pPr>
        <w:pStyle w:val="NormalWeb"/>
        <w:spacing w:before="0" w:beforeAutospacing="0" w:after="160" w:afterAutospacing="0" w:line="360" w:lineRule="auto"/>
        <w:jc w:val="both"/>
        <w:rPr>
          <w:b/>
          <w:bCs/>
        </w:rPr>
      </w:pPr>
      <w:r w:rsidRPr="0066453B">
        <w:rPr>
          <w:b/>
          <w:bCs/>
        </w:rPr>
        <w:t xml:space="preserve">AI-Driven Risk Analytics Capability </w:t>
      </w:r>
    </w:p>
    <w:p w:rsidR="009F1452" w:rsidRDefault="009F1452" w:rsidP="00067244">
      <w:pPr>
        <w:pStyle w:val="NormalWeb"/>
        <w:spacing w:before="0" w:beforeAutospacing="0" w:after="160" w:afterAutospacing="0" w:line="360" w:lineRule="auto"/>
        <w:jc w:val="both"/>
      </w:pPr>
      <w:r w:rsidRPr="009F1452">
        <w:rPr>
          <w:lang w:val="en-IN"/>
        </w:rPr>
        <w:t xml:space="preserve">AI-driven risk analytics capability refers to the organizational ability to apply artificial intelligence, machine learning, and advanced analytics methods to detect, </w:t>
      </w:r>
      <w:r w:rsidRPr="009F1452">
        <w:rPr>
          <w:lang w:val="en-IN"/>
        </w:rPr>
        <w:t>analyse</w:t>
      </w:r>
      <w:r w:rsidRPr="009F1452">
        <w:rPr>
          <w:lang w:val="en-IN"/>
        </w:rPr>
        <w:t>, predict, and visualize risk patterns from structured and unstructured data. This capability enhances predictive insight into future risks, automates risk detection, supports prioritization, and provides actionable recommendations.</w:t>
      </w:r>
    </w:p>
    <w:p w:rsidR="001D2BBF" w:rsidRPr="00885022" w:rsidRDefault="001D2BBF" w:rsidP="00067244">
      <w:pPr>
        <w:pStyle w:val="NormalWeb"/>
        <w:spacing w:before="0" w:beforeAutospacing="0" w:after="160" w:afterAutospacing="0" w:line="360" w:lineRule="auto"/>
        <w:jc w:val="both"/>
        <w:rPr>
          <w:b/>
          <w:bCs/>
        </w:rPr>
      </w:pPr>
      <w:r w:rsidRPr="00885022">
        <w:rPr>
          <w:b/>
          <w:bCs/>
        </w:rPr>
        <w:t>Risk Management Effectiveness in Hybrid Projects</w:t>
      </w:r>
    </w:p>
    <w:p w:rsidR="0066453B" w:rsidRDefault="0066453B" w:rsidP="00067244">
      <w:pPr>
        <w:pStyle w:val="NormalWeb"/>
        <w:spacing w:before="0" w:beforeAutospacing="0" w:after="160" w:afterAutospacing="0" w:line="360" w:lineRule="auto"/>
        <w:jc w:val="both"/>
      </w:pPr>
      <w:r w:rsidRPr="0066453B">
        <w:rPr>
          <w:lang w:val="en-IN"/>
        </w:rPr>
        <w:t>Risk management effectiveness in hybrid projects refers to the degree to which risk management practices successfully achieve desired outcomes</w:t>
      </w:r>
      <w:r>
        <w:rPr>
          <w:lang w:val="en-IN"/>
        </w:rPr>
        <w:t xml:space="preserve"> </w:t>
      </w:r>
      <w:r w:rsidRPr="0066453B">
        <w:rPr>
          <w:lang w:val="en-IN"/>
        </w:rPr>
        <w:t xml:space="preserve">minimizing negative impacts on </w:t>
      </w:r>
      <w:r w:rsidRPr="0066453B">
        <w:rPr>
          <w:lang w:val="en-IN"/>
        </w:rPr>
        <w:lastRenderedPageBreak/>
        <w:t>project objectives (scope, cost, time, quality) while enabling opportunities</w:t>
      </w:r>
      <w:r>
        <w:rPr>
          <w:lang w:val="en-IN"/>
        </w:rPr>
        <w:t xml:space="preserve"> </w:t>
      </w:r>
      <w:r w:rsidRPr="0066453B">
        <w:rPr>
          <w:lang w:val="en-IN"/>
        </w:rPr>
        <w:t>through systematic identification, evaluation, response, monitoring, and control of risks within hybrid project environments (combined Agile and Waterfall).</w:t>
      </w:r>
    </w:p>
    <w:p w:rsidR="008D3CBB" w:rsidRPr="00F8021A" w:rsidRDefault="008D3CBB" w:rsidP="00067244">
      <w:pPr>
        <w:pStyle w:val="Heading2"/>
        <w:spacing w:before="0"/>
      </w:pPr>
      <w:r w:rsidRPr="00F8021A">
        <w:t>Tools and techniques</w:t>
      </w:r>
    </w:p>
    <w:p w:rsidR="008D3CBB" w:rsidRDefault="008D3CBB" w:rsidP="00067244">
      <w:pPr>
        <w:spacing w:line="360" w:lineRule="auto"/>
        <w:rPr>
          <w:rFonts w:cs="Times New Roman"/>
          <w:b/>
          <w:bCs/>
        </w:rPr>
      </w:pPr>
      <w:r w:rsidRPr="009D11AD">
        <w:rPr>
          <w:rFonts w:cs="Times New Roman"/>
          <w:b/>
          <w:bCs/>
        </w:rPr>
        <w:t>Tools</w:t>
      </w:r>
      <w:r>
        <w:rPr>
          <w:rFonts w:cs="Times New Roman"/>
          <w:b/>
          <w:bCs/>
        </w:rPr>
        <w:t>:</w:t>
      </w:r>
    </w:p>
    <w:p w:rsidR="008D3CBB" w:rsidRDefault="008D3CBB" w:rsidP="00067244">
      <w:pPr>
        <w:spacing w:line="360" w:lineRule="auto"/>
        <w:rPr>
          <w:rFonts w:cs="Times New Roman"/>
        </w:rPr>
      </w:pPr>
      <w:r w:rsidRPr="009D11AD">
        <w:rPr>
          <w:rFonts w:cs="Times New Roman"/>
        </w:rPr>
        <w:t xml:space="preserve">In this study SPSS (Statistical package for the social sciences) </w:t>
      </w:r>
      <w:r>
        <w:rPr>
          <w:rFonts w:cs="Times New Roman"/>
        </w:rPr>
        <w:t xml:space="preserve">and AMOS </w:t>
      </w:r>
      <w:r w:rsidRPr="009D11AD">
        <w:rPr>
          <w:rFonts w:cs="Times New Roman"/>
        </w:rPr>
        <w:t xml:space="preserve">tools </w:t>
      </w:r>
      <w:r>
        <w:rPr>
          <w:rFonts w:cs="Times New Roman"/>
        </w:rPr>
        <w:t>are</w:t>
      </w:r>
      <w:r w:rsidRPr="009D11AD">
        <w:rPr>
          <w:rFonts w:cs="Times New Roman"/>
        </w:rPr>
        <w:t xml:space="preserve"> utilized.</w:t>
      </w:r>
    </w:p>
    <w:p w:rsidR="008D3CBB" w:rsidRDefault="008D3CBB" w:rsidP="00067244">
      <w:pPr>
        <w:spacing w:line="360" w:lineRule="auto"/>
        <w:rPr>
          <w:rFonts w:eastAsia="Calibri" w:cs="Times New Roman"/>
          <w:b/>
          <w:bCs/>
        </w:rPr>
      </w:pPr>
      <w:r w:rsidRPr="006735E1">
        <w:rPr>
          <w:rFonts w:eastAsia="Calibri" w:cs="Times New Roman"/>
          <w:b/>
          <w:bCs/>
        </w:rPr>
        <w:t>Techniques</w:t>
      </w:r>
      <w:r>
        <w:rPr>
          <w:rFonts w:eastAsia="Calibri" w:cs="Times New Roman"/>
          <w:b/>
          <w:bCs/>
        </w:rPr>
        <w:t xml:space="preserve">: </w:t>
      </w:r>
    </w:p>
    <w:p w:rsidR="008D3CBB" w:rsidRPr="00342E9C" w:rsidRDefault="008D3CBB" w:rsidP="00067244">
      <w:pPr>
        <w:rPr>
          <w:b/>
          <w:bCs/>
        </w:rPr>
      </w:pPr>
      <w:r w:rsidRPr="00342E9C">
        <w:rPr>
          <w:b/>
          <w:bCs/>
        </w:rPr>
        <w:t>Measurement model and validity</w:t>
      </w:r>
    </w:p>
    <w:p w:rsidR="008D3CBB" w:rsidRDefault="008D3CBB" w:rsidP="00067244">
      <w:pPr>
        <w:spacing w:line="360" w:lineRule="auto"/>
        <w:rPr>
          <w:rFonts w:cs="Times New Roman"/>
        </w:rPr>
      </w:pPr>
      <w:r w:rsidRPr="00CB6F43">
        <w:rPr>
          <w:rFonts w:cs="Times New Roman"/>
        </w:rPr>
        <w:t>Measurement models and validity are essential to research because they give a systematic framework for ensuring that findings are accurate and meaningful. Measurement models let academics evaluate complicated ideas by clearly showing the connections between observable facts and the ideas that underlie them. On the other hand, validity guarantees that the tools employed for measurement accurately capture the desired structures, which protects against findings that are incorrect or misleading. Measurement models and validity are both important parts of research. They provide the basis for results that are credible and trustworthy, which are necessary for making informed decisions and increasing knowledge in a variety of fields</w:t>
      </w:r>
      <w:r w:rsidRPr="009D11AD">
        <w:rPr>
          <w:rFonts w:cs="Times New Roman"/>
        </w:rPr>
        <w:t>.</w:t>
      </w:r>
    </w:p>
    <w:p w:rsidR="008D3CBB" w:rsidRPr="00342E9C" w:rsidRDefault="008D3CBB" w:rsidP="00067244">
      <w:pPr>
        <w:rPr>
          <w:b/>
          <w:bCs/>
          <w:i/>
          <w:iCs/>
        </w:rPr>
      </w:pPr>
      <w:r w:rsidRPr="00342E9C">
        <w:rPr>
          <w:b/>
          <w:bCs/>
        </w:rPr>
        <w:t>FACTOR ANALYSIS</w:t>
      </w:r>
    </w:p>
    <w:p w:rsidR="008D3CBB" w:rsidRPr="00F8021A" w:rsidRDefault="008D3CBB" w:rsidP="00067244">
      <w:pPr>
        <w:spacing w:line="360" w:lineRule="auto"/>
        <w:rPr>
          <w:rFonts w:cs="Times New Roman"/>
          <w:b/>
          <w:bCs/>
        </w:rPr>
      </w:pPr>
      <w:r w:rsidRPr="00F8021A">
        <w:rPr>
          <w:rFonts w:cs="Times New Roman"/>
          <w:b/>
          <w:bCs/>
        </w:rPr>
        <w:t>KMO and Bartlett's Test</w:t>
      </w:r>
    </w:p>
    <w:p w:rsidR="008D3CBB" w:rsidRPr="00801830" w:rsidRDefault="008D3CBB" w:rsidP="00067244">
      <w:pPr>
        <w:spacing w:line="360" w:lineRule="auto"/>
        <w:rPr>
          <w:rFonts w:cs="Times New Roman"/>
        </w:rPr>
      </w:pPr>
      <w:r w:rsidRPr="00801830">
        <w:rPr>
          <w:rFonts w:cs="Times New Roman"/>
        </w:rPr>
        <w:t>The Kaiser-Meyer-Olkin (KMO) Test gauges how well your data fits into the Factor Analysis framework. The test evaluates sampling adequacy for the whole model as well as for each of the variables. The percentage of variation among variables that may represent common variance is measured by the statistic. Your data is better suited for factor analysis if the percentage is smaller.</w:t>
      </w:r>
    </w:p>
    <w:p w:rsidR="008D3CBB" w:rsidRDefault="008D3CBB" w:rsidP="00067244">
      <w:pPr>
        <w:spacing w:line="360" w:lineRule="auto"/>
        <w:rPr>
          <w:rFonts w:cs="Times New Roman"/>
        </w:rPr>
      </w:pPr>
      <w:r w:rsidRPr="00801830">
        <w:rPr>
          <w:rFonts w:cs="Times New Roman"/>
        </w:rPr>
        <w:t>KMO gives values in the range of 0 and 1. A general guideline for deciphering the statistic:</w:t>
      </w:r>
    </w:p>
    <w:p w:rsidR="008D3CBB" w:rsidRPr="00801830" w:rsidRDefault="008D3CBB" w:rsidP="00067244">
      <w:pPr>
        <w:pStyle w:val="ListParagraph"/>
        <w:numPr>
          <w:ilvl w:val="0"/>
          <w:numId w:val="19"/>
        </w:numPr>
        <w:spacing w:line="360" w:lineRule="auto"/>
        <w:rPr>
          <w:rFonts w:cs="Times New Roman"/>
        </w:rPr>
      </w:pPr>
      <w:r w:rsidRPr="00801830">
        <w:rPr>
          <w:rFonts w:cs="Times New Roman"/>
        </w:rPr>
        <w:t>KMO values in the range of 0.8 and 1 show that the sampling is sufficient.</w:t>
      </w:r>
    </w:p>
    <w:p w:rsidR="008D3CBB" w:rsidRPr="00801830" w:rsidRDefault="008D3CBB" w:rsidP="00067244">
      <w:pPr>
        <w:pStyle w:val="ListParagraph"/>
        <w:numPr>
          <w:ilvl w:val="0"/>
          <w:numId w:val="19"/>
        </w:numPr>
        <w:spacing w:line="360" w:lineRule="auto"/>
        <w:rPr>
          <w:rFonts w:cs="Times New Roman"/>
        </w:rPr>
      </w:pPr>
      <w:r w:rsidRPr="00801830">
        <w:rPr>
          <w:rFonts w:cs="Times New Roman"/>
        </w:rPr>
        <w:t>KMO values below 0.6 suggest that corrective action is necessary since the sample is insufficient. Use your own discretion for values between 0.5 and 0.6, since some writers have set this value at 0.5.</w:t>
      </w:r>
    </w:p>
    <w:p w:rsidR="008D3CBB" w:rsidRPr="00801830" w:rsidRDefault="008D3CBB" w:rsidP="00067244">
      <w:pPr>
        <w:pStyle w:val="ListParagraph"/>
        <w:numPr>
          <w:ilvl w:val="0"/>
          <w:numId w:val="19"/>
        </w:numPr>
        <w:spacing w:line="360" w:lineRule="auto"/>
        <w:rPr>
          <w:rFonts w:cs="Times New Roman"/>
        </w:rPr>
      </w:pPr>
      <w:r w:rsidRPr="00801830">
        <w:rPr>
          <w:rFonts w:cs="Times New Roman"/>
        </w:rPr>
        <w:lastRenderedPageBreak/>
        <w:t>Large partial correlations relative to the total of correlations are indicated by KMO values around zero. Stated differently, the prevalence of correlations poses a significant challenge to component analysis.</w:t>
      </w:r>
    </w:p>
    <w:p w:rsidR="008D3CBB" w:rsidRPr="00801830" w:rsidRDefault="008D3CBB" w:rsidP="00067244">
      <w:pPr>
        <w:spacing w:line="360" w:lineRule="auto"/>
        <w:rPr>
          <w:rFonts w:cs="Times New Roman"/>
        </w:rPr>
      </w:pPr>
      <w:r w:rsidRPr="00801830">
        <w:rPr>
          <w:rFonts w:cs="Times New Roman"/>
        </w:rPr>
        <w:t>The KMO test formula is as follows:</w:t>
      </w:r>
    </w:p>
    <w:bookmarkStart w:id="2" w:name="MTBlankEqn"/>
    <w:p w:rsidR="008D3CBB" w:rsidRPr="001823DC" w:rsidRDefault="008D3CBB" w:rsidP="00067244">
      <w:pPr>
        <w:spacing w:line="360" w:lineRule="auto"/>
        <w:jc w:val="center"/>
        <w:rPr>
          <w:rFonts w:cs="Times New Roman"/>
          <w:bCs/>
        </w:rPr>
      </w:pPr>
      <w:r w:rsidRPr="00801830">
        <w:rPr>
          <w:position w:val="-32"/>
        </w:rPr>
        <w:object w:dxaOrig="2100" w:dyaOrig="760">
          <v:shape id="_x0000_i1026" type="#_x0000_t75" style="width:128.25pt;height:54pt" o:ole="">
            <v:imagedata r:id="rId9" o:title=""/>
          </v:shape>
          <o:OLEObject Type="Embed" ProgID="Equation.DSMT4" ShapeID="_x0000_i1026" DrawAspect="Content" ObjectID="_1831550862" r:id="rId10"/>
        </w:object>
      </w:r>
      <w:bookmarkEnd w:id="2"/>
    </w:p>
    <w:p w:rsidR="008D3CBB" w:rsidRPr="00A75465" w:rsidRDefault="008D3CBB" w:rsidP="00067244">
      <w:pPr>
        <w:numPr>
          <w:ilvl w:val="0"/>
          <w:numId w:val="20"/>
        </w:numPr>
        <w:spacing w:line="360" w:lineRule="auto"/>
        <w:rPr>
          <w:rFonts w:cs="Times New Roman"/>
          <w:color w:val="000000" w:themeColor="text1"/>
        </w:rPr>
      </w:pPr>
      <w:r w:rsidRPr="00A75465">
        <w:rPr>
          <w:rFonts w:cs="Times New Roman"/>
          <w:color w:val="000000" w:themeColor="text1"/>
        </w:rPr>
        <w:t>R = [r</w:t>
      </w:r>
      <w:r w:rsidRPr="00A75465">
        <w:rPr>
          <w:rFonts w:cs="Times New Roman"/>
          <w:color w:val="000000" w:themeColor="text1"/>
          <w:vertAlign w:val="subscript"/>
        </w:rPr>
        <w:t>ij</w:t>
      </w:r>
      <w:r w:rsidRPr="00A75465">
        <w:rPr>
          <w:rFonts w:cs="Times New Roman"/>
          <w:color w:val="000000" w:themeColor="text1"/>
        </w:rPr>
        <w:t>] is the </w:t>
      </w:r>
      <w:r>
        <w:rPr>
          <w:rFonts w:cs="Times New Roman"/>
          <w:color w:val="000000" w:themeColor="text1"/>
        </w:rPr>
        <w:t xml:space="preserve">Correlation matrix, </w:t>
      </w:r>
    </w:p>
    <w:p w:rsidR="008D3CBB" w:rsidRPr="00A75465" w:rsidRDefault="008D3CBB" w:rsidP="00067244">
      <w:pPr>
        <w:numPr>
          <w:ilvl w:val="0"/>
          <w:numId w:val="20"/>
        </w:numPr>
        <w:spacing w:line="360" w:lineRule="auto"/>
        <w:rPr>
          <w:rFonts w:cs="Times New Roman"/>
          <w:color w:val="000000" w:themeColor="text1"/>
        </w:rPr>
      </w:pPr>
      <w:r w:rsidRPr="00A75465">
        <w:rPr>
          <w:rFonts w:cs="Times New Roman"/>
          <w:color w:val="000000" w:themeColor="text1"/>
        </w:rPr>
        <w:t>U = [u] is the partial covariance matrix,</w:t>
      </w:r>
    </w:p>
    <w:p w:rsidR="008D3CBB" w:rsidRPr="00222C77" w:rsidRDefault="008D3CBB" w:rsidP="00067244">
      <w:pPr>
        <w:numPr>
          <w:ilvl w:val="0"/>
          <w:numId w:val="20"/>
        </w:numPr>
        <w:spacing w:line="360" w:lineRule="auto"/>
        <w:rPr>
          <w:rFonts w:cs="Times New Roman"/>
          <w:color w:val="000000" w:themeColor="text1"/>
        </w:rPr>
      </w:pPr>
      <w:r w:rsidRPr="00A75465">
        <w:rPr>
          <w:rFonts w:cs="Times New Roman"/>
          <w:color w:val="000000" w:themeColor="text1"/>
        </w:rPr>
        <w:t>Σ = </w:t>
      </w:r>
      <w:r>
        <w:rPr>
          <w:rFonts w:cs="Times New Roman"/>
          <w:color w:val="000000" w:themeColor="text1"/>
        </w:rPr>
        <w:t>summation notation</w:t>
      </w:r>
      <w:r w:rsidRPr="00A75465">
        <w:rPr>
          <w:rFonts w:cs="Times New Roman"/>
          <w:color w:val="000000" w:themeColor="text1"/>
        </w:rPr>
        <w:t> (“add up”).</w:t>
      </w:r>
    </w:p>
    <w:p w:rsidR="008D3CBB" w:rsidRPr="00343D28" w:rsidRDefault="008D3CBB" w:rsidP="00067244">
      <w:pPr>
        <w:spacing w:line="360" w:lineRule="auto"/>
        <w:rPr>
          <w:rFonts w:cs="Times New Roman"/>
          <w:b/>
          <w:bCs/>
        </w:rPr>
      </w:pPr>
      <w:r w:rsidRPr="00343D28">
        <w:rPr>
          <w:rFonts w:cs="Times New Roman"/>
          <w:b/>
          <w:bCs/>
        </w:rPr>
        <w:t>The Reliability and Validity of the scale:</w:t>
      </w:r>
    </w:p>
    <w:p w:rsidR="008D3CBB" w:rsidRDefault="008D3CBB" w:rsidP="00067244">
      <w:pPr>
        <w:spacing w:line="360" w:lineRule="auto"/>
        <w:rPr>
          <w:rFonts w:cs="Times New Roman"/>
          <w:color w:val="000000" w:themeColor="text1"/>
        </w:rPr>
      </w:pPr>
      <w:r w:rsidRPr="001823DC">
        <w:rPr>
          <w:rFonts w:cs="Times New Roman"/>
          <w:color w:val="000000" w:themeColor="text1"/>
        </w:rPr>
        <w:t>Ensuring the reliability and validity of the scale is crucial in research. To guarantee that the results are meaningful, the reliability and validity of the scales used in this study have been thoroughly evaluated.</w:t>
      </w:r>
    </w:p>
    <w:p w:rsidR="008D3CBB" w:rsidRPr="001823DC" w:rsidRDefault="008D3CBB" w:rsidP="00067244">
      <w:pPr>
        <w:spacing w:line="360" w:lineRule="auto"/>
        <w:rPr>
          <w:rFonts w:cs="Times New Roman"/>
          <w:color w:val="000000" w:themeColor="text1"/>
        </w:rPr>
      </w:pPr>
    </w:p>
    <w:p w:rsidR="008D3CBB" w:rsidRPr="0067109D" w:rsidRDefault="008D3CBB" w:rsidP="00067244">
      <w:pPr>
        <w:spacing w:line="360" w:lineRule="auto"/>
        <w:rPr>
          <w:rFonts w:cs="Times New Roman"/>
          <w:b/>
          <w:bCs/>
        </w:rPr>
      </w:pPr>
      <w:r w:rsidRPr="0067109D">
        <w:rPr>
          <w:rFonts w:cs="Times New Roman"/>
          <w:b/>
          <w:bCs/>
        </w:rPr>
        <w:t>Reliability</w:t>
      </w:r>
    </w:p>
    <w:p w:rsidR="008D3CBB" w:rsidRDefault="008D3CBB" w:rsidP="00067244">
      <w:pPr>
        <w:spacing w:line="360" w:lineRule="auto"/>
        <w:rPr>
          <w:rFonts w:eastAsia="Times New Roman" w:cs="Times New Roman"/>
          <w:color w:val="000000" w:themeColor="text1"/>
          <w:lang w:val="en-US" w:bidi="or-IN"/>
        </w:rPr>
      </w:pPr>
      <w:r w:rsidRPr="001823DC">
        <w:rPr>
          <w:rFonts w:eastAsia="Times New Roman" w:cs="Times New Roman"/>
          <w:color w:val="000000" w:themeColor="text1"/>
          <w:lang w:val="en-US" w:bidi="or-IN"/>
        </w:rPr>
        <w:t>Reliability refers to the consistency of a measurement. A reliable instrument consistently produces the same results when research is repeated under identical conditions. For example, if a thermometer consistently gives the same temperature reading for a liquid under identical conditions across multiple tests, the results are considered reliable</w:t>
      </w:r>
      <w:r>
        <w:rPr>
          <w:rFonts w:eastAsia="Times New Roman" w:cs="Times New Roman"/>
          <w:color w:val="000000" w:themeColor="text1"/>
          <w:lang w:val="en-US" w:bidi="or-IN"/>
        </w:rPr>
        <w:t>.</w:t>
      </w:r>
    </w:p>
    <w:p w:rsidR="008D3CBB" w:rsidRPr="0067109D" w:rsidRDefault="008D3CBB" w:rsidP="00067244">
      <w:pPr>
        <w:spacing w:line="360" w:lineRule="auto"/>
        <w:rPr>
          <w:rFonts w:eastAsia="Times New Roman" w:cs="Times New Roman"/>
          <w:b/>
          <w:bCs/>
          <w:color w:val="000000" w:themeColor="text1"/>
          <w:u w:val="single"/>
          <w:lang w:val="en-US" w:bidi="or-IN"/>
        </w:rPr>
      </w:pPr>
      <w:r w:rsidRPr="0067109D">
        <w:rPr>
          <w:rFonts w:eastAsia="Times New Roman" w:cs="Times New Roman"/>
          <w:b/>
          <w:bCs/>
          <w:color w:val="000000" w:themeColor="text1"/>
          <w:u w:val="single"/>
          <w:lang w:val="en-US" w:bidi="or-IN"/>
        </w:rPr>
        <w:t>Factor loading</w:t>
      </w:r>
    </w:p>
    <w:p w:rsidR="008D3CBB" w:rsidRPr="002331E0" w:rsidRDefault="008D3CBB" w:rsidP="00067244">
      <w:pPr>
        <w:spacing w:line="360" w:lineRule="auto"/>
        <w:rPr>
          <w:rFonts w:eastAsia="Times New Roman" w:cs="Times New Roman"/>
          <w:b/>
          <w:bCs/>
          <w:color w:val="000000" w:themeColor="text1"/>
          <w:lang w:val="en-US" w:bidi="or-IN"/>
        </w:rPr>
      </w:pPr>
      <w:r w:rsidRPr="002331E0">
        <w:rPr>
          <w:rFonts w:eastAsia="Times New Roman" w:cs="Times New Roman"/>
          <w:color w:val="000000" w:themeColor="text1"/>
          <w:lang w:val="en-US" w:bidi="or-IN"/>
        </w:rPr>
        <w:t>The degree of correlation between an observable variable and a latent variable is indicated by a number called the factor loading. It usually ranges from 0 to 1, however when computing many variables, certain datasets may have factor loadings larger than 1. Greater relationship with the latent variable is indicated by higher factor loadings.</w:t>
      </w:r>
      <w:r>
        <w:rPr>
          <w:rFonts w:eastAsia="Times New Roman" w:cs="Times New Roman"/>
          <w:color w:val="000000" w:themeColor="text1"/>
          <w:lang w:val="en-US" w:bidi="or-IN"/>
        </w:rPr>
        <w:t xml:space="preserve"> </w:t>
      </w:r>
      <w:r w:rsidRPr="002331E0">
        <w:rPr>
          <w:rFonts w:eastAsia="Times New Roman" w:cs="Times New Roman"/>
          <w:color w:val="000000" w:themeColor="text1"/>
          <w:lang w:val="en-US" w:bidi="or-IN"/>
        </w:rPr>
        <w:t xml:space="preserve">For instance, the latent variable of anxiety has a factor loading of 0.85 for question one and 0.33 for question two, according to a study of survey data. Question one is likely more successful than Question 2 in identifying respondents who suffer from anxiety since it has a higher factor loading. This is because </w:t>
      </w:r>
      <w:r w:rsidRPr="002331E0">
        <w:rPr>
          <w:rFonts w:eastAsia="Times New Roman" w:cs="Times New Roman"/>
          <w:color w:val="000000" w:themeColor="text1"/>
          <w:lang w:val="en-US" w:bidi="or-IN"/>
        </w:rPr>
        <w:lastRenderedPageBreak/>
        <w:t>question one has a larger correlation with the latent variable than question two, according to the factor loading</w:t>
      </w:r>
      <w:r>
        <w:rPr>
          <w:rFonts w:eastAsia="Times New Roman" w:cs="Times New Roman"/>
          <w:color w:val="000000" w:themeColor="text1"/>
          <w:lang w:val="en-US" w:bidi="or-IN"/>
        </w:rPr>
        <w:t xml:space="preserve"> </w:t>
      </w:r>
      <w:r>
        <w:rPr>
          <w:rFonts w:eastAsia="Times New Roman" w:cs="Times New Roman"/>
          <w:color w:val="000000" w:themeColor="text1"/>
          <w:lang w:val="en-US" w:bidi="or-IN"/>
        </w:rPr>
        <w:fldChar w:fldCharType="begin" w:fldLock="1"/>
      </w:r>
      <w:r w:rsidR="009207F4">
        <w:rPr>
          <w:rFonts w:eastAsia="Times New Roman" w:cs="Times New Roman"/>
          <w:color w:val="000000" w:themeColor="text1"/>
          <w:lang w:val="en-US" w:bidi="or-IN"/>
        </w:rPr>
        <w:instrText>ADDIN CSL_CITATION {"citationItems":[{"id":"ITEM-1","itemData":{"author":[{"dropping-particle":"","family":"Team","given":"Indeep Educational","non-dropping-particle":"","parse-names":false,"suffix":""}],"id":"ITEM-1","issued":{"date-parts":[["2024"]]},"title":"An Introductory Guide to Confirmatory Factor Analysis","type":"article-journal"},"uris":["http://www.mendeley.com/documents/?uuid=24744ea4-3d98-421b-a334-c337975c04de"]}],"mendeley":{"formattedCitation":"(Team, 2024)","plainTextFormattedCitation":"(Team, 2024)","previouslyFormattedCitation":"(Team, 2024)"},"properties":{"noteIndex":0},"schema":"https://github.com/citation-style-language/schema/raw/master/csl-citation.json"}</w:instrText>
      </w:r>
      <w:r>
        <w:rPr>
          <w:rFonts w:eastAsia="Times New Roman" w:cs="Times New Roman"/>
          <w:color w:val="000000" w:themeColor="text1"/>
          <w:lang w:val="en-US" w:bidi="or-IN"/>
        </w:rPr>
        <w:fldChar w:fldCharType="separate"/>
      </w:r>
      <w:r w:rsidRPr="002331E0">
        <w:rPr>
          <w:rFonts w:eastAsia="Times New Roman" w:cs="Times New Roman"/>
          <w:noProof/>
          <w:color w:val="000000" w:themeColor="text1"/>
          <w:lang w:val="en-US" w:bidi="or-IN"/>
        </w:rPr>
        <w:t>(Team, 2024)</w:t>
      </w:r>
      <w:r>
        <w:rPr>
          <w:rFonts w:eastAsia="Times New Roman" w:cs="Times New Roman"/>
          <w:color w:val="000000" w:themeColor="text1"/>
          <w:lang w:val="en-US" w:bidi="or-IN"/>
        </w:rPr>
        <w:fldChar w:fldCharType="end"/>
      </w:r>
      <w:r w:rsidRPr="002331E0">
        <w:rPr>
          <w:rFonts w:eastAsia="Times New Roman" w:cs="Times New Roman"/>
          <w:color w:val="000000" w:themeColor="text1"/>
          <w:lang w:val="en-US" w:bidi="or-IN"/>
        </w:rPr>
        <w:t>.</w:t>
      </w:r>
    </w:p>
    <w:p w:rsidR="008D3CBB" w:rsidRPr="0067109D" w:rsidRDefault="008D3CBB" w:rsidP="00067244">
      <w:pPr>
        <w:spacing w:line="360" w:lineRule="auto"/>
        <w:rPr>
          <w:rFonts w:cs="Times New Roman"/>
          <w:b/>
          <w:bCs/>
          <w:u w:val="single"/>
          <w:lang w:val="en-US"/>
        </w:rPr>
      </w:pPr>
      <w:r w:rsidRPr="0067109D">
        <w:rPr>
          <w:rFonts w:cs="Times New Roman"/>
          <w:b/>
          <w:bCs/>
          <w:u w:val="single"/>
          <w:lang w:val="en-US"/>
        </w:rPr>
        <w:t>Cronbach’s alpha:</w:t>
      </w:r>
    </w:p>
    <w:p w:rsidR="008D3CBB" w:rsidRPr="001823DC" w:rsidRDefault="008D3CBB" w:rsidP="00067244">
      <w:pPr>
        <w:spacing w:line="360" w:lineRule="auto"/>
        <w:rPr>
          <w:rFonts w:eastAsia="Times New Roman" w:cs="Times New Roman"/>
          <w:color w:val="000000" w:themeColor="text1"/>
          <w:lang w:val="en-US" w:bidi="or-IN"/>
        </w:rPr>
      </w:pPr>
      <w:r w:rsidRPr="001823DC">
        <w:rPr>
          <w:rFonts w:eastAsia="Times New Roman" w:cs="Times New Roman"/>
          <w:color w:val="000000" w:themeColor="text1"/>
          <w:lang w:val="en-US" w:bidi="or-IN"/>
        </w:rPr>
        <w:t>The Cronbach alpha coefficient method is the most commonly used to measure the reliability of a study. This coefficient ranges from 0 to 1. Many studies suggest that a minimum score of 0.6 indicates reliability, while a score above 0.7 is often regarded as high reliability. However, a reliability score in the range of 0.5 to 0.6 is acceptable in the early stages of basic research specifically at pilot study stage.</w:t>
      </w:r>
    </w:p>
    <w:p w:rsidR="008D3CBB" w:rsidRDefault="008D3CBB" w:rsidP="00067244">
      <w:pPr>
        <w:spacing w:line="360" w:lineRule="auto"/>
        <w:rPr>
          <w:rFonts w:eastAsia="Times New Roman" w:cs="Times New Roman"/>
          <w:color w:val="000000" w:themeColor="text1"/>
          <w:lang w:val="en-US" w:bidi="or-IN"/>
        </w:rPr>
      </w:pPr>
      <w:r w:rsidRPr="001823DC">
        <w:rPr>
          <w:rFonts w:eastAsia="Times New Roman" w:cs="Times New Roman"/>
          <w:color w:val="000000" w:themeColor="text1"/>
          <w:lang w:val="en-US" w:bidi="or-IN"/>
        </w:rPr>
        <w:t>In this research, Cronbach's alpha has been used to investigate for data reliability. It is a widely used tool in marketing research. A low alpha value indicates that the items do not adequately capture the construct, while a high alpha value suggests that the research variables are well-correlated.</w:t>
      </w:r>
    </w:p>
    <w:p w:rsidR="008D3CBB" w:rsidRDefault="008D3CBB" w:rsidP="00067244">
      <w:pPr>
        <w:spacing w:line="360" w:lineRule="auto"/>
        <w:rPr>
          <w:rFonts w:eastAsia="Times New Roman" w:cs="Times New Roman"/>
          <w:color w:val="000000" w:themeColor="text1"/>
          <w:lang w:val="en-US" w:bidi="or-IN"/>
        </w:rPr>
      </w:pPr>
    </w:p>
    <w:p w:rsidR="008D3CBB" w:rsidRPr="0067109D" w:rsidRDefault="008D3CBB" w:rsidP="00067244">
      <w:pPr>
        <w:spacing w:line="360" w:lineRule="auto"/>
        <w:rPr>
          <w:rFonts w:eastAsia="Times New Roman" w:cs="Times New Roman"/>
          <w:color w:val="000000" w:themeColor="text1"/>
          <w:u w:val="single"/>
          <w:lang w:val="en-US" w:bidi="or-IN"/>
        </w:rPr>
      </w:pPr>
      <w:r w:rsidRPr="0067109D">
        <w:rPr>
          <w:rFonts w:eastAsia="Times New Roman" w:cs="Times New Roman"/>
          <w:b/>
          <w:bCs/>
          <w:color w:val="000000" w:themeColor="text1"/>
          <w:u w:val="single"/>
          <w:lang w:bidi="or-IN"/>
        </w:rPr>
        <w:t>Average Variance Extracted</w:t>
      </w:r>
    </w:p>
    <w:p w:rsidR="008D3CBB" w:rsidRDefault="008D3CBB" w:rsidP="00067244">
      <w:pPr>
        <w:spacing w:line="360" w:lineRule="auto"/>
      </w:pPr>
      <w:r w:rsidRPr="00F40678">
        <w:rPr>
          <w:rFonts w:eastAsia="Times New Roman" w:cs="Times New Roman"/>
          <w:color w:val="000000" w:themeColor="text1"/>
          <w:lang w:bidi="or-IN"/>
        </w:rPr>
        <w:t>Many research has used the criteria for evaluating convergent validity in addition to looking at the standardized factor loadings. said that when a latent concept explains at least half of the variation in the indicators it is related with, convergent validity has been proven. They suggested representing the average amount of variation explained by a construct in its indicators in relation to the total variance of its indicators using the average variance extracted (AVE)</w:t>
      </w:r>
      <w:r>
        <w:rPr>
          <w:rFonts w:eastAsia="Times New Roman" w:cs="Times New Roman"/>
          <w:color w:val="000000" w:themeColor="text1"/>
          <w:lang w:bidi="or-IN"/>
        </w:rPr>
        <w:t xml:space="preserve"> </w:t>
      </w:r>
      <w:r>
        <w:rPr>
          <w:rFonts w:eastAsia="Times New Roman" w:cs="Times New Roman"/>
          <w:color w:val="000000" w:themeColor="text1"/>
          <w:lang w:bidi="or-IN"/>
        </w:rPr>
        <w:fldChar w:fldCharType="begin" w:fldLock="1"/>
      </w:r>
      <w:r w:rsidR="009207F4">
        <w:rPr>
          <w:rFonts w:eastAsia="Times New Roman" w:cs="Times New Roman"/>
          <w:color w:val="000000" w:themeColor="text1"/>
          <w:lang w:bidi="or-IN"/>
        </w:rPr>
        <w:instrText>ADDIN CSL_CITATION {"citationItems":[{"id":"ITEM-1","itemData":{"DOI":"10.1007/s10490-023-09871-y","ISBN":"1049002309871","ISSN":"15729958","abstract":"Many constructs in management studies, such as perceptions, personalities, attitudes, and behavioral intentions, are not directly observable. Typically, empirical studies measure such constructs using established scales with multiple indicators. When the scales are used in a different population, the items are translated into other languages or revised to adapt to other populations, it is essential for researchers to report the quality of measurement scales before using them to test hypotheses. Researchers commonly report the quality of these measurement scales based on Cronbach’s alpha and confirmatory factor analysis results. However, these results are usually inadequate and sometimes inappropriate. Moreover, researchers rarely consider sampling errors for these psychometric quality measures. In this best practice paper, we first critically review the most frequently-used approaches in empirical studies to evaluate the quality of measurement scales when using structural equation modeling. Next, we recommend best practices in assessing reliability, convergent and discriminant validity based on multiple criteria and taking sampling errors into consideration. Then, we illustrate with numerical examples the application of a specifically-developed R package, measureQ, that provides a one-stop solution for implementing the recommended best practices and a template for reporting the results. measureQ is easy to implement, even for those new to R. Our overall aim is to provide a best-practice reference for future authors, reviewers, and editors in reporting and reviewing the quality of measurement scales in empirical management studies.","author":[{"dropping-particle":"","family":"Cheung","given":"Gordon W.","non-dropping-particle":"","parse-names":false,"suffix":""},{"dropping-particle":"","family":"Cooper-Thomas","given":"Helena D.","non-dropping-particle":"","parse-names":false,"suffix":""},{"dropping-particle":"","family":"Lau","given":"Rebecca S.","non-dropping-particle":"","parse-names":false,"suffix":""},{"dropping-particle":"","family":"Wang","given":"Linda C.","non-dropping-particle":"","parse-names":false,"suffix":""}],"container-title":"Asia Pacific Journal of Management","id":"ITEM-1","issue":"2","issued":{"date-parts":[["2024"]]},"number-of-pages":"745-783","publisher":"Springer US","title":"Reporting reliability, convergent and discriminant validity with structural equation modeling: A review and best-practice recommendations","type":"book","volume":"41"},"uris":["http://www.mendeley.com/documents/?uuid=c9fff7a3-8848-4097-855e-60471ea7a9cc"]}],"mendeley":{"formattedCitation":"(Cheung et al., 2024)","plainTextFormattedCitation":"(Cheung et al., 2024)","previouslyFormattedCitation":"(Cheung et al., 2024)"},"properties":{"noteIndex":0},"schema":"https://github.com/citation-style-language/schema/raw/master/csl-citation.json"}</w:instrText>
      </w:r>
      <w:r>
        <w:rPr>
          <w:rFonts w:eastAsia="Times New Roman" w:cs="Times New Roman"/>
          <w:color w:val="000000" w:themeColor="text1"/>
          <w:lang w:bidi="or-IN"/>
        </w:rPr>
        <w:fldChar w:fldCharType="separate"/>
      </w:r>
      <w:r w:rsidRPr="009713BC">
        <w:rPr>
          <w:rFonts w:eastAsia="Times New Roman" w:cs="Times New Roman"/>
          <w:noProof/>
          <w:color w:val="000000" w:themeColor="text1"/>
          <w:lang w:bidi="or-IN"/>
        </w:rPr>
        <w:t>(Cheung et al., 2024)</w:t>
      </w:r>
      <w:r>
        <w:rPr>
          <w:rFonts w:eastAsia="Times New Roman" w:cs="Times New Roman"/>
          <w:color w:val="000000" w:themeColor="text1"/>
          <w:lang w:bidi="or-IN"/>
        </w:rPr>
        <w:fldChar w:fldCharType="end"/>
      </w:r>
      <w:r w:rsidRPr="00F40678">
        <w:rPr>
          <w:rFonts w:eastAsia="Times New Roman" w:cs="Times New Roman"/>
          <w:color w:val="000000" w:themeColor="text1"/>
          <w:lang w:bidi="or-IN"/>
        </w:rPr>
        <w:t>.</w:t>
      </w:r>
      <w:r>
        <w:rPr>
          <w:rFonts w:eastAsia="Times New Roman" w:cs="Times New Roman"/>
          <w:color w:val="000000" w:themeColor="text1"/>
          <w:lang w:bidi="or-IN"/>
        </w:rPr>
        <w:t xml:space="preserve"> </w:t>
      </w:r>
      <w:r w:rsidRPr="00240131">
        <w:rPr>
          <w:rFonts w:eastAsia="Times New Roman" w:cs="Times New Roman"/>
          <w:color w:val="000000" w:themeColor="text1"/>
          <w:lang w:bidi="or-IN"/>
        </w:rPr>
        <w:t>Average variance extracted (AVE) value greater than 0.5</w:t>
      </w:r>
      <w:r>
        <w:rPr>
          <w:rFonts w:eastAsia="Times New Roman" w:cs="Times New Roman"/>
          <w:color w:val="000000" w:themeColor="text1"/>
          <w:lang w:bidi="or-IN"/>
        </w:rPr>
        <w:t xml:space="preserve"> </w:t>
      </w:r>
    </w:p>
    <w:p w:rsidR="008D3CBB" w:rsidRDefault="008D3CBB" w:rsidP="00067244">
      <w:pPr>
        <w:spacing w:line="360" w:lineRule="auto"/>
        <w:rPr>
          <w:rFonts w:eastAsia="Times New Roman" w:cs="Times New Roman"/>
          <w:color w:val="000000" w:themeColor="text1"/>
          <w:lang w:bidi="or-IN"/>
        </w:rPr>
      </w:pPr>
      <w:r w:rsidRPr="00385DA3">
        <w:rPr>
          <w:rFonts w:eastAsia="Times New Roman" w:cs="Times New Roman"/>
          <w:color w:val="000000" w:themeColor="text1"/>
          <w:lang w:bidi="or-IN"/>
        </w:rPr>
        <w:t>A higher value implies a better degree of reliability; AVE greater than or equal to 0.5 validates convergent validity; the average variance extracted is calculated by dividing the sum of squared loadings. AVE and CR have values between 0 and 1.</w:t>
      </w:r>
    </w:p>
    <w:p w:rsidR="008D3CBB" w:rsidRDefault="008D3CBB" w:rsidP="00067244">
      <w:pPr>
        <w:spacing w:line="360" w:lineRule="auto"/>
        <w:rPr>
          <w:rFonts w:eastAsia="Times New Roman" w:cs="Times New Roman"/>
          <w:color w:val="000000" w:themeColor="text1"/>
          <w:lang w:bidi="or-IN"/>
        </w:rPr>
      </w:pPr>
    </w:p>
    <w:p w:rsidR="008D3CBB" w:rsidRPr="0067109D" w:rsidRDefault="008D3CBB" w:rsidP="00067244">
      <w:pPr>
        <w:spacing w:line="360" w:lineRule="auto"/>
        <w:rPr>
          <w:rFonts w:eastAsia="Times New Roman" w:cs="Times New Roman"/>
          <w:b/>
          <w:bCs/>
          <w:color w:val="000000" w:themeColor="text1"/>
          <w:u w:val="single"/>
          <w:lang w:bidi="or-IN"/>
        </w:rPr>
      </w:pPr>
      <w:r w:rsidRPr="0067109D">
        <w:rPr>
          <w:rFonts w:eastAsia="Times New Roman" w:cs="Times New Roman"/>
          <w:b/>
          <w:bCs/>
          <w:color w:val="000000" w:themeColor="text1"/>
          <w:u w:val="single"/>
          <w:lang w:bidi="or-IN"/>
        </w:rPr>
        <w:t xml:space="preserve">Composite Reliability (CR) </w:t>
      </w:r>
    </w:p>
    <w:p w:rsidR="008D3CBB" w:rsidRDefault="008D3CBB" w:rsidP="00067244">
      <w:pPr>
        <w:spacing w:line="360" w:lineRule="auto"/>
        <w:rPr>
          <w:rFonts w:eastAsia="Times New Roman" w:cs="Times New Roman"/>
          <w:color w:val="000000" w:themeColor="text1"/>
          <w:lang w:bidi="or-IN"/>
        </w:rPr>
      </w:pPr>
      <w:r w:rsidRPr="00C32374">
        <w:rPr>
          <w:rFonts w:eastAsia="Times New Roman" w:cs="Times New Roman"/>
          <w:color w:val="000000" w:themeColor="text1"/>
          <w:lang w:bidi="or-IN"/>
        </w:rPr>
        <w:t>The internal consistency of scale items is measured by composite reliability. Composite reliability is defined as a measure of the observed variables' shared variance that is used as a latent construct indicator. Each construct's CR may be found by dividing the sum of squares of fully standardized factor loadings</w:t>
      </w:r>
      <w:r>
        <w:rPr>
          <w:rFonts w:eastAsia="Times New Roman" w:cs="Times New Roman"/>
          <w:color w:val="000000" w:themeColor="text1"/>
          <w:lang w:bidi="or-IN"/>
        </w:rPr>
        <w:t xml:space="preserve"> </w:t>
      </w:r>
      <w:r>
        <w:rPr>
          <w:rFonts w:eastAsia="Times New Roman" w:cs="Times New Roman"/>
          <w:color w:val="000000" w:themeColor="text1"/>
          <w:lang w:bidi="or-IN"/>
        </w:rPr>
        <w:fldChar w:fldCharType="begin" w:fldLock="1"/>
      </w:r>
      <w:r w:rsidR="009207F4">
        <w:rPr>
          <w:rFonts w:eastAsia="Times New Roman" w:cs="Times New Roman"/>
          <w:color w:val="000000" w:themeColor="text1"/>
          <w:lang w:bidi="or-IN"/>
        </w:rPr>
        <w:instrText>ADDIN CSL_CITATION {"citationItems":[{"id":"ITEM-1","itemData":{"DOI":"10.12691/ajams-9-1-2","ISSN":"2328-7306","abstract":"Factor analysis is particularly suitable to extract few factors from the large number of related variables to a more manageable number, prior to using them in other analysis such as multiple regression or multivariate analysis of variance. It can be beneficial in developing of a questionnaire. Sometimes adding more statements in the questionnaire fail to give clear understanding of the variables. With the help of factor analysis, irrelevant questions can be removed from the final questionnaire. This study proposed a factor analysis to identify the factors underlying the variables of a questionnaire to measure tourist satisfaction. In this study, Kaiser-Meyer-Olkin measure of sampling adequacy and Bartlett’s test of Sphericity are used to assess the factorability of the data. Determinant score is calculated to examine the multicollinearity among the variables. To determine the number of factors to be extracted, Kaiser’s Criterion and Scree test are examined. Varimax orthogonal factor rotation method is applied to minimize the number of variables that have high loadings on each factor. The internal consistency is confirmed by calculating Cronbach’s alpha and composite reliability to test the instrument accuracy. The convergent validity is established when average variance extracted is greater than or equal to 0.5. The results have revealed that the factor analysis not only allows detecting irrelevant items but will also allow extracting the valuable factors from the data set of a questionnaire survey. The application of factor analysis for questionnaire evaluation provides very valuable inputs to the decision makers to focus on few important factors rather than a large number of parameters.","author":[{"dropping-particle":"","family":"Shrestha","given":"Noora","non-dropping-particle":"","parse-names":false,"suffix":""}],"container-title":"American Journal of Applied Mathematics and Statistics","id":"ITEM-1","issue":"1","issued":{"date-parts":[["2021"]]},"page":"4-11","title":"Factor Analysis as a Tool for Survey Analysis","type":"article-journal","volume":"9"},"uris":["http://www.mendeley.com/documents/?uuid=4d2d8efd-e08c-40e8-a749-04716cc26abb"]}],"mendeley":{"formattedCitation":"(Shrestha, 2021)","plainTextFormattedCitation":"(Shrestha, 2021)","previouslyFormattedCitation":"(Shrestha, 2021)"},"properties":{"noteIndex":0},"schema":"https://github.com/citation-style-language/schema/raw/master/csl-citation.json"}</w:instrText>
      </w:r>
      <w:r>
        <w:rPr>
          <w:rFonts w:eastAsia="Times New Roman" w:cs="Times New Roman"/>
          <w:color w:val="000000" w:themeColor="text1"/>
          <w:lang w:bidi="or-IN"/>
        </w:rPr>
        <w:fldChar w:fldCharType="separate"/>
      </w:r>
      <w:r w:rsidRPr="00C32374">
        <w:rPr>
          <w:rFonts w:eastAsia="Times New Roman" w:cs="Times New Roman"/>
          <w:noProof/>
          <w:color w:val="000000" w:themeColor="text1"/>
          <w:lang w:bidi="or-IN"/>
        </w:rPr>
        <w:t>(Shrestha, 2021)</w:t>
      </w:r>
      <w:r>
        <w:rPr>
          <w:rFonts w:eastAsia="Times New Roman" w:cs="Times New Roman"/>
          <w:color w:val="000000" w:themeColor="text1"/>
          <w:lang w:bidi="or-IN"/>
        </w:rPr>
        <w:fldChar w:fldCharType="end"/>
      </w:r>
      <w:r w:rsidRPr="00C32374">
        <w:rPr>
          <w:rFonts w:eastAsia="Times New Roman" w:cs="Times New Roman"/>
          <w:color w:val="000000" w:themeColor="text1"/>
          <w:lang w:bidi="or-IN"/>
        </w:rPr>
        <w:t>.</w:t>
      </w:r>
    </w:p>
    <w:p w:rsidR="008D3CBB" w:rsidRDefault="008D3CBB" w:rsidP="00067244">
      <w:pPr>
        <w:spacing w:line="360" w:lineRule="auto"/>
        <w:rPr>
          <w:rFonts w:eastAsia="Times New Roman" w:cs="Times New Roman"/>
          <w:color w:val="000000" w:themeColor="text1"/>
          <w:lang w:bidi="or-IN"/>
        </w:rPr>
      </w:pPr>
      <w:r w:rsidRPr="00C32374">
        <w:rPr>
          <w:rFonts w:eastAsia="Times New Roman" w:cs="Times New Roman"/>
          <w:color w:val="000000" w:themeColor="text1"/>
          <w:lang w:bidi="or-IN"/>
        </w:rPr>
        <w:lastRenderedPageBreak/>
        <w:t>The lack of multicollinearity is shown by the correlation matrix being greater than 0.00001. It would be crucial to look for variable pairs with correlation coefficients of r &gt; 0.8 and think about excluding them from the study if the determinant value is less than 0.00001. The threshold for item removal should be lowered until this criterion is met since a lower score may suggest that groups of three or more questions or statements have substantial inter-correlations.</w:t>
      </w:r>
    </w:p>
    <w:p w:rsidR="008D3CBB" w:rsidRPr="00C32374" w:rsidRDefault="008D3CBB" w:rsidP="00067244">
      <w:pPr>
        <w:spacing w:line="360" w:lineRule="auto"/>
        <w:rPr>
          <w:rFonts w:eastAsia="Times New Roman" w:cs="Times New Roman"/>
          <w:color w:val="000000" w:themeColor="text1"/>
          <w:lang w:bidi="or-IN"/>
        </w:rPr>
      </w:pPr>
    </w:p>
    <w:p w:rsidR="008D3CBB" w:rsidRPr="00343D28" w:rsidRDefault="008D3CBB" w:rsidP="00067244">
      <w:pPr>
        <w:spacing w:line="360" w:lineRule="auto"/>
        <w:rPr>
          <w:rFonts w:cs="Times New Roman"/>
          <w:b/>
          <w:bCs/>
          <w:lang w:val="en-US"/>
        </w:rPr>
      </w:pPr>
      <w:r w:rsidRPr="00343D28">
        <w:rPr>
          <w:rFonts w:cs="Times New Roman"/>
          <w:b/>
          <w:bCs/>
          <w:lang w:val="en-US"/>
        </w:rPr>
        <w:t>Validity</w:t>
      </w:r>
    </w:p>
    <w:p w:rsidR="008D3CBB" w:rsidRDefault="008D3CBB" w:rsidP="00067244">
      <w:pPr>
        <w:spacing w:line="360" w:lineRule="auto"/>
        <w:rPr>
          <w:rFonts w:cs="Times New Roman"/>
          <w:color w:val="000000" w:themeColor="text1"/>
        </w:rPr>
      </w:pPr>
      <w:r w:rsidRPr="001823DC">
        <w:rPr>
          <w:rFonts w:cs="Times New Roman"/>
          <w:color w:val="000000" w:themeColor="text1"/>
        </w:rPr>
        <w:t>Validity pertains to the accuracy of a measurement, indicating how well the results align with what they are intended to measure. In essence, it reflects the extent to which a measure truly represents the concept under consideration. In this research, Content Validity was assessed to ensure the validity of the questionnaire. Feedback from Subject Matter Experts was gathered to evaluate the appropriateness and accuracy of the measurement tool, often referred to as face validity. The scales used in this research were sourced from well-established studies, ensuring their content validity. Inputs were also sought from the research supervisor and Scrutiny Committee Members to ensure the questionnaire's completeness and accuracy. The validity was further reinforced by incorporating their feedback into the measurement tool. Additionally, the questionnaire was pre-tested with a sample group, and necessary adjustments were made based on the feedback received.</w:t>
      </w:r>
    </w:p>
    <w:p w:rsidR="008D3CBB" w:rsidRPr="00BE018C" w:rsidRDefault="008D3CBB" w:rsidP="00067244">
      <w:pPr>
        <w:spacing w:line="360" w:lineRule="auto"/>
        <w:rPr>
          <w:rFonts w:cs="Times New Roman"/>
          <w:b/>
          <w:bCs/>
          <w:color w:val="000000" w:themeColor="text1"/>
        </w:rPr>
      </w:pPr>
      <w:r w:rsidRPr="00BE018C">
        <w:rPr>
          <w:rFonts w:cs="Times New Roman"/>
          <w:b/>
          <w:bCs/>
          <w:color w:val="000000" w:themeColor="text1"/>
        </w:rPr>
        <w:t>Discriminant Validity</w:t>
      </w:r>
      <w:r>
        <w:rPr>
          <w:rFonts w:cs="Times New Roman"/>
          <w:b/>
          <w:bCs/>
          <w:color w:val="000000" w:themeColor="text1"/>
        </w:rPr>
        <w:t xml:space="preserve"> test</w:t>
      </w:r>
    </w:p>
    <w:p w:rsidR="008D3CBB" w:rsidRDefault="008D3CBB" w:rsidP="00067244">
      <w:pPr>
        <w:spacing w:line="360" w:lineRule="auto"/>
        <w:rPr>
          <w:rFonts w:cs="Times New Roman"/>
          <w:color w:val="000000" w:themeColor="text1"/>
        </w:rPr>
      </w:pPr>
      <w:r w:rsidRPr="007961E5">
        <w:rPr>
          <w:rFonts w:cs="Times New Roman"/>
          <w:color w:val="000000" w:themeColor="text1"/>
        </w:rPr>
        <w:t>This validity shows that there are no superfluous items in the measurement model of a construct. By using a discrepancy measure known as Modification Indices (MI), AMOS was able to determine which items in the model were redundant. A high MI value suggests that the corresponding items are unnecessary. The measurement model could be run after the researcher removes one of the identified items. The redundant pair could also be constrained by the researcher using a "free parameter estimate." A further prerequisite for discriminant validity is that there should be no more than 0.85 correlation between exogenous constructs. When the correlation value is greater than 0.85, it means that there is a significant multicollinearity issue or that the two exogenous constructs are redundant</w:t>
      </w:r>
      <w:r>
        <w:rPr>
          <w:rFonts w:cs="Times New Roman"/>
          <w:color w:val="000000" w:themeColor="text1"/>
        </w:rPr>
        <w:t xml:space="preserve"> </w:t>
      </w:r>
      <w:r>
        <w:rPr>
          <w:rFonts w:cs="Times New Roman"/>
          <w:color w:val="000000" w:themeColor="text1"/>
        </w:rPr>
        <w:fldChar w:fldCharType="begin" w:fldLock="1"/>
      </w:r>
      <w:r w:rsidR="009207F4">
        <w:rPr>
          <w:rFonts w:cs="Times New Roman"/>
          <w:color w:val="000000" w:themeColor="text1"/>
        </w:rPr>
        <w:instrText>ADDIN CSL_CITATION {"citationItems":[{"id":"ITEM-1","itemData":{"abstract":"The measurement model of a latent construct: SEM is a confirmatory method providing a comprehensive means for validating the measurement model of latent constructs. The validating procedure is called Confirmatory Factor Analysis (CFA). The CFA method has the ability to assess the Unidimensionality, Validity and Reliability of a latent construct. The researcher needs to perform CFA for all latent constructs involved in the study before modeling their inter-relationship in a structural model (SEM). However, the Unidimensionality assessment should be made first prior to assessing Validity and Reliability. With CFA, any item that does not fit the measurement model due to low factor loading should be removed from the model. The fitness of a measurement model is indicated through certain Fitness Indexes. However the items deletion should not exceed 20% of total items in a model. Otherwise the particular construct itself is deemed to be invalid since it failed the \" confirmatory \" itself. The researchers could run the CFA for every measurement model separately or run the pooled measurement models at once. However, the CFA for pooled measurement models is more efficient and highly suggested. Thus, this procedure (Pooled-CFA) for assessing the measurement model of latent constructs will be demonstrated. The assessment for each element is done as follows:","author":[{"dropping-particle":"","family":"Awang","given":"Zainudin","non-dropping-particle":"","parse-names":false,"suffix":""}],"container-title":"Structural Equation Modelling using amos grafic","id":"ITEM-1","issued":{"date-parts":[["2014"]]},"page":"54-73","title":"Validating the Measurement Model : Cfa","type":"article-journal"},"uris":["http://www.mendeley.com/documents/?uuid=fc6d1f4c-4414-4fdd-bd68-a712cbb1b56a"]}],"mendeley":{"formattedCitation":"(Awang, 2014)","plainTextFormattedCitation":"(Awang, 2014)","previouslyFormattedCitation":"(Awang, 2014)"},"properties":{"noteIndex":0},"schema":"https://github.com/citation-style-language/schema/raw/master/csl-citation.json"}</w:instrText>
      </w:r>
      <w:r>
        <w:rPr>
          <w:rFonts w:cs="Times New Roman"/>
          <w:color w:val="000000" w:themeColor="text1"/>
        </w:rPr>
        <w:fldChar w:fldCharType="separate"/>
      </w:r>
      <w:r w:rsidRPr="00BE018C">
        <w:rPr>
          <w:rFonts w:cs="Times New Roman"/>
          <w:noProof/>
          <w:color w:val="000000" w:themeColor="text1"/>
        </w:rPr>
        <w:t>(Awang, 2014)</w:t>
      </w:r>
      <w:r>
        <w:rPr>
          <w:rFonts w:cs="Times New Roman"/>
          <w:color w:val="000000" w:themeColor="text1"/>
        </w:rPr>
        <w:fldChar w:fldCharType="end"/>
      </w:r>
      <w:r w:rsidRPr="007961E5">
        <w:rPr>
          <w:rFonts w:cs="Times New Roman"/>
          <w:color w:val="000000" w:themeColor="text1"/>
        </w:rPr>
        <w:t>.</w:t>
      </w:r>
    </w:p>
    <w:p w:rsidR="008D3CBB" w:rsidRDefault="008D3CBB" w:rsidP="00067244">
      <w:pPr>
        <w:spacing w:line="360" w:lineRule="auto"/>
        <w:rPr>
          <w:rFonts w:cs="Times New Roman"/>
          <w:b/>
          <w:bCs/>
        </w:rPr>
      </w:pPr>
      <w:r w:rsidRPr="00343D28">
        <w:rPr>
          <w:rFonts w:cs="Times New Roman"/>
          <w:b/>
          <w:bCs/>
        </w:rPr>
        <w:t>Model fit summary</w:t>
      </w:r>
    </w:p>
    <w:p w:rsidR="008D3CBB" w:rsidRDefault="008D3CBB" w:rsidP="00067244">
      <w:pPr>
        <w:spacing w:line="360" w:lineRule="auto"/>
        <w:rPr>
          <w:rFonts w:cs="Times New Roman"/>
          <w:lang w:val="en-US"/>
        </w:rPr>
      </w:pPr>
      <w:r w:rsidRPr="00EE5784">
        <w:rPr>
          <w:rFonts w:cs="Times New Roman"/>
          <w:lang w:val="en-US"/>
        </w:rPr>
        <w:t xml:space="preserve">Model fitness aids in analyzing the mode's effectiveness. The foundation of this stage is evaluating the model's fitness using the model fit indices </w:t>
      </w:r>
      <w:r w:rsidRPr="00D83D06">
        <w:rPr>
          <w:rFonts w:cs="Times New Roman"/>
        </w:rPr>
        <w:t>Chi-square value(χ</w:t>
      </w:r>
      <w:r w:rsidRPr="00D83D06">
        <w:rPr>
          <w:rFonts w:cs="Times New Roman"/>
          <w:vertAlign w:val="superscript"/>
        </w:rPr>
        <w:t>2</w:t>
      </w:r>
      <w:r w:rsidRPr="00D83D06">
        <w:rPr>
          <w:rFonts w:cs="Times New Roman"/>
        </w:rPr>
        <w:t>)</w:t>
      </w:r>
      <w:r>
        <w:rPr>
          <w:rFonts w:cs="Times New Roman"/>
        </w:rPr>
        <w:t xml:space="preserve">, </w:t>
      </w:r>
      <w:r w:rsidRPr="00D83D06">
        <w:rPr>
          <w:rFonts w:cs="Times New Roman"/>
        </w:rPr>
        <w:t xml:space="preserve">Degrees of </w:t>
      </w:r>
      <w:r w:rsidRPr="00D83D06">
        <w:rPr>
          <w:rFonts w:cs="Times New Roman"/>
        </w:rPr>
        <w:lastRenderedPageBreak/>
        <w:t>freedom (df)</w:t>
      </w:r>
      <w:r>
        <w:rPr>
          <w:rFonts w:cs="Times New Roman"/>
        </w:rPr>
        <w:t xml:space="preserve">, </w:t>
      </w:r>
      <w:r w:rsidRPr="00EE5784">
        <w:rPr>
          <w:rFonts w:cs="Times New Roman"/>
          <w:lang w:val="en-US"/>
        </w:rPr>
        <w:t xml:space="preserve">CMIN/Df, </w:t>
      </w:r>
      <w:r>
        <w:rPr>
          <w:rFonts w:cs="Times New Roman"/>
          <w:lang w:val="en-US"/>
        </w:rPr>
        <w:t xml:space="preserve">P value, </w:t>
      </w:r>
      <w:r w:rsidRPr="00EE5784">
        <w:rPr>
          <w:rFonts w:cs="Times New Roman"/>
          <w:lang w:val="en-US"/>
        </w:rPr>
        <w:t xml:space="preserve">GFI, </w:t>
      </w:r>
      <w:r>
        <w:rPr>
          <w:rFonts w:cs="Times New Roman"/>
          <w:lang w:val="en-US"/>
        </w:rPr>
        <w:t>R</w:t>
      </w:r>
      <w:r w:rsidRPr="00EE5784">
        <w:rPr>
          <w:rFonts w:cs="Times New Roman"/>
          <w:lang w:val="en-US"/>
        </w:rPr>
        <w:t xml:space="preserve">FI, NFI, </w:t>
      </w:r>
      <w:r>
        <w:rPr>
          <w:rFonts w:cs="Times New Roman"/>
          <w:lang w:val="en-US"/>
        </w:rPr>
        <w:t>C</w:t>
      </w:r>
      <w:r w:rsidRPr="00EE5784">
        <w:rPr>
          <w:rFonts w:cs="Times New Roman"/>
          <w:lang w:val="en-US"/>
        </w:rPr>
        <w:t>FI, IFI,</w:t>
      </w:r>
      <w:r>
        <w:rPr>
          <w:rFonts w:cs="Times New Roman"/>
          <w:lang w:val="en-US"/>
        </w:rPr>
        <w:t xml:space="preserve"> RMR </w:t>
      </w:r>
      <w:r w:rsidRPr="00EE5784">
        <w:rPr>
          <w:rFonts w:cs="Times New Roman"/>
          <w:lang w:val="en-US"/>
        </w:rPr>
        <w:t>and RMSEA. All model indices' acceptability ranges are shown in the tables below. The model fitness of the variables is established based on the acceptance level.</w:t>
      </w:r>
    </w:p>
    <w:p w:rsidR="008D3CBB" w:rsidRDefault="008D3CBB" w:rsidP="00067244">
      <w:pPr>
        <w:spacing w:line="360" w:lineRule="auto"/>
        <w:rPr>
          <w:rFonts w:cs="Times New Roman"/>
          <w:lang w:val="en-US"/>
        </w:rPr>
      </w:pPr>
      <w:r w:rsidRPr="00FD4A96">
        <w:rPr>
          <w:rFonts w:cs="Times New Roman"/>
          <w:lang w:val="en-US"/>
        </w:rPr>
        <w:t>A thorough assessment of the structural equation model's goodness-of-fit is given by the model fit indices. Important indices like the Goodness of Fit Index (GFI), Relative Fit Index (RFI), Normed Fit Index (NFI), Incremental Fit Index (IFI), and Comparative Fit Index (CFI) greater than or equal to 0.90 are indicators of an acceptable fit, as is a Chi-square value (χ²) relative to degrees of freedom (CMIN/DF) of less than 3.00 and a p-value below 0.05. A suitable and well-fitting model for the data is also indicated by the Root Mean Square Residual (RMR) being less than or equal to 0.05 and the Root Mean Square Error of Approximation (RMSEA) being less than or equal to 0.08.</w:t>
      </w:r>
    </w:p>
    <w:p w:rsidR="008D3CBB" w:rsidRDefault="008D3CBB" w:rsidP="00067244">
      <w:pPr>
        <w:spacing w:line="360" w:lineRule="auto"/>
        <w:rPr>
          <w:rFonts w:cs="Times New Roman"/>
          <w:b/>
          <w:bCs/>
        </w:rPr>
      </w:pPr>
      <w:r w:rsidRPr="001B2861">
        <w:rPr>
          <w:rFonts w:cs="Times New Roman"/>
          <w:b/>
          <w:bCs/>
        </w:rPr>
        <w:t>Confirmatory Factor Analysis (CFA):</w:t>
      </w:r>
    </w:p>
    <w:p w:rsidR="008D3CBB" w:rsidRPr="001B2861" w:rsidRDefault="008D3CBB" w:rsidP="00067244">
      <w:pPr>
        <w:spacing w:line="360" w:lineRule="auto"/>
        <w:rPr>
          <w:rFonts w:cs="Times New Roman"/>
          <w:lang w:val="en-US"/>
        </w:rPr>
      </w:pPr>
      <w:r w:rsidRPr="001B2861">
        <w:rPr>
          <w:rFonts w:cs="Times New Roman"/>
          <w:lang w:val="en-US"/>
        </w:rPr>
        <w:t>Confirmatory component Analysis (CFA) is an advanced statistical method used to validate the component structure of a collection of observed data. It enables researchers to evaluate the hypothesis that a correlation between observable variables and their underlying latent constructs is present. Confirmatory Factor Analysis (CFA) contrasts with Exploratory Factor Analysis (EFA), since the former tests a predetermined structure of the data rather than discovering it.</w:t>
      </w:r>
    </w:p>
    <w:p w:rsidR="008D3CBB" w:rsidRDefault="008D3CBB" w:rsidP="00067244">
      <w:pPr>
        <w:spacing w:line="360" w:lineRule="auto"/>
        <w:rPr>
          <w:rFonts w:cs="Times New Roman"/>
          <w:lang w:val="en-US"/>
        </w:rPr>
      </w:pPr>
      <w:r w:rsidRPr="00F91474">
        <w:rPr>
          <w:rFonts w:cs="Times New Roman"/>
          <w:lang w:val="en-US"/>
        </w:rPr>
        <w:t xml:space="preserve">The main objective of CFA is to ascertain the extent to which the data aligns with a proposed measuring model derived from theoretical frameworks or previous studies. This entails many essential steps: </w:t>
      </w:r>
    </w:p>
    <w:p w:rsidR="008D3CBB" w:rsidRPr="00F91474" w:rsidRDefault="008D3CBB" w:rsidP="00067244">
      <w:pPr>
        <w:pStyle w:val="ListParagraph"/>
        <w:numPr>
          <w:ilvl w:val="0"/>
          <w:numId w:val="21"/>
        </w:numPr>
        <w:spacing w:line="360" w:lineRule="auto"/>
        <w:rPr>
          <w:rFonts w:cs="Times New Roman"/>
          <w:lang w:val="en-US"/>
        </w:rPr>
      </w:pPr>
      <w:r w:rsidRPr="00F91474">
        <w:rPr>
          <w:rFonts w:cs="Times New Roman"/>
          <w:lang w:val="en-US"/>
        </w:rPr>
        <w:t xml:space="preserve">Defining constructions: The method starts with the precise delineation of the theoretical constructions. At this point, researchers often pretest the elements of the construct to assess their clarity and confirm their appropriate representation of the notion. </w:t>
      </w:r>
    </w:p>
    <w:p w:rsidR="008D3CBB" w:rsidRPr="00F91474" w:rsidRDefault="008D3CBB" w:rsidP="00067244">
      <w:pPr>
        <w:pStyle w:val="ListParagraph"/>
        <w:numPr>
          <w:ilvl w:val="0"/>
          <w:numId w:val="21"/>
        </w:numPr>
        <w:spacing w:line="360" w:lineRule="auto"/>
        <w:rPr>
          <w:rFonts w:cs="Times New Roman"/>
          <w:lang w:val="en-US"/>
        </w:rPr>
      </w:pPr>
      <w:r w:rsidRPr="00F91474">
        <w:rPr>
          <w:rFonts w:cs="Times New Roman"/>
          <w:lang w:val="en-US"/>
        </w:rPr>
        <w:t xml:space="preserve">Formulating the Measurement Model: In Confirmatory component Analysis (CFA), researchers define the principle of one-dimensionality, whereby many observed variables exclusively assess a singular component or construct. Generally, an effective approach entails possessing a minimum of three things for each build. </w:t>
      </w:r>
    </w:p>
    <w:p w:rsidR="008D3CBB" w:rsidRPr="00F91474" w:rsidRDefault="008D3CBB" w:rsidP="00067244">
      <w:pPr>
        <w:pStyle w:val="ListParagraph"/>
        <w:numPr>
          <w:ilvl w:val="0"/>
          <w:numId w:val="21"/>
        </w:numPr>
        <w:spacing w:line="360" w:lineRule="auto"/>
        <w:rPr>
          <w:rFonts w:cs="Times New Roman"/>
          <w:lang w:val="en-US"/>
        </w:rPr>
      </w:pPr>
      <w:r w:rsidRPr="00F91474">
        <w:rPr>
          <w:rFonts w:cs="Times New Roman"/>
          <w:lang w:val="en-US"/>
        </w:rPr>
        <w:t>Defining the Model: Researchers must delineate the number of factors and the configuration of loadings (which variables correspond to which components). This specification is based on theoretical anticipations or outcomes from prior research.</w:t>
      </w:r>
    </w:p>
    <w:p w:rsidR="008D3CBB" w:rsidRPr="00F91474" w:rsidRDefault="008D3CBB" w:rsidP="00067244">
      <w:pPr>
        <w:pStyle w:val="ListParagraph"/>
        <w:numPr>
          <w:ilvl w:val="0"/>
          <w:numId w:val="21"/>
        </w:numPr>
        <w:spacing w:line="360" w:lineRule="auto"/>
        <w:rPr>
          <w:rFonts w:cs="Times New Roman"/>
          <w:lang w:val="en-US"/>
        </w:rPr>
      </w:pPr>
      <w:r w:rsidRPr="00F91474">
        <w:rPr>
          <w:rFonts w:cs="Times New Roman"/>
          <w:lang w:val="en-US"/>
        </w:rPr>
        <w:lastRenderedPageBreak/>
        <w:t>Evaluating Model Fit: The validity of the measurement model is determined by juxtaposing the theoretical model with the empirical data. This entails analyzing factor loadings (with a typical threshold of 0.7 or above for sufficient loadings) and fit indices like Chi-square, Root Mean Square Error of Approximation (RMSEA), Goodness of Fit Index (GFI), and Comparative Fit Index (CFI).</w:t>
      </w:r>
    </w:p>
    <w:p w:rsidR="008D3CBB" w:rsidRPr="006D23A3" w:rsidRDefault="008D3CBB" w:rsidP="00067244">
      <w:pPr>
        <w:rPr>
          <w:b/>
          <w:bCs/>
        </w:rPr>
      </w:pPr>
      <w:r w:rsidRPr="006D23A3">
        <w:rPr>
          <w:b/>
          <w:bCs/>
        </w:rPr>
        <w:t>Hypothesis test</w:t>
      </w:r>
    </w:p>
    <w:p w:rsidR="008D3CBB" w:rsidRPr="00823CD6" w:rsidRDefault="008D3CBB" w:rsidP="00067244">
      <w:pPr>
        <w:spacing w:line="360" w:lineRule="auto"/>
        <w:rPr>
          <w:rFonts w:cs="Times New Roman"/>
          <w:b/>
        </w:rPr>
      </w:pPr>
      <w:r w:rsidRPr="00823CD6">
        <w:rPr>
          <w:rFonts w:cs="Times New Roman"/>
          <w:b/>
        </w:rPr>
        <w:t>SEM (structural equational modelling)</w:t>
      </w:r>
    </w:p>
    <w:p w:rsidR="00EA518E" w:rsidRDefault="008D3CBB" w:rsidP="00EC48E7">
      <w:pPr>
        <w:spacing w:line="360" w:lineRule="auto"/>
        <w:rPr>
          <w:rFonts w:cs="Times New Roman"/>
        </w:rPr>
      </w:pPr>
      <w:r w:rsidRPr="00CB6F43">
        <w:rPr>
          <w:rFonts w:cs="Times New Roman"/>
        </w:rPr>
        <w:t>Structural equation modelling (SEM) is a versatile statistical tool that is used to describe complex connections between variables, regardless of whether such interactions are obvious or latent. It offers a variety of unique qualities, including as the ability to analyse complicated causal pathways, integrate latent components, test numerous hypotheses at the same time, take measurement error into account, evaluate model fit, and combine aspects of factor analysis and regression. Structural equation modelling (SEM) is a valuable research tool that may be used in a variety of subjects, including sociology, economics, and psychology. It is useful for evaluating theoretical models, investigating the implications of interventions or policies, and simplifying difficult datasets. This allows for a more thorough and precise analysis of the data, as well as the testing of our hypothesis</w:t>
      </w:r>
      <w:r w:rsidRPr="00823CD6">
        <w:rPr>
          <w:rFonts w:cs="Times New Roman"/>
        </w:rPr>
        <w:t>.</w:t>
      </w:r>
    </w:p>
    <w:p w:rsidR="004F399D" w:rsidRDefault="004F399D" w:rsidP="004F399D">
      <w:pPr>
        <w:pStyle w:val="Heading2"/>
      </w:pPr>
      <w:bookmarkStart w:id="3" w:name="_Toc216458188"/>
      <w:r w:rsidRPr="00AD2280">
        <w:t>Summary</w:t>
      </w:r>
      <w:bookmarkEnd w:id="3"/>
    </w:p>
    <w:p w:rsidR="004F399D" w:rsidRPr="00363140" w:rsidRDefault="00BA215B" w:rsidP="00EC48E7">
      <w:pPr>
        <w:spacing w:line="360" w:lineRule="auto"/>
        <w:rPr>
          <w:rFonts w:cs="Times New Roman"/>
        </w:rPr>
      </w:pPr>
      <w:r w:rsidRPr="00363140">
        <w:t>This chapter has outlined the research methodology that was adopted for analysing the impact of</w:t>
      </w:r>
      <w:r w:rsidR="009908AB" w:rsidRPr="00363140">
        <w:t xml:space="preserve"> </w:t>
      </w:r>
      <w:r w:rsidR="009908AB" w:rsidRPr="00363140">
        <w:t>AI-driven strategic risk management on risk management effectiveness in hybrid project environments. A quantitative approach was adopted, using a cross-sectional survey conducted on 384 professionals including project managers, risk managers, PMO professionals, and Agile practitioners. Data were collected primarily through structured questionnaires distributed via online forms such as Google Forms, with some offline methods to ensure wider participation. The sampling was random and included respondents from diverse industries, roles, and experience levels to reduce bias. Measurements were taken using five-point Likert scales, and secondary data from academic journals, industry reports, and professional publications were also used to support the research. Data analysis was performed using SPSS and AMOS, including factor analysis, reliability and validity tests, and SEM to evaluate relationships between key variables such as risk process alignment, risk visibility integration, timely risk escalation, governance consistency, and AI-driven risk analytics capability.</w:t>
      </w:r>
    </w:p>
    <w:sectPr w:rsidR="004F399D" w:rsidRPr="00363140" w:rsidSect="008D3CBB">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9E9"/>
    <w:multiLevelType w:val="multilevel"/>
    <w:tmpl w:val="7CDA5E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4F7EB3"/>
    <w:multiLevelType w:val="multilevel"/>
    <w:tmpl w:val="F78C4B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AC31F1C"/>
    <w:multiLevelType w:val="hybridMultilevel"/>
    <w:tmpl w:val="A24008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790DE9"/>
    <w:multiLevelType w:val="multilevel"/>
    <w:tmpl w:val="68B67846"/>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C1D40F6"/>
    <w:multiLevelType w:val="multilevel"/>
    <w:tmpl w:val="ECFE5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383DB0"/>
    <w:multiLevelType w:val="multilevel"/>
    <w:tmpl w:val="4128FF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F744E26"/>
    <w:multiLevelType w:val="multilevel"/>
    <w:tmpl w:val="90A21F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1D4679F"/>
    <w:multiLevelType w:val="hybridMultilevel"/>
    <w:tmpl w:val="64080A24"/>
    <w:lvl w:ilvl="0" w:tplc="B778EB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37DB6"/>
    <w:multiLevelType w:val="hybridMultilevel"/>
    <w:tmpl w:val="DF149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24153A"/>
    <w:multiLevelType w:val="multilevel"/>
    <w:tmpl w:val="8BF840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A7D47EE"/>
    <w:multiLevelType w:val="hybridMultilevel"/>
    <w:tmpl w:val="78389A7C"/>
    <w:lvl w:ilvl="0" w:tplc="B778EB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3919AF"/>
    <w:multiLevelType w:val="hybridMultilevel"/>
    <w:tmpl w:val="2D58D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342F5"/>
    <w:multiLevelType w:val="hybridMultilevel"/>
    <w:tmpl w:val="F4644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4A4C06"/>
    <w:multiLevelType w:val="multilevel"/>
    <w:tmpl w:val="7E38B1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F387958"/>
    <w:multiLevelType w:val="multilevel"/>
    <w:tmpl w:val="CD84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F02680"/>
    <w:multiLevelType w:val="multilevel"/>
    <w:tmpl w:val="532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F6BE5"/>
    <w:multiLevelType w:val="hybridMultilevel"/>
    <w:tmpl w:val="1BEA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8298E"/>
    <w:multiLevelType w:val="multilevel"/>
    <w:tmpl w:val="6C9C2C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98252DC"/>
    <w:multiLevelType w:val="multilevel"/>
    <w:tmpl w:val="6B8E85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1503663"/>
    <w:multiLevelType w:val="hybridMultilevel"/>
    <w:tmpl w:val="87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9100A8"/>
    <w:multiLevelType w:val="multilevel"/>
    <w:tmpl w:val="BF9A02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CDC1F2B"/>
    <w:multiLevelType w:val="multilevel"/>
    <w:tmpl w:val="D81083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F6575CB"/>
    <w:multiLevelType w:val="multilevel"/>
    <w:tmpl w:val="4AB6971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68432ED9"/>
    <w:multiLevelType w:val="hybridMultilevel"/>
    <w:tmpl w:val="D38A0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D1434A"/>
    <w:multiLevelType w:val="hybridMultilevel"/>
    <w:tmpl w:val="5518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8A1C18"/>
    <w:multiLevelType w:val="multilevel"/>
    <w:tmpl w:val="F65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D23BB7"/>
    <w:multiLevelType w:val="multilevel"/>
    <w:tmpl w:val="C9A429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E415583"/>
    <w:multiLevelType w:val="multilevel"/>
    <w:tmpl w:val="73F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495486">
    <w:abstractNumId w:val="18"/>
  </w:num>
  <w:num w:numId="2" w16cid:durableId="1366560581">
    <w:abstractNumId w:val="4"/>
  </w:num>
  <w:num w:numId="3" w16cid:durableId="1605072656">
    <w:abstractNumId w:val="4"/>
  </w:num>
  <w:num w:numId="4" w16cid:durableId="742139342">
    <w:abstractNumId w:val="5"/>
  </w:num>
  <w:num w:numId="5" w16cid:durableId="610237846">
    <w:abstractNumId w:val="20"/>
  </w:num>
  <w:num w:numId="6" w16cid:durableId="326516104">
    <w:abstractNumId w:val="26"/>
  </w:num>
  <w:num w:numId="7" w16cid:durableId="1271670703">
    <w:abstractNumId w:val="13"/>
  </w:num>
  <w:num w:numId="8" w16cid:durableId="680007981">
    <w:abstractNumId w:val="1"/>
  </w:num>
  <w:num w:numId="9" w16cid:durableId="1809085270">
    <w:abstractNumId w:val="21"/>
  </w:num>
  <w:num w:numId="10" w16cid:durableId="810172856">
    <w:abstractNumId w:val="0"/>
  </w:num>
  <w:num w:numId="11" w16cid:durableId="228227658">
    <w:abstractNumId w:val="9"/>
  </w:num>
  <w:num w:numId="12" w16cid:durableId="1039359341">
    <w:abstractNumId w:val="6"/>
  </w:num>
  <w:num w:numId="13" w16cid:durableId="1982686263">
    <w:abstractNumId w:val="3"/>
  </w:num>
  <w:num w:numId="14" w16cid:durableId="623003713">
    <w:abstractNumId w:val="3"/>
  </w:num>
  <w:num w:numId="15" w16cid:durableId="448164543">
    <w:abstractNumId w:val="17"/>
  </w:num>
  <w:num w:numId="16" w16cid:durableId="1573663114">
    <w:abstractNumId w:val="14"/>
  </w:num>
  <w:num w:numId="17" w16cid:durableId="611127586">
    <w:abstractNumId w:val="27"/>
  </w:num>
  <w:num w:numId="18" w16cid:durableId="1772236108">
    <w:abstractNumId w:val="15"/>
  </w:num>
  <w:num w:numId="19" w16cid:durableId="854853950">
    <w:abstractNumId w:val="8"/>
  </w:num>
  <w:num w:numId="20" w16cid:durableId="200438464">
    <w:abstractNumId w:val="25"/>
  </w:num>
  <w:num w:numId="21" w16cid:durableId="82268818">
    <w:abstractNumId w:val="24"/>
  </w:num>
  <w:num w:numId="22" w16cid:durableId="864558063">
    <w:abstractNumId w:val="22"/>
  </w:num>
  <w:num w:numId="23" w16cid:durableId="1310549754">
    <w:abstractNumId w:val="23"/>
  </w:num>
  <w:num w:numId="24" w16cid:durableId="897790843">
    <w:abstractNumId w:val="11"/>
  </w:num>
  <w:num w:numId="25" w16cid:durableId="849177682">
    <w:abstractNumId w:val="16"/>
  </w:num>
  <w:num w:numId="26" w16cid:durableId="898200975">
    <w:abstractNumId w:val="19"/>
  </w:num>
  <w:num w:numId="27" w16cid:durableId="872307379">
    <w:abstractNumId w:val="7"/>
  </w:num>
  <w:num w:numId="28" w16cid:durableId="1539052866">
    <w:abstractNumId w:val="10"/>
  </w:num>
  <w:num w:numId="29" w16cid:durableId="1066685263">
    <w:abstractNumId w:val="2"/>
  </w:num>
  <w:num w:numId="30" w16cid:durableId="5834191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BB"/>
    <w:rsid w:val="000069D9"/>
    <w:rsid w:val="0004217E"/>
    <w:rsid w:val="000635B7"/>
    <w:rsid w:val="00067244"/>
    <w:rsid w:val="0007226C"/>
    <w:rsid w:val="0008564F"/>
    <w:rsid w:val="000948B7"/>
    <w:rsid w:val="000E0229"/>
    <w:rsid w:val="001378B1"/>
    <w:rsid w:val="00147211"/>
    <w:rsid w:val="0014734D"/>
    <w:rsid w:val="00156F46"/>
    <w:rsid w:val="00162CE1"/>
    <w:rsid w:val="00163F75"/>
    <w:rsid w:val="00191256"/>
    <w:rsid w:val="001A085F"/>
    <w:rsid w:val="001A775B"/>
    <w:rsid w:val="001B2BC0"/>
    <w:rsid w:val="001B7F58"/>
    <w:rsid w:val="001D1BC3"/>
    <w:rsid w:val="001D2BBF"/>
    <w:rsid w:val="001D44B8"/>
    <w:rsid w:val="001D7DBB"/>
    <w:rsid w:val="001E2D7A"/>
    <w:rsid w:val="00211AA9"/>
    <w:rsid w:val="002279E9"/>
    <w:rsid w:val="0026338A"/>
    <w:rsid w:val="00295255"/>
    <w:rsid w:val="002A4AA5"/>
    <w:rsid w:val="002B22B8"/>
    <w:rsid w:val="002D526B"/>
    <w:rsid w:val="00302733"/>
    <w:rsid w:val="00304896"/>
    <w:rsid w:val="00341128"/>
    <w:rsid w:val="00342E9C"/>
    <w:rsid w:val="00347C94"/>
    <w:rsid w:val="00363140"/>
    <w:rsid w:val="003749EF"/>
    <w:rsid w:val="003B038C"/>
    <w:rsid w:val="003F3308"/>
    <w:rsid w:val="003F3B01"/>
    <w:rsid w:val="0041786F"/>
    <w:rsid w:val="00423B60"/>
    <w:rsid w:val="00430975"/>
    <w:rsid w:val="0047288C"/>
    <w:rsid w:val="00476E13"/>
    <w:rsid w:val="00486228"/>
    <w:rsid w:val="00490ED3"/>
    <w:rsid w:val="004950AD"/>
    <w:rsid w:val="004A076B"/>
    <w:rsid w:val="004B1173"/>
    <w:rsid w:val="004B4322"/>
    <w:rsid w:val="004C0FCF"/>
    <w:rsid w:val="004C3B57"/>
    <w:rsid w:val="004D351C"/>
    <w:rsid w:val="004E18DE"/>
    <w:rsid w:val="004E7A96"/>
    <w:rsid w:val="004F2A89"/>
    <w:rsid w:val="004F399D"/>
    <w:rsid w:val="005003C7"/>
    <w:rsid w:val="00506E71"/>
    <w:rsid w:val="005642BC"/>
    <w:rsid w:val="00565D2F"/>
    <w:rsid w:val="00584AF4"/>
    <w:rsid w:val="00593989"/>
    <w:rsid w:val="005B0952"/>
    <w:rsid w:val="005C3E96"/>
    <w:rsid w:val="005F2855"/>
    <w:rsid w:val="00612598"/>
    <w:rsid w:val="00635FB0"/>
    <w:rsid w:val="0065278B"/>
    <w:rsid w:val="006601F8"/>
    <w:rsid w:val="0066453B"/>
    <w:rsid w:val="00670B03"/>
    <w:rsid w:val="00682AC4"/>
    <w:rsid w:val="006842A2"/>
    <w:rsid w:val="00691C84"/>
    <w:rsid w:val="0069555C"/>
    <w:rsid w:val="006B4BB9"/>
    <w:rsid w:val="006C4FA4"/>
    <w:rsid w:val="006D23A3"/>
    <w:rsid w:val="006D5726"/>
    <w:rsid w:val="006E6BD0"/>
    <w:rsid w:val="006E6C3B"/>
    <w:rsid w:val="00721722"/>
    <w:rsid w:val="00737A31"/>
    <w:rsid w:val="00744282"/>
    <w:rsid w:val="00776469"/>
    <w:rsid w:val="00780843"/>
    <w:rsid w:val="00786022"/>
    <w:rsid w:val="007B14CB"/>
    <w:rsid w:val="007D371B"/>
    <w:rsid w:val="007E0BD4"/>
    <w:rsid w:val="0080227A"/>
    <w:rsid w:val="00824452"/>
    <w:rsid w:val="00833D9D"/>
    <w:rsid w:val="00861C29"/>
    <w:rsid w:val="00862950"/>
    <w:rsid w:val="00870AB4"/>
    <w:rsid w:val="008726BB"/>
    <w:rsid w:val="00880CFA"/>
    <w:rsid w:val="00885022"/>
    <w:rsid w:val="008D3CBB"/>
    <w:rsid w:val="00903A56"/>
    <w:rsid w:val="009205A8"/>
    <w:rsid w:val="009207F4"/>
    <w:rsid w:val="00925E72"/>
    <w:rsid w:val="00946289"/>
    <w:rsid w:val="009900E7"/>
    <w:rsid w:val="009908AB"/>
    <w:rsid w:val="009A1391"/>
    <w:rsid w:val="009C6E8D"/>
    <w:rsid w:val="009D1B68"/>
    <w:rsid w:val="009D411A"/>
    <w:rsid w:val="009E0833"/>
    <w:rsid w:val="009F1452"/>
    <w:rsid w:val="009F3EBD"/>
    <w:rsid w:val="009F750F"/>
    <w:rsid w:val="00A234A3"/>
    <w:rsid w:val="00A30EA8"/>
    <w:rsid w:val="00A355E2"/>
    <w:rsid w:val="00A82047"/>
    <w:rsid w:val="00AB0EAC"/>
    <w:rsid w:val="00AB3DA2"/>
    <w:rsid w:val="00AD0537"/>
    <w:rsid w:val="00AE027C"/>
    <w:rsid w:val="00AF1199"/>
    <w:rsid w:val="00AF52C8"/>
    <w:rsid w:val="00AF5AEC"/>
    <w:rsid w:val="00B00B98"/>
    <w:rsid w:val="00B04E63"/>
    <w:rsid w:val="00B1028C"/>
    <w:rsid w:val="00B14C18"/>
    <w:rsid w:val="00B206DB"/>
    <w:rsid w:val="00B46078"/>
    <w:rsid w:val="00B6420C"/>
    <w:rsid w:val="00B71738"/>
    <w:rsid w:val="00B82CE2"/>
    <w:rsid w:val="00BA215B"/>
    <w:rsid w:val="00BE12CC"/>
    <w:rsid w:val="00BF0CF7"/>
    <w:rsid w:val="00BF1486"/>
    <w:rsid w:val="00BF2203"/>
    <w:rsid w:val="00BF2CAE"/>
    <w:rsid w:val="00BF4FC5"/>
    <w:rsid w:val="00BF622D"/>
    <w:rsid w:val="00C10ECA"/>
    <w:rsid w:val="00C46A16"/>
    <w:rsid w:val="00C61349"/>
    <w:rsid w:val="00C87E3E"/>
    <w:rsid w:val="00CA58BD"/>
    <w:rsid w:val="00CB1527"/>
    <w:rsid w:val="00CE45CA"/>
    <w:rsid w:val="00D0617B"/>
    <w:rsid w:val="00D0722D"/>
    <w:rsid w:val="00D22CEB"/>
    <w:rsid w:val="00D24720"/>
    <w:rsid w:val="00D25640"/>
    <w:rsid w:val="00D4523E"/>
    <w:rsid w:val="00D53F6A"/>
    <w:rsid w:val="00D65585"/>
    <w:rsid w:val="00D70D8D"/>
    <w:rsid w:val="00D7587B"/>
    <w:rsid w:val="00D9336C"/>
    <w:rsid w:val="00DA1C47"/>
    <w:rsid w:val="00DB5DB3"/>
    <w:rsid w:val="00DC1134"/>
    <w:rsid w:val="00DD7952"/>
    <w:rsid w:val="00DE2CBA"/>
    <w:rsid w:val="00E46D9C"/>
    <w:rsid w:val="00E54D62"/>
    <w:rsid w:val="00E57E9D"/>
    <w:rsid w:val="00EA518E"/>
    <w:rsid w:val="00EA51BC"/>
    <w:rsid w:val="00EA74DA"/>
    <w:rsid w:val="00EB5C79"/>
    <w:rsid w:val="00EC48E7"/>
    <w:rsid w:val="00ED61C4"/>
    <w:rsid w:val="00EE2A6E"/>
    <w:rsid w:val="00EE3607"/>
    <w:rsid w:val="00EE7A54"/>
    <w:rsid w:val="00F2235A"/>
    <w:rsid w:val="00F50211"/>
    <w:rsid w:val="00F66299"/>
    <w:rsid w:val="00FA077E"/>
    <w:rsid w:val="00FA2327"/>
    <w:rsid w:val="00FA591F"/>
    <w:rsid w:val="00FC1988"/>
    <w:rsid w:val="00FC2C5B"/>
    <w:rsid w:val="00FE2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3025"/>
  <w15:chartTrackingRefBased/>
  <w15:docId w15:val="{0D666279-8B65-4D53-B538-5668A96C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CBB"/>
    <w:pPr>
      <w:jc w:val="both"/>
    </w:pPr>
    <w:rPr>
      <w:rFonts w:ascii="Times New Roman" w:hAnsi="Times New Roman"/>
      <w:lang w:val="en-IN"/>
    </w:rPr>
  </w:style>
  <w:style w:type="paragraph" w:styleId="Heading1">
    <w:name w:val="heading 1"/>
    <w:basedOn w:val="Normal"/>
    <w:next w:val="Normal"/>
    <w:link w:val="Heading1Char"/>
    <w:autoRedefine/>
    <w:uiPriority w:val="9"/>
    <w:qFormat/>
    <w:rsid w:val="00F2235A"/>
    <w:pPr>
      <w:keepNext/>
      <w:keepLines/>
      <w:numPr>
        <w:numId w:val="22"/>
      </w:numPr>
      <w:spacing w:before="240" w:after="0"/>
      <w:outlineLvl w:val="0"/>
    </w:pPr>
    <w:rPr>
      <w:rFonts w:eastAsiaTheme="majorEastAsia" w:cstheme="majorBidi"/>
      <w:b/>
      <w:sz w:val="28"/>
      <w:szCs w:val="32"/>
      <w:lang w:val="en-US"/>
    </w:rPr>
  </w:style>
  <w:style w:type="paragraph" w:styleId="Heading2">
    <w:name w:val="heading 2"/>
    <w:basedOn w:val="Normal"/>
    <w:next w:val="Normal"/>
    <w:link w:val="Heading2Char"/>
    <w:autoRedefine/>
    <w:uiPriority w:val="9"/>
    <w:unhideWhenUsed/>
    <w:qFormat/>
    <w:rsid w:val="00EA51BC"/>
    <w:pPr>
      <w:keepNext/>
      <w:keepLines/>
      <w:numPr>
        <w:ilvl w:val="1"/>
        <w:numId w:val="22"/>
      </w:numPr>
      <w:tabs>
        <w:tab w:val="left" w:pos="540"/>
      </w:tabs>
      <w:spacing w:before="160" w:line="360" w:lineRule="auto"/>
      <w:ind w:left="0" w:firstLine="0"/>
      <w:outlineLvl w:val="1"/>
    </w:pPr>
    <w:rPr>
      <w:rFonts w:eastAsiaTheme="majorEastAsia" w:cs="Times New Roman"/>
      <w:b/>
      <w:bCs/>
      <w:lang w:val="en-US"/>
    </w:rPr>
  </w:style>
  <w:style w:type="paragraph" w:styleId="Heading3">
    <w:name w:val="heading 3"/>
    <w:basedOn w:val="Normal"/>
    <w:next w:val="Normal"/>
    <w:link w:val="Heading3Char"/>
    <w:autoRedefine/>
    <w:uiPriority w:val="9"/>
    <w:unhideWhenUsed/>
    <w:qFormat/>
    <w:rsid w:val="00F2235A"/>
    <w:pPr>
      <w:keepNext/>
      <w:keepLines/>
      <w:numPr>
        <w:ilvl w:val="2"/>
        <w:numId w:val="22"/>
      </w:numPr>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F2235A"/>
    <w:pPr>
      <w:numPr>
        <w:ilvl w:val="3"/>
        <w:numId w:val="22"/>
      </w:numPr>
      <w:outlineLvl w:val="3"/>
    </w:pPr>
    <w:rPr>
      <w:b/>
    </w:rPr>
  </w:style>
  <w:style w:type="paragraph" w:styleId="Heading5">
    <w:name w:val="heading 5"/>
    <w:basedOn w:val="Normal"/>
    <w:next w:val="Normal"/>
    <w:link w:val="Heading5Char"/>
    <w:uiPriority w:val="9"/>
    <w:semiHidden/>
    <w:unhideWhenUsed/>
    <w:qFormat/>
    <w:rsid w:val="008D3CBB"/>
    <w:pPr>
      <w:keepNext/>
      <w:keepLines/>
      <w:numPr>
        <w:ilvl w:val="4"/>
        <w:numId w:val="2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3CBB"/>
    <w:pPr>
      <w:keepNext/>
      <w:keepLines/>
      <w:numPr>
        <w:ilvl w:val="5"/>
        <w:numId w:val="2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3CBB"/>
    <w:pPr>
      <w:keepNext/>
      <w:keepLines/>
      <w:numPr>
        <w:ilvl w:val="6"/>
        <w:numId w:val="22"/>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3CBB"/>
    <w:pPr>
      <w:keepNext/>
      <w:keepLines/>
      <w:numPr>
        <w:ilvl w:val="7"/>
        <w:numId w:val="22"/>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3CBB"/>
    <w:pPr>
      <w:keepNext/>
      <w:keepLines/>
      <w:numPr>
        <w:ilvl w:val="8"/>
        <w:numId w:val="22"/>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FCF"/>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A51BC"/>
    <w:rPr>
      <w:rFonts w:ascii="Times New Roman" w:eastAsiaTheme="majorEastAsia" w:hAnsi="Times New Roman" w:cs="Times New Roman"/>
      <w:b/>
      <w:bCs/>
    </w:rPr>
  </w:style>
  <w:style w:type="character" w:customStyle="1" w:styleId="Heading3Char">
    <w:name w:val="Heading 3 Char"/>
    <w:basedOn w:val="DefaultParagraphFont"/>
    <w:link w:val="Heading3"/>
    <w:uiPriority w:val="9"/>
    <w:rsid w:val="00F2235A"/>
    <w:rPr>
      <w:rFonts w:ascii="Times New Roman" w:eastAsiaTheme="majorEastAsia" w:hAnsi="Times New Roman" w:cstheme="majorBidi"/>
      <w:b/>
      <w:kern w:val="0"/>
      <w:szCs w:val="28"/>
      <w:lang w:val="en-IN"/>
      <w14:ligatures w14:val="none"/>
    </w:rPr>
  </w:style>
  <w:style w:type="paragraph" w:styleId="NoSpacing">
    <w:name w:val="No Spacing"/>
    <w:autoRedefine/>
    <w:uiPriority w:val="1"/>
    <w:qFormat/>
    <w:rsid w:val="00584AF4"/>
    <w:pPr>
      <w:spacing w:after="0" w:line="240" w:lineRule="auto"/>
      <w:jc w:val="both"/>
    </w:pPr>
    <w:rPr>
      <w:rFonts w:ascii="Times New Roman" w:hAnsi="Times New Roman"/>
      <w:kern w:val="0"/>
      <w:szCs w:val="22"/>
      <w:lang w:val="en-IN"/>
      <w14:ligatures w14:val="none"/>
    </w:rPr>
  </w:style>
  <w:style w:type="character" w:customStyle="1" w:styleId="Heading4Char">
    <w:name w:val="Heading 4 Char"/>
    <w:basedOn w:val="DefaultParagraphFont"/>
    <w:link w:val="Heading4"/>
    <w:uiPriority w:val="9"/>
    <w:rsid w:val="001378B1"/>
    <w:rPr>
      <w:rFonts w:ascii="Times New Roman" w:hAnsi="Times New Roman"/>
      <w:b/>
    </w:rPr>
  </w:style>
  <w:style w:type="character" w:customStyle="1" w:styleId="Heading5Char">
    <w:name w:val="Heading 5 Char"/>
    <w:basedOn w:val="DefaultParagraphFont"/>
    <w:link w:val="Heading5"/>
    <w:uiPriority w:val="9"/>
    <w:semiHidden/>
    <w:rsid w:val="008D3CBB"/>
    <w:rPr>
      <w:rFonts w:eastAsiaTheme="majorEastAsia" w:cstheme="majorBidi"/>
      <w:color w:val="0F4761" w:themeColor="accent1" w:themeShade="BF"/>
      <w:kern w:val="0"/>
      <w:szCs w:val="22"/>
      <w:lang w:val="en-IN"/>
      <w14:ligatures w14:val="none"/>
    </w:rPr>
  </w:style>
  <w:style w:type="character" w:customStyle="1" w:styleId="Heading6Char">
    <w:name w:val="Heading 6 Char"/>
    <w:basedOn w:val="DefaultParagraphFont"/>
    <w:link w:val="Heading6"/>
    <w:uiPriority w:val="9"/>
    <w:semiHidden/>
    <w:rsid w:val="008D3CBB"/>
    <w:rPr>
      <w:rFonts w:eastAsiaTheme="majorEastAsia" w:cstheme="majorBidi"/>
      <w:i/>
      <w:iCs/>
      <w:color w:val="595959" w:themeColor="text1" w:themeTint="A6"/>
      <w:kern w:val="0"/>
      <w:szCs w:val="22"/>
      <w:lang w:val="en-IN"/>
      <w14:ligatures w14:val="none"/>
    </w:rPr>
  </w:style>
  <w:style w:type="character" w:customStyle="1" w:styleId="Heading7Char">
    <w:name w:val="Heading 7 Char"/>
    <w:basedOn w:val="DefaultParagraphFont"/>
    <w:link w:val="Heading7"/>
    <w:uiPriority w:val="9"/>
    <w:semiHidden/>
    <w:rsid w:val="008D3CBB"/>
    <w:rPr>
      <w:rFonts w:eastAsiaTheme="majorEastAsia" w:cstheme="majorBidi"/>
      <w:color w:val="595959" w:themeColor="text1" w:themeTint="A6"/>
      <w:kern w:val="0"/>
      <w:szCs w:val="22"/>
      <w:lang w:val="en-IN"/>
      <w14:ligatures w14:val="none"/>
    </w:rPr>
  </w:style>
  <w:style w:type="character" w:customStyle="1" w:styleId="Heading8Char">
    <w:name w:val="Heading 8 Char"/>
    <w:basedOn w:val="DefaultParagraphFont"/>
    <w:link w:val="Heading8"/>
    <w:uiPriority w:val="9"/>
    <w:semiHidden/>
    <w:rsid w:val="008D3CBB"/>
    <w:rPr>
      <w:rFonts w:eastAsiaTheme="majorEastAsia" w:cstheme="majorBidi"/>
      <w:i/>
      <w:iCs/>
      <w:color w:val="272727" w:themeColor="text1" w:themeTint="D8"/>
      <w:kern w:val="0"/>
      <w:szCs w:val="22"/>
      <w:lang w:val="en-IN"/>
      <w14:ligatures w14:val="none"/>
    </w:rPr>
  </w:style>
  <w:style w:type="character" w:customStyle="1" w:styleId="Heading9Char">
    <w:name w:val="Heading 9 Char"/>
    <w:basedOn w:val="DefaultParagraphFont"/>
    <w:link w:val="Heading9"/>
    <w:uiPriority w:val="9"/>
    <w:semiHidden/>
    <w:rsid w:val="008D3CBB"/>
    <w:rPr>
      <w:rFonts w:eastAsiaTheme="majorEastAsia" w:cstheme="majorBidi"/>
      <w:color w:val="272727" w:themeColor="text1" w:themeTint="D8"/>
      <w:kern w:val="0"/>
      <w:szCs w:val="22"/>
      <w:lang w:val="en-IN"/>
      <w14:ligatures w14:val="none"/>
    </w:rPr>
  </w:style>
  <w:style w:type="paragraph" w:styleId="Title">
    <w:name w:val="Title"/>
    <w:basedOn w:val="Normal"/>
    <w:next w:val="Normal"/>
    <w:link w:val="TitleChar"/>
    <w:uiPriority w:val="10"/>
    <w:qFormat/>
    <w:rsid w:val="008D3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CBB"/>
    <w:rPr>
      <w:rFonts w:asciiTheme="majorHAnsi" w:eastAsiaTheme="majorEastAsia" w:hAnsiTheme="majorHAnsi" w:cstheme="majorBidi"/>
      <w:spacing w:val="-10"/>
      <w:kern w:val="28"/>
      <w:sz w:val="56"/>
      <w:szCs w:val="56"/>
      <w:lang w:val="en-IN"/>
      <w14:ligatures w14:val="none"/>
    </w:rPr>
  </w:style>
  <w:style w:type="paragraph" w:styleId="Subtitle">
    <w:name w:val="Subtitle"/>
    <w:basedOn w:val="Normal"/>
    <w:next w:val="Normal"/>
    <w:link w:val="SubtitleChar"/>
    <w:uiPriority w:val="11"/>
    <w:qFormat/>
    <w:rsid w:val="008D3C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CBB"/>
    <w:rPr>
      <w:rFonts w:eastAsiaTheme="majorEastAsia" w:cstheme="majorBidi"/>
      <w:color w:val="595959" w:themeColor="text1" w:themeTint="A6"/>
      <w:spacing w:val="15"/>
      <w:kern w:val="0"/>
      <w:sz w:val="28"/>
      <w:szCs w:val="28"/>
      <w:lang w:val="en-IN"/>
      <w14:ligatures w14:val="none"/>
    </w:rPr>
  </w:style>
  <w:style w:type="paragraph" w:styleId="Quote">
    <w:name w:val="Quote"/>
    <w:basedOn w:val="Normal"/>
    <w:next w:val="Normal"/>
    <w:link w:val="QuoteChar"/>
    <w:uiPriority w:val="29"/>
    <w:qFormat/>
    <w:rsid w:val="008D3CBB"/>
    <w:pPr>
      <w:spacing w:before="160"/>
      <w:jc w:val="center"/>
    </w:pPr>
    <w:rPr>
      <w:i/>
      <w:iCs/>
      <w:color w:val="404040" w:themeColor="text1" w:themeTint="BF"/>
    </w:rPr>
  </w:style>
  <w:style w:type="character" w:customStyle="1" w:styleId="QuoteChar">
    <w:name w:val="Quote Char"/>
    <w:basedOn w:val="DefaultParagraphFont"/>
    <w:link w:val="Quote"/>
    <w:uiPriority w:val="29"/>
    <w:rsid w:val="008D3CBB"/>
    <w:rPr>
      <w:rFonts w:ascii="Times New Roman" w:hAnsi="Times New Roman"/>
      <w:i/>
      <w:iCs/>
      <w:color w:val="404040" w:themeColor="text1" w:themeTint="BF"/>
      <w:kern w:val="0"/>
      <w:szCs w:val="22"/>
      <w:lang w:val="en-IN"/>
      <w14:ligatures w14:val="none"/>
    </w:rPr>
  </w:style>
  <w:style w:type="paragraph" w:styleId="ListParagraph">
    <w:name w:val="List Paragraph"/>
    <w:basedOn w:val="Normal"/>
    <w:link w:val="ListParagraphChar"/>
    <w:uiPriority w:val="34"/>
    <w:qFormat/>
    <w:rsid w:val="008D3CBB"/>
    <w:pPr>
      <w:ind w:left="720"/>
      <w:contextualSpacing/>
    </w:pPr>
  </w:style>
  <w:style w:type="character" w:styleId="IntenseEmphasis">
    <w:name w:val="Intense Emphasis"/>
    <w:basedOn w:val="DefaultParagraphFont"/>
    <w:uiPriority w:val="21"/>
    <w:qFormat/>
    <w:rsid w:val="008D3CBB"/>
    <w:rPr>
      <w:i/>
      <w:iCs/>
      <w:color w:val="0F4761" w:themeColor="accent1" w:themeShade="BF"/>
    </w:rPr>
  </w:style>
  <w:style w:type="paragraph" w:styleId="IntenseQuote">
    <w:name w:val="Intense Quote"/>
    <w:basedOn w:val="Normal"/>
    <w:next w:val="Normal"/>
    <w:link w:val="IntenseQuoteChar"/>
    <w:uiPriority w:val="30"/>
    <w:qFormat/>
    <w:rsid w:val="008D3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CBB"/>
    <w:rPr>
      <w:rFonts w:ascii="Times New Roman" w:hAnsi="Times New Roman"/>
      <w:i/>
      <w:iCs/>
      <w:color w:val="0F4761" w:themeColor="accent1" w:themeShade="BF"/>
      <w:kern w:val="0"/>
      <w:szCs w:val="22"/>
      <w:lang w:val="en-IN"/>
      <w14:ligatures w14:val="none"/>
    </w:rPr>
  </w:style>
  <w:style w:type="character" w:styleId="IntenseReference">
    <w:name w:val="Intense Reference"/>
    <w:basedOn w:val="DefaultParagraphFont"/>
    <w:uiPriority w:val="32"/>
    <w:qFormat/>
    <w:rsid w:val="008D3CBB"/>
    <w:rPr>
      <w:b/>
      <w:bCs/>
      <w:smallCaps/>
      <w:color w:val="0F4761" w:themeColor="accent1" w:themeShade="BF"/>
      <w:spacing w:val="5"/>
    </w:rPr>
  </w:style>
  <w:style w:type="paragraph" w:styleId="NormalWeb">
    <w:name w:val="Normal (Web)"/>
    <w:basedOn w:val="Normal"/>
    <w:uiPriority w:val="99"/>
    <w:unhideWhenUsed/>
    <w:rsid w:val="008D3CBB"/>
    <w:pPr>
      <w:spacing w:before="100" w:beforeAutospacing="1" w:after="100" w:afterAutospacing="1" w:line="240" w:lineRule="auto"/>
      <w:jc w:val="left"/>
    </w:pPr>
    <w:rPr>
      <w:rFonts w:eastAsia="Times New Roman" w:cs="Times New Roman"/>
      <w:kern w:val="0"/>
      <w:lang w:val="en-US"/>
      <w14:ligatures w14:val="none"/>
    </w:rPr>
  </w:style>
  <w:style w:type="character" w:styleId="Strong">
    <w:name w:val="Strong"/>
    <w:basedOn w:val="DefaultParagraphFont"/>
    <w:uiPriority w:val="22"/>
    <w:qFormat/>
    <w:rsid w:val="008D3CBB"/>
    <w:rPr>
      <w:b/>
      <w:bCs/>
    </w:rPr>
  </w:style>
  <w:style w:type="character" w:customStyle="1" w:styleId="ListParagraphChar">
    <w:name w:val="List Paragraph Char"/>
    <w:basedOn w:val="DefaultParagraphFont"/>
    <w:link w:val="ListParagraph"/>
    <w:uiPriority w:val="34"/>
    <w:rsid w:val="008D3CBB"/>
    <w:rPr>
      <w:rFonts w:ascii="Times New Roman" w:hAnsi="Times New Roman"/>
      <w:kern w:val="0"/>
      <w:szCs w:val="22"/>
      <w:lang w:val="en-IN"/>
      <w14:ligatures w14:val="none"/>
    </w:rPr>
  </w:style>
  <w:style w:type="paragraph" w:styleId="Caption">
    <w:name w:val="caption"/>
    <w:basedOn w:val="Normal"/>
    <w:next w:val="Normal"/>
    <w:uiPriority w:val="35"/>
    <w:unhideWhenUsed/>
    <w:qFormat/>
    <w:rsid w:val="006E6BD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777D2-092C-43C9-BF3E-73D5B5560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14</Pages>
  <Words>6064</Words>
  <Characters>34568</Characters>
  <Application>Microsoft Office Word</Application>
  <DocSecurity>0</DocSecurity>
  <Lines>288</Lines>
  <Paragraphs>81</Paragraphs>
  <ScaleCrop>false</ScaleCrop>
  <Company/>
  <LinksUpToDate>false</LinksUpToDate>
  <CharactersWithSpaces>40551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121</cp:revision>
  <dcterms:created xsi:type="dcterms:W3CDTF">2026-02-02T04:36:00Z</dcterms:created>
  <dcterms:modified xsi:type="dcterms:W3CDTF">2026-02-02T09:48:00Z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d4aad8bd-3336-3f5e-9995-3736535224f5</vt:lpwstr>
  </property>
  <property fmtid="{D5CDD505-2E9C-101B-9397-08002B2CF9AE}" pid="24" name="Mendeley Citation Style_1">
    <vt:lpwstr>http://www.zotero.org/styles/apa</vt:lpwstr>
  </property>
</Properties>
</file>