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4207" w14:textId="5EDAF3A5" w:rsidR="00DE022B" w:rsidRPr="002E2D0F" w:rsidRDefault="009B56A2">
      <w:pPr>
        <w:rPr>
          <w:color w:val="4472C4" w:themeColor="accent1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                     </w:t>
      </w:r>
      <w:r w:rsidRPr="002E2D0F">
        <w:rPr>
          <w:rFonts w:asciiTheme="majorHAnsi" w:eastAsiaTheme="majorEastAsia" w:hAnsiTheme="majorHAnsi" w:cstheme="majorBidi"/>
          <w:color w:val="4472C4" w:themeColor="accent1"/>
          <w:sz w:val="72"/>
          <w:szCs w:val="72"/>
        </w:rPr>
        <w:t>Test Plan</w:t>
      </w:r>
    </w:p>
    <w:p w14:paraId="0B244D8F" w14:textId="0AC01209" w:rsidR="009B56A2" w:rsidRPr="009B56A2" w:rsidRDefault="009B56A2" w:rsidP="009B56A2"/>
    <w:p w14:paraId="0580A7C2" w14:textId="33B071B4" w:rsidR="009B56A2" w:rsidRPr="009B56A2" w:rsidRDefault="009B56A2" w:rsidP="009B56A2"/>
    <w:p w14:paraId="1306D106" w14:textId="078D835D" w:rsidR="009B56A2" w:rsidRPr="009B56A2" w:rsidRDefault="009B56A2" w:rsidP="009B56A2"/>
    <w:p w14:paraId="5AF53264" w14:textId="0B9B1B98" w:rsidR="009B56A2" w:rsidRPr="009B56A2" w:rsidRDefault="009B56A2" w:rsidP="009B56A2"/>
    <w:p w14:paraId="587E53F5" w14:textId="0167D19F" w:rsidR="009B56A2" w:rsidRPr="009B56A2" w:rsidRDefault="009B56A2" w:rsidP="009B56A2"/>
    <w:p w14:paraId="582A514E" w14:textId="77777777" w:rsidR="009B56A2" w:rsidRDefault="009B56A2" w:rsidP="009B56A2">
      <w:pPr>
        <w:pStyle w:val="Heading1"/>
      </w:pPr>
      <w:bookmarkStart w:id="0" w:name="_Toc365563154"/>
      <w:r>
        <w:t>INTRODUCTION</w:t>
      </w:r>
      <w:bookmarkEnd w:id="0"/>
    </w:p>
    <w:p w14:paraId="6A7E099B" w14:textId="77777777" w:rsidR="009B56A2" w:rsidRDefault="009B56A2" w:rsidP="009B56A2">
      <w:pPr>
        <w:pStyle w:val="Heading2"/>
      </w:pPr>
      <w:bookmarkStart w:id="1" w:name="_Toc365563155"/>
      <w:bookmarkStart w:id="2" w:name="_Toc403900768"/>
      <w:bookmarkStart w:id="3" w:name="_Toc403905466"/>
      <w:bookmarkStart w:id="4" w:name="_Toc403908181"/>
      <w:bookmarkStart w:id="5" w:name="_Toc403910077"/>
      <w:bookmarkStart w:id="6" w:name="_Toc403911443"/>
      <w:bookmarkStart w:id="7" w:name="_Toc403912951"/>
      <w:r>
        <w:t>Purpose</w:t>
      </w:r>
      <w:bookmarkEnd w:id="1"/>
    </w:p>
    <w:p w14:paraId="00436B36" w14:textId="5344BF4B" w:rsidR="009B56A2" w:rsidRDefault="009B56A2" w:rsidP="009B56A2">
      <w:r>
        <w:t xml:space="preserve">This test plan describes the testing approach and overall framework that will drive the testing of the </w:t>
      </w:r>
      <w:proofErr w:type="spellStart"/>
      <w:r>
        <w:t>OrangeHRM</w:t>
      </w:r>
      <w:proofErr w:type="spellEnd"/>
      <w:r>
        <w:t xml:space="preserve"> </w:t>
      </w:r>
      <w:proofErr w:type="gramStart"/>
      <w:r>
        <w:t>Attendance .</w:t>
      </w:r>
      <w:r>
        <w:t>The</w:t>
      </w:r>
      <w:proofErr w:type="gramEnd"/>
      <w:r>
        <w:t xml:space="preserve"> document introduces:</w:t>
      </w:r>
    </w:p>
    <w:p w14:paraId="3574994F" w14:textId="77777777" w:rsidR="009B56A2" w:rsidRDefault="009B56A2" w:rsidP="009B56A2">
      <w:pPr>
        <w:pStyle w:val="ListParagraph"/>
        <w:numPr>
          <w:ilvl w:val="0"/>
          <w:numId w:val="2"/>
        </w:numPr>
      </w:pPr>
      <w:r>
        <w:t>Test Strategy: rules the test will be based on, including the givens of the project (e.g.: start / end dates, objectives, assumptions); description of the process to set up a valid test (e.g.: entry / exit criteria, creation of test cases, specific tasks to perform, scheduling, data strategy).</w:t>
      </w:r>
    </w:p>
    <w:p w14:paraId="552A495C" w14:textId="77777777" w:rsidR="009B56A2" w:rsidRDefault="009B56A2" w:rsidP="009B56A2">
      <w:pPr>
        <w:pStyle w:val="ListParagraph"/>
        <w:numPr>
          <w:ilvl w:val="0"/>
          <w:numId w:val="2"/>
        </w:numPr>
      </w:pPr>
      <w:r>
        <w:t>Execution Strategy: describes how the test will be performed and process to identify and report defects, and to fix and implement fixes.</w:t>
      </w:r>
    </w:p>
    <w:p w14:paraId="524D3898" w14:textId="77777777" w:rsidR="009B56A2" w:rsidRDefault="009B56A2" w:rsidP="009B56A2">
      <w:pPr>
        <w:pStyle w:val="ListParagraph"/>
        <w:numPr>
          <w:ilvl w:val="0"/>
          <w:numId w:val="2"/>
        </w:numPr>
      </w:pPr>
      <w:r>
        <w:t>Test Management: process to handle the logistics of the test and all the events that come up during execution (e.g.: communications, escalation procedures, risk and mitigation, team roster)</w:t>
      </w:r>
    </w:p>
    <w:p w14:paraId="778107D1" w14:textId="77777777" w:rsidR="009B56A2" w:rsidRDefault="009B56A2" w:rsidP="009B56A2">
      <w:pPr>
        <w:pStyle w:val="Heading2"/>
      </w:pPr>
      <w:bookmarkStart w:id="8" w:name="_Toc365563156"/>
      <w:bookmarkEnd w:id="2"/>
      <w:bookmarkEnd w:id="3"/>
      <w:bookmarkEnd w:id="4"/>
      <w:bookmarkEnd w:id="5"/>
      <w:bookmarkEnd w:id="6"/>
      <w:bookmarkEnd w:id="7"/>
      <w:r>
        <w:t>Project Overview</w:t>
      </w:r>
      <w:bookmarkEnd w:id="8"/>
    </w:p>
    <w:p w14:paraId="30F48EDB" w14:textId="77777777" w:rsidR="009B56A2" w:rsidRDefault="009B56A2" w:rsidP="009B56A2">
      <w:bookmarkStart w:id="9" w:name="_Toc365563157"/>
      <w:r>
        <w:t xml:space="preserve">My Info Module is a powerful tool providing employees of the company with the ability to </w:t>
      </w:r>
      <w:bookmarkEnd w:id="9"/>
      <w:r>
        <w:t xml:space="preserve">create attendance sheet </w:t>
      </w:r>
      <w:proofErr w:type="gramStart"/>
      <w:r>
        <w:t>and  can</w:t>
      </w:r>
      <w:proofErr w:type="gramEnd"/>
      <w:r>
        <w:t xml:space="preserve"> add punch In and Punch Out times in the attendance sheet </w:t>
      </w:r>
    </w:p>
    <w:p w14:paraId="5BB2B6F2" w14:textId="77777777" w:rsidR="009B56A2" w:rsidRDefault="009B56A2" w:rsidP="009B56A2">
      <w:pPr>
        <w:pStyle w:val="Heading1"/>
      </w:pPr>
      <w:bookmarkStart w:id="10" w:name="_Toc365563158"/>
      <w:r>
        <w:t>TEST STRATEGY</w:t>
      </w:r>
      <w:bookmarkEnd w:id="10"/>
    </w:p>
    <w:p w14:paraId="722155E6" w14:textId="77777777" w:rsidR="009B56A2" w:rsidRDefault="009B56A2" w:rsidP="009B56A2">
      <w:pPr>
        <w:pStyle w:val="Heading2"/>
      </w:pPr>
      <w:bookmarkStart w:id="11" w:name="_Toc365563159"/>
      <w:r>
        <w:t>Test Objectives</w:t>
      </w:r>
      <w:bookmarkEnd w:id="11"/>
    </w:p>
    <w:p w14:paraId="03E95FA8" w14:textId="04DDAB3B" w:rsidR="009B56A2" w:rsidRDefault="009B56A2" w:rsidP="009B56A2">
      <w:r>
        <w:t xml:space="preserve">The objective of the test is to verify that the functionality to create attendance </w:t>
      </w:r>
      <w:proofErr w:type="gramStart"/>
      <w:r>
        <w:t xml:space="preserve">sheet </w:t>
      </w:r>
      <w:r>
        <w:t>,</w:t>
      </w:r>
      <w:proofErr w:type="gramEnd"/>
      <w:r>
        <w:t xml:space="preserve"> add punch In and Punch Out times in the attendance sheet</w:t>
      </w:r>
      <w:r>
        <w:t xml:space="preserve"> ,</w:t>
      </w:r>
      <w:r>
        <w:t xml:space="preserve">works according to the specifications. </w:t>
      </w:r>
    </w:p>
    <w:p w14:paraId="2B075054" w14:textId="77777777" w:rsidR="009B56A2" w:rsidRDefault="009B56A2" w:rsidP="009B56A2">
      <w:r>
        <w:t xml:space="preserve">The test will execute and verify the test scripts, identify, </w:t>
      </w:r>
      <w:proofErr w:type="gramStart"/>
      <w:r>
        <w:t>fix</w:t>
      </w:r>
      <w:proofErr w:type="gramEnd"/>
      <w:r>
        <w:t xml:space="preserve"> and retest all high and medium severity defects per the entrance criteria, prioritize lower severity defects for future fixing via CR. </w:t>
      </w:r>
    </w:p>
    <w:p w14:paraId="52A16501" w14:textId="77777777" w:rsidR="009B56A2" w:rsidRDefault="009B56A2" w:rsidP="009B56A2">
      <w:r>
        <w:t xml:space="preserve">The final product of the test is twofold: </w:t>
      </w:r>
    </w:p>
    <w:p w14:paraId="14ACC3F0" w14:textId="77777777" w:rsidR="009B56A2" w:rsidRDefault="009B56A2" w:rsidP="009B56A2">
      <w:pPr>
        <w:pStyle w:val="ListParagraph"/>
        <w:numPr>
          <w:ilvl w:val="0"/>
          <w:numId w:val="4"/>
        </w:numPr>
      </w:pPr>
      <w:r>
        <w:t xml:space="preserve">A production-ready </w:t>
      </w:r>
      <w:proofErr w:type="gramStart"/>
      <w:r>
        <w:t>software;</w:t>
      </w:r>
      <w:proofErr w:type="gramEnd"/>
    </w:p>
    <w:p w14:paraId="42E5893B" w14:textId="31192DB1" w:rsidR="009B56A2" w:rsidRDefault="009B56A2" w:rsidP="009B56A2">
      <w:pPr>
        <w:pStyle w:val="ListParagraph"/>
        <w:numPr>
          <w:ilvl w:val="0"/>
          <w:numId w:val="4"/>
        </w:numPr>
        <w:rPr>
          <w:i/>
        </w:rPr>
      </w:pPr>
      <w:r>
        <w:t>A set of stable test scripts that can be reused for Functional test execution.</w:t>
      </w:r>
    </w:p>
    <w:p w14:paraId="7ACE7B5D" w14:textId="77777777" w:rsidR="009B56A2" w:rsidRDefault="009B56A2" w:rsidP="009B56A2">
      <w:pPr>
        <w:pStyle w:val="Heading2"/>
      </w:pPr>
      <w:bookmarkStart w:id="12" w:name="_Toc365563160"/>
      <w:r>
        <w:t>Test Assumptions</w:t>
      </w:r>
      <w:bookmarkEnd w:id="12"/>
    </w:p>
    <w:p w14:paraId="5E5FA44E" w14:textId="77777777" w:rsidR="009B56A2" w:rsidRDefault="009B56A2" w:rsidP="009B56A2">
      <w:pPr>
        <w:rPr>
          <w:b/>
        </w:rPr>
      </w:pPr>
      <w:r>
        <w:rPr>
          <w:b/>
        </w:rPr>
        <w:t>Key Assumptions</w:t>
      </w:r>
    </w:p>
    <w:p w14:paraId="162F388D" w14:textId="77777777" w:rsidR="009B56A2" w:rsidRDefault="009B56A2" w:rsidP="009B56A2">
      <w:pPr>
        <w:pStyle w:val="ListParagraph"/>
        <w:numPr>
          <w:ilvl w:val="0"/>
          <w:numId w:val="4"/>
        </w:numPr>
      </w:pPr>
      <w:r>
        <w:t>Production like data required and be available in the system prior to start of Functional Testing</w:t>
      </w:r>
    </w:p>
    <w:p w14:paraId="2C994880" w14:textId="77777777" w:rsidR="009B56A2" w:rsidRDefault="009B56A2" w:rsidP="009B56A2">
      <w:pPr>
        <w:pStyle w:val="ListParagraph"/>
        <w:numPr>
          <w:ilvl w:val="0"/>
          <w:numId w:val="4"/>
        </w:numPr>
      </w:pPr>
      <w:r>
        <w:t>In each testing phase, Cycle 3 will be initiated if the defect rate is high in Cycle 2.</w:t>
      </w:r>
    </w:p>
    <w:p w14:paraId="0F7F10B9" w14:textId="77777777" w:rsidR="009B56A2" w:rsidRDefault="009B56A2" w:rsidP="009B56A2">
      <w:pPr>
        <w:rPr>
          <w:b/>
        </w:rPr>
      </w:pPr>
      <w:r>
        <w:rPr>
          <w:b/>
        </w:rPr>
        <w:lastRenderedPageBreak/>
        <w:t>General</w:t>
      </w:r>
    </w:p>
    <w:p w14:paraId="18B141DB" w14:textId="77777777" w:rsidR="009B56A2" w:rsidRDefault="009B56A2" w:rsidP="009B56A2">
      <w:pPr>
        <w:pStyle w:val="ListParagraph"/>
        <w:numPr>
          <w:ilvl w:val="0"/>
          <w:numId w:val="5"/>
        </w:numPr>
      </w:pPr>
      <w:r>
        <w:t>Exploratory Testing would be carried out once the build is ready for testing</w:t>
      </w:r>
    </w:p>
    <w:p w14:paraId="63382E52" w14:textId="77777777" w:rsidR="009B56A2" w:rsidRDefault="009B56A2" w:rsidP="009B56A2">
      <w:pPr>
        <w:pStyle w:val="ListParagraph"/>
        <w:numPr>
          <w:ilvl w:val="0"/>
          <w:numId w:val="5"/>
        </w:numPr>
        <w:rPr>
          <w:b/>
        </w:rPr>
      </w:pPr>
      <w:r>
        <w:t>Performance testing is not considered for this estimation.</w:t>
      </w:r>
    </w:p>
    <w:p w14:paraId="7D55EFBA" w14:textId="77777777" w:rsidR="009B56A2" w:rsidRDefault="009B56A2" w:rsidP="009B56A2">
      <w:pPr>
        <w:pStyle w:val="ListParagraph"/>
        <w:numPr>
          <w:ilvl w:val="0"/>
          <w:numId w:val="5"/>
        </w:numPr>
      </w:pPr>
      <w:r>
        <w:t>All the defects would come along with a snapshot JPEG format</w:t>
      </w:r>
    </w:p>
    <w:p w14:paraId="64DAC102" w14:textId="77777777" w:rsidR="009B56A2" w:rsidRDefault="009B56A2" w:rsidP="009B56A2">
      <w:pPr>
        <w:pStyle w:val="ListParagraph"/>
        <w:numPr>
          <w:ilvl w:val="0"/>
          <w:numId w:val="5"/>
        </w:numPr>
      </w:pPr>
      <w:r>
        <w:t>The Test Team will be provided with access to Test environment via VPN connectivity</w:t>
      </w:r>
    </w:p>
    <w:p w14:paraId="68201F3F" w14:textId="09C06CF7" w:rsidR="009B56A2" w:rsidRDefault="009B56A2" w:rsidP="009B56A2">
      <w:pPr>
        <w:pStyle w:val="ListParagraph"/>
        <w:numPr>
          <w:ilvl w:val="0"/>
          <w:numId w:val="5"/>
        </w:numPr>
      </w:pPr>
      <w:r>
        <w:t>The Test Team assumes all necessary inputs required during Test design and execution will be supported by Development/BUSINESS ANALYSTs appropriately.</w:t>
      </w:r>
    </w:p>
    <w:p w14:paraId="2897CB20" w14:textId="77777777" w:rsidR="009B56A2" w:rsidRDefault="009B56A2" w:rsidP="009B56A2">
      <w:pPr>
        <w:pStyle w:val="Heading2"/>
      </w:pPr>
      <w:bookmarkStart w:id="13" w:name="_Toc365563161"/>
      <w:r>
        <w:t>Test Principles</w:t>
      </w:r>
      <w:bookmarkEnd w:id="13"/>
    </w:p>
    <w:p w14:paraId="62585733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>Testing will be focused on meeting the business objectives, cost efficiency, and quality.</w:t>
      </w:r>
    </w:p>
    <w:p w14:paraId="721631CA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 xml:space="preserve">There will be common, consistent procedures for all teams supporting testing activities. </w:t>
      </w:r>
    </w:p>
    <w:p w14:paraId="588112A9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 xml:space="preserve">Testing processes will be well defined, yet flexible, with the ability to change as needed. </w:t>
      </w:r>
    </w:p>
    <w:p w14:paraId="6AB5B608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>Testing activities will build upon previous stages to avoid redundancy or duplication of effort.</w:t>
      </w:r>
    </w:p>
    <w:p w14:paraId="58154C89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>Testing environment and data will emulate a production environment as much as possible.</w:t>
      </w:r>
    </w:p>
    <w:p w14:paraId="442618BC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>Testing will be a repeatable, quantifiable, and measurable activity.</w:t>
      </w:r>
    </w:p>
    <w:p w14:paraId="048FAC88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>Testing will be divided into distinct phases, each with clearly defined objectives and goals.</w:t>
      </w:r>
    </w:p>
    <w:p w14:paraId="16DA94C8" w14:textId="77777777" w:rsidR="009B56A2" w:rsidRDefault="009B56A2" w:rsidP="009B56A2">
      <w:pPr>
        <w:pStyle w:val="ListParagraph"/>
        <w:numPr>
          <w:ilvl w:val="0"/>
          <w:numId w:val="6"/>
        </w:numPr>
      </w:pPr>
      <w:r>
        <w:t xml:space="preserve">There will be entrance and exit criteria. </w:t>
      </w:r>
    </w:p>
    <w:p w14:paraId="3BB92307" w14:textId="77777777" w:rsidR="009B56A2" w:rsidRDefault="009B56A2" w:rsidP="009B56A2">
      <w:pPr>
        <w:pStyle w:val="Heading2"/>
      </w:pPr>
      <w:bookmarkStart w:id="14" w:name="_Toc365563163"/>
      <w:r>
        <w:t>Scope and Levels of Testing</w:t>
      </w:r>
      <w:bookmarkEnd w:id="14"/>
    </w:p>
    <w:p w14:paraId="4881A360" w14:textId="77777777" w:rsidR="009B56A2" w:rsidRDefault="009B56A2" w:rsidP="009B56A2">
      <w:pPr>
        <w:pStyle w:val="Heading3"/>
      </w:pPr>
      <w:bookmarkStart w:id="15" w:name="_Toc365563164"/>
      <w:r>
        <w:t>Exploratory</w:t>
      </w:r>
      <w:bookmarkEnd w:id="15"/>
    </w:p>
    <w:p w14:paraId="30657FEE" w14:textId="77777777" w:rsidR="009B56A2" w:rsidRDefault="009B56A2" w:rsidP="009B56A2">
      <w:pPr>
        <w:tabs>
          <w:tab w:val="left" w:pos="1710"/>
        </w:tabs>
        <w:ind w:left="1710"/>
      </w:pPr>
      <w:r>
        <w:rPr>
          <w:b/>
          <w:u w:val="single"/>
        </w:rPr>
        <w:t>PURPOSE</w:t>
      </w:r>
      <w:r>
        <w:t>: the purpose of this test is to make sure critical defects are removed before the next levels of testing can start.</w:t>
      </w:r>
    </w:p>
    <w:p w14:paraId="40E99013" w14:textId="77777777" w:rsidR="009B56A2" w:rsidRDefault="009B56A2" w:rsidP="009B56A2">
      <w:pPr>
        <w:tabs>
          <w:tab w:val="left" w:pos="1710"/>
        </w:tabs>
        <w:ind w:left="1710"/>
      </w:pPr>
      <w:r>
        <w:rPr>
          <w:b/>
          <w:u w:val="single"/>
        </w:rPr>
        <w:t>SCOPE</w:t>
      </w:r>
      <w:r>
        <w:t xml:space="preserve">:  First level navigation, </w:t>
      </w:r>
      <w:proofErr w:type="gramStart"/>
      <w:r>
        <w:t>dealer</w:t>
      </w:r>
      <w:proofErr w:type="gramEnd"/>
      <w:r>
        <w:t xml:space="preserve"> and admin modules</w:t>
      </w:r>
    </w:p>
    <w:p w14:paraId="5B48EEBC" w14:textId="77777777" w:rsidR="009B56A2" w:rsidRDefault="009B56A2" w:rsidP="009B56A2">
      <w:pPr>
        <w:ind w:left="1710"/>
      </w:pPr>
      <w:r>
        <w:rPr>
          <w:b/>
          <w:u w:val="single"/>
        </w:rPr>
        <w:t>TESTERS</w:t>
      </w:r>
      <w:r>
        <w:t>: Testing team.</w:t>
      </w:r>
    </w:p>
    <w:p w14:paraId="17FB873A" w14:textId="77777777" w:rsidR="009B56A2" w:rsidRDefault="009B56A2" w:rsidP="009B56A2">
      <w:pPr>
        <w:ind w:left="1710"/>
      </w:pPr>
      <w:r>
        <w:rPr>
          <w:b/>
          <w:u w:val="single"/>
        </w:rPr>
        <w:t>METHOD</w:t>
      </w:r>
      <w:r>
        <w:t>: this exploratory testing is carried out in the application without any test scripts and documentation</w:t>
      </w:r>
    </w:p>
    <w:p w14:paraId="277F8940" w14:textId="77777777" w:rsidR="009B56A2" w:rsidRDefault="009B56A2" w:rsidP="009B56A2">
      <w:pPr>
        <w:ind w:left="1710"/>
      </w:pPr>
      <w:r>
        <w:rPr>
          <w:b/>
          <w:u w:val="single"/>
        </w:rPr>
        <w:t>TIMING</w:t>
      </w:r>
      <w:r>
        <w:t xml:space="preserve">: at the beginning of each cycle.     </w:t>
      </w:r>
    </w:p>
    <w:p w14:paraId="766FE2A0" w14:textId="59A46BC7" w:rsidR="009B56A2" w:rsidRDefault="009B56A2" w:rsidP="009B56A2">
      <w:pPr>
        <w:pStyle w:val="Heading4"/>
        <w:keepLines w:val="0"/>
        <w:spacing w:before="240" w:after="60" w:line="240" w:lineRule="auto"/>
        <w:rPr>
          <w:rFonts w:asciiTheme="minorHAnsi" w:eastAsiaTheme="minorHAnsi" w:hAnsiTheme="minorHAnsi" w:cstheme="minorBidi"/>
          <w:i w:val="0"/>
          <w:iCs w:val="0"/>
          <w:color w:val="auto"/>
          <w:u w:val="single"/>
        </w:rPr>
      </w:pPr>
      <w:bookmarkStart w:id="16" w:name="_Toc324424123"/>
      <w:bookmarkStart w:id="17" w:name="_Toc365563166"/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 xml:space="preserve">     </w:t>
      </w:r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>TEST ACCEPTANCE C</w:t>
      </w:r>
      <w:bookmarkEnd w:id="16"/>
      <w:r>
        <w:rPr>
          <w:rFonts w:asciiTheme="minorHAnsi" w:eastAsiaTheme="minorHAnsi" w:hAnsiTheme="minorHAnsi" w:cstheme="minorBidi"/>
          <w:bCs/>
          <w:i w:val="0"/>
          <w:iCs w:val="0"/>
          <w:color w:val="auto"/>
          <w:u w:val="single"/>
        </w:rPr>
        <w:t>RITERIA</w:t>
      </w:r>
      <w:bookmarkEnd w:id="17"/>
    </w:p>
    <w:p w14:paraId="3D56130E" w14:textId="77777777" w:rsidR="009B56A2" w:rsidRDefault="009B56A2" w:rsidP="009B56A2">
      <w:pPr>
        <w:pStyle w:val="ListParagraph"/>
        <w:numPr>
          <w:ilvl w:val="0"/>
          <w:numId w:val="8"/>
        </w:numPr>
        <w:jc w:val="left"/>
      </w:pPr>
      <w:r>
        <w:t xml:space="preserve">Approved Functional Specification document, </w:t>
      </w:r>
      <w:proofErr w:type="gramStart"/>
      <w:r>
        <w:t>Use</w:t>
      </w:r>
      <w:proofErr w:type="gramEnd"/>
      <w:r>
        <w:t xml:space="preserve"> case documents must be available prior to start of Test design phase.</w:t>
      </w:r>
    </w:p>
    <w:p w14:paraId="2A25CE8A" w14:textId="77777777" w:rsidR="009B56A2" w:rsidRDefault="009B56A2" w:rsidP="009B56A2">
      <w:pPr>
        <w:pStyle w:val="ListParagraph"/>
        <w:numPr>
          <w:ilvl w:val="0"/>
          <w:numId w:val="8"/>
        </w:numPr>
        <w:jc w:val="left"/>
      </w:pPr>
      <w:r>
        <w:t>Test cases approved and signed-off prior to start of Test execution</w:t>
      </w:r>
    </w:p>
    <w:p w14:paraId="07713E6E" w14:textId="77777777" w:rsidR="009B56A2" w:rsidRDefault="009B56A2" w:rsidP="009B56A2">
      <w:pPr>
        <w:pStyle w:val="ListParagraph"/>
        <w:numPr>
          <w:ilvl w:val="0"/>
          <w:numId w:val="8"/>
        </w:numPr>
        <w:jc w:val="left"/>
      </w:pPr>
      <w:r>
        <w:t>Development completed, unit tested with pass status and results shared to Testing team to avoid duplicate defects</w:t>
      </w:r>
    </w:p>
    <w:p w14:paraId="1E74C194" w14:textId="77777777" w:rsidR="009B56A2" w:rsidRDefault="009B56A2" w:rsidP="009B56A2">
      <w:pPr>
        <w:pStyle w:val="ListParagraph"/>
        <w:numPr>
          <w:ilvl w:val="0"/>
          <w:numId w:val="8"/>
        </w:numPr>
        <w:jc w:val="left"/>
      </w:pPr>
      <w:r>
        <w:t>Test environment with application installed, configured and ready to use state</w:t>
      </w:r>
    </w:p>
    <w:p w14:paraId="749D2781" w14:textId="77777777" w:rsidR="002E2D0F" w:rsidRDefault="002E2D0F" w:rsidP="002E2D0F">
      <w:pPr>
        <w:pStyle w:val="Heading1"/>
      </w:pPr>
      <w:bookmarkStart w:id="18" w:name="_Toc365563172"/>
      <w:r>
        <w:t>EXECUTION STRATEGY</w:t>
      </w:r>
      <w:bookmarkEnd w:id="18"/>
    </w:p>
    <w:p w14:paraId="4835CB22" w14:textId="77777777" w:rsidR="002E2D0F" w:rsidRDefault="002E2D0F" w:rsidP="002E2D0F">
      <w:pPr>
        <w:pStyle w:val="Heading2"/>
      </w:pPr>
      <w:bookmarkStart w:id="19" w:name="_Toc365563173"/>
      <w:r>
        <w:t>Entry and Exit Criteria</w:t>
      </w:r>
      <w:bookmarkEnd w:id="19"/>
    </w:p>
    <w:p w14:paraId="52BEC4AC" w14:textId="77777777" w:rsidR="002E2D0F" w:rsidRDefault="002E2D0F" w:rsidP="002E2D0F">
      <w:pPr>
        <w:pStyle w:val="ListParagraph"/>
        <w:numPr>
          <w:ilvl w:val="0"/>
          <w:numId w:val="9"/>
        </w:numPr>
      </w:pPr>
      <w:r>
        <w:t xml:space="preserve">The entry criteria refer to the desirable conditions </w:t>
      </w:r>
      <w:proofErr w:type="gramStart"/>
      <w:r>
        <w:t>in order to</w:t>
      </w:r>
      <w:proofErr w:type="gramEnd"/>
      <w:r>
        <w:t xml:space="preserve"> start test execution; only the migration of the code and fixes need to be assessed at the end of each cycle. </w:t>
      </w:r>
    </w:p>
    <w:p w14:paraId="7B8BD4D8" w14:textId="77777777" w:rsidR="002E2D0F" w:rsidRDefault="002E2D0F" w:rsidP="002E2D0F">
      <w:pPr>
        <w:pStyle w:val="ListParagraph"/>
        <w:numPr>
          <w:ilvl w:val="0"/>
          <w:numId w:val="9"/>
        </w:numPr>
      </w:pPr>
      <w:r>
        <w:t xml:space="preserve">The exit criteria are the desirable conditions that need to be met in order proceed with the implementation. </w:t>
      </w:r>
    </w:p>
    <w:p w14:paraId="3E7164EB" w14:textId="77777777" w:rsidR="002E2D0F" w:rsidRDefault="002E2D0F" w:rsidP="002E2D0F">
      <w:pPr>
        <w:pStyle w:val="ListParagraph"/>
        <w:numPr>
          <w:ilvl w:val="0"/>
          <w:numId w:val="9"/>
        </w:numPr>
      </w:pPr>
      <w:r>
        <w:lastRenderedPageBreak/>
        <w:t xml:space="preserve">Entry and exit criteria are flexible benchmarks. If they are not met, the test team will assess the risk, identify mitigation </w:t>
      </w:r>
      <w:proofErr w:type="gramStart"/>
      <w:r>
        <w:t>actions</w:t>
      </w:r>
      <w:proofErr w:type="gramEnd"/>
      <w:r>
        <w:t xml:space="preserve"> and provide a recommendation. All this is input to the project manager for a final “go-no go” decision. </w:t>
      </w:r>
      <w:r>
        <w:rPr>
          <w:b/>
          <w:color w:val="FF0000"/>
          <w:highlight w:val="yellow"/>
        </w:rPr>
        <w:t xml:space="preserve"> </w:t>
      </w:r>
    </w:p>
    <w:p w14:paraId="1F396E5B" w14:textId="77777777" w:rsidR="002E2D0F" w:rsidRDefault="002E2D0F" w:rsidP="002E2D0F">
      <w:pPr>
        <w:pStyle w:val="ListParagraph"/>
        <w:numPr>
          <w:ilvl w:val="0"/>
          <w:numId w:val="9"/>
        </w:numPr>
      </w:pPr>
      <w:r>
        <w:t>Entry criteria to start the execution phase of the test: the activities listed in the Test Planning section of the schedule are 100% completed.</w:t>
      </w:r>
    </w:p>
    <w:p w14:paraId="0DD5D351" w14:textId="77777777" w:rsidR="002E2D0F" w:rsidRDefault="002E2D0F" w:rsidP="002E2D0F">
      <w:pPr>
        <w:pStyle w:val="ListParagraph"/>
        <w:numPr>
          <w:ilvl w:val="0"/>
          <w:numId w:val="9"/>
        </w:numPr>
      </w:pPr>
      <w:r>
        <w:t xml:space="preserve">Entry criteria to start each cycle: the activities listed in the Test Execution section of the schedule are </w:t>
      </w:r>
      <w:bookmarkStart w:id="20" w:name="_Toc365563174"/>
      <w:r>
        <w:t xml:space="preserve">100% completed at each cycle. </w:t>
      </w:r>
    </w:p>
    <w:p w14:paraId="480AFBC8" w14:textId="77777777" w:rsidR="002E2D0F" w:rsidRDefault="002E2D0F" w:rsidP="002E2D0F"/>
    <w:bookmarkEnd w:id="20"/>
    <w:p w14:paraId="7DD46E20" w14:textId="77777777" w:rsidR="002E2D0F" w:rsidRDefault="002E2D0F" w:rsidP="002E2D0F">
      <w:pPr>
        <w:pStyle w:val="Heading2"/>
      </w:pPr>
      <w:r>
        <w:t>Test Cycles</w:t>
      </w:r>
    </w:p>
    <w:p w14:paraId="1338F48C" w14:textId="77777777" w:rsidR="002E2D0F" w:rsidRDefault="002E2D0F" w:rsidP="002E2D0F">
      <w:pPr>
        <w:pStyle w:val="ListParagraph"/>
        <w:numPr>
          <w:ilvl w:val="1"/>
          <w:numId w:val="9"/>
        </w:numPr>
        <w:ind w:left="1800" w:hanging="450"/>
      </w:pPr>
      <w:r>
        <w:t xml:space="preserve">There will be two cycles for functional testing. Each cycle will execute all the </w:t>
      </w:r>
      <w:proofErr w:type="gramStart"/>
      <w:r>
        <w:t>scripts .</w:t>
      </w:r>
      <w:proofErr w:type="gramEnd"/>
    </w:p>
    <w:p w14:paraId="0B0A5483" w14:textId="77777777" w:rsidR="002E2D0F" w:rsidRDefault="002E2D0F" w:rsidP="002E2D0F">
      <w:pPr>
        <w:pStyle w:val="ListParagraph"/>
        <w:numPr>
          <w:ilvl w:val="1"/>
          <w:numId w:val="9"/>
        </w:numPr>
        <w:ind w:left="1800" w:hanging="450"/>
      </w:pPr>
      <w:r>
        <w:t xml:space="preserve">The objective of the first cycle is to identify any blocking, critical defects, and most of the high defects. It is expected to use some work-around </w:t>
      </w:r>
      <w:proofErr w:type="gramStart"/>
      <w:r>
        <w:t>in order to</w:t>
      </w:r>
      <w:proofErr w:type="gramEnd"/>
      <w:r>
        <w:t xml:space="preserve"> get to all the scripts.  </w:t>
      </w:r>
    </w:p>
    <w:p w14:paraId="2658DB2A" w14:textId="77777777" w:rsidR="002E2D0F" w:rsidRDefault="002E2D0F" w:rsidP="002E2D0F">
      <w:pPr>
        <w:pStyle w:val="ListParagraph"/>
        <w:numPr>
          <w:ilvl w:val="1"/>
          <w:numId w:val="9"/>
        </w:numPr>
        <w:ind w:left="1800" w:hanging="450"/>
      </w:pPr>
      <w:r>
        <w:t xml:space="preserve">The objective of the second cycle is to identify remaining high and medium defects, remove the work-around from the first cycle, correct gaps in the scripts and obtain performance results. </w:t>
      </w:r>
    </w:p>
    <w:p w14:paraId="7A686412" w14:textId="11D3F121" w:rsidR="009B56A2" w:rsidRPr="009B56A2" w:rsidRDefault="009B56A2" w:rsidP="009B56A2">
      <w:pPr>
        <w:tabs>
          <w:tab w:val="left" w:pos="7200"/>
        </w:tabs>
      </w:pPr>
      <w:r>
        <w:tab/>
      </w:r>
    </w:p>
    <w:sectPr w:rsidR="009B56A2" w:rsidRPr="009B56A2" w:rsidSect="009B56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</w:lvl>
    <w:lvl w:ilvl="1" w:tplc="9E78F78E">
      <w:start w:val="1"/>
      <w:numFmt w:val="lowerLetter"/>
      <w:lvlText w:val="%2."/>
      <w:lvlJc w:val="left"/>
      <w:pPr>
        <w:ind w:left="2880" w:hanging="360"/>
      </w:pPr>
    </w:lvl>
    <w:lvl w:ilvl="2" w:tplc="B9DCC27E">
      <w:start w:val="1"/>
      <w:numFmt w:val="lowerRoman"/>
      <w:lvlText w:val="%3."/>
      <w:lvlJc w:val="right"/>
      <w:pPr>
        <w:ind w:left="3600" w:hanging="180"/>
      </w:pPr>
    </w:lvl>
    <w:lvl w:ilvl="3" w:tplc="DD6041FE">
      <w:start w:val="1"/>
      <w:numFmt w:val="decimal"/>
      <w:lvlText w:val="%4."/>
      <w:lvlJc w:val="left"/>
      <w:pPr>
        <w:ind w:left="4320" w:hanging="360"/>
      </w:pPr>
    </w:lvl>
    <w:lvl w:ilvl="4" w:tplc="34A06500">
      <w:start w:val="1"/>
      <w:numFmt w:val="lowerLetter"/>
      <w:lvlText w:val="%5."/>
      <w:lvlJc w:val="left"/>
      <w:pPr>
        <w:ind w:left="5040" w:hanging="360"/>
      </w:pPr>
    </w:lvl>
    <w:lvl w:ilvl="5" w:tplc="1C6222DC">
      <w:start w:val="1"/>
      <w:numFmt w:val="lowerRoman"/>
      <w:lvlText w:val="%6."/>
      <w:lvlJc w:val="right"/>
      <w:pPr>
        <w:ind w:left="5760" w:hanging="180"/>
      </w:pPr>
    </w:lvl>
    <w:lvl w:ilvl="6" w:tplc="D00AABEC">
      <w:start w:val="1"/>
      <w:numFmt w:val="decimal"/>
      <w:lvlText w:val="%7."/>
      <w:lvlJc w:val="left"/>
      <w:pPr>
        <w:ind w:left="6480" w:hanging="360"/>
      </w:pPr>
    </w:lvl>
    <w:lvl w:ilvl="7" w:tplc="F3360966">
      <w:start w:val="1"/>
      <w:numFmt w:val="lowerLetter"/>
      <w:lvlText w:val="%8."/>
      <w:lvlJc w:val="left"/>
      <w:pPr>
        <w:ind w:left="7200" w:hanging="360"/>
      </w:pPr>
    </w:lvl>
    <w:lvl w:ilvl="8" w:tplc="DA24408A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A2"/>
    <w:rsid w:val="002E2D0F"/>
    <w:rsid w:val="005E2E08"/>
    <w:rsid w:val="00687212"/>
    <w:rsid w:val="009B56A2"/>
    <w:rsid w:val="00D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BFF"/>
  <w15:chartTrackingRefBased/>
  <w15:docId w15:val="{F7BC7265-ED86-4140-92DA-CF3429F4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56A2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9B56A2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9B56A2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6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A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A2"/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9B56A2"/>
    <w:pPr>
      <w:spacing w:after="200" w:line="276" w:lineRule="auto"/>
      <w:ind w:left="990"/>
      <w:contextualSpacing/>
      <w:jc w:val="both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2E2D0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 Mangala</dc:creator>
  <cp:keywords/>
  <dc:description/>
  <cp:lastModifiedBy>Hemanthkumar Mangala</cp:lastModifiedBy>
  <cp:revision>1</cp:revision>
  <dcterms:created xsi:type="dcterms:W3CDTF">2022-03-07T12:12:00Z</dcterms:created>
  <dcterms:modified xsi:type="dcterms:W3CDTF">2022-03-07T12:28:00Z</dcterms:modified>
</cp:coreProperties>
</file>