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FF0B9" w14:textId="77777777" w:rsidR="00B732AE" w:rsidRPr="00FF3FE2" w:rsidRDefault="00000000">
      <w:pPr>
        <w:spacing w:before="180" w:after="180"/>
        <w:jc w:val="center"/>
      </w:pPr>
      <w:r w:rsidRPr="00FF3FE2">
        <w:rPr>
          <w:rFonts w:eastAsia="Arial"/>
          <w:b/>
          <w:bCs/>
          <w:color w:val="1A3A6B"/>
          <w:sz w:val="30"/>
          <w:szCs w:val="30"/>
        </w:rPr>
        <w:t>Adaptive Multiscale Spectro-Topological (AMST) Shape Descriptor: A Novel Unified Framework Integrating Phase-Coherent Fourier–Wavelet Fusion, Persistent Homology Augmentation, Riemannian Manifold Embedding, and Sparse Frequency Attention for Robust 2D Shape Recognition</w:t>
      </w:r>
    </w:p>
    <w:p w14:paraId="45E2B9C1" w14:textId="77777777" w:rsidR="00B732AE" w:rsidRPr="00FF3FE2" w:rsidRDefault="00000000">
      <w:pPr>
        <w:spacing w:before="60" w:after="60"/>
        <w:jc w:val="center"/>
      </w:pPr>
      <w:r w:rsidRPr="00FF3FE2">
        <w:rPr>
          <w:rFonts w:eastAsia="Arial"/>
          <w:b/>
          <w:bCs/>
          <w:color w:val="000000"/>
          <w:sz w:val="24"/>
          <w:szCs w:val="24"/>
        </w:rPr>
        <w:t>Hemanth Kumar S</w:t>
      </w:r>
    </w:p>
    <w:p w14:paraId="25FD0512" w14:textId="77777777" w:rsidR="00B732AE" w:rsidRPr="00FF3FE2" w:rsidRDefault="00000000">
      <w:pPr>
        <w:spacing w:after="40"/>
        <w:jc w:val="center"/>
      </w:pPr>
      <w:r w:rsidRPr="00FF3FE2">
        <w:rPr>
          <w:i/>
          <w:iCs/>
          <w:color w:val="000000"/>
          <w:sz w:val="20"/>
          <w:szCs w:val="20"/>
        </w:rPr>
        <w:t>Department of Artificial Intelligence &amp; Data Science, Saveetha School of Engineering,</w:t>
      </w:r>
    </w:p>
    <w:p w14:paraId="76B842DA" w14:textId="77777777" w:rsidR="00B732AE" w:rsidRPr="00FF3FE2" w:rsidRDefault="00000000">
      <w:pPr>
        <w:spacing w:after="60"/>
        <w:jc w:val="center"/>
      </w:pPr>
      <w:r w:rsidRPr="00FF3FE2">
        <w:rPr>
          <w:i/>
          <w:iCs/>
          <w:color w:val="000000"/>
          <w:sz w:val="20"/>
          <w:szCs w:val="20"/>
        </w:rPr>
        <w:t>Saveetha Institute of Medical and Technical Sciences, Chennai – 602105, Tamil Nadu, India</w:t>
      </w:r>
    </w:p>
    <w:p w14:paraId="15E991B2" w14:textId="77777777" w:rsidR="00B732AE" w:rsidRPr="00FF3FE2" w:rsidRDefault="00000000">
      <w:pPr>
        <w:spacing w:after="200"/>
        <w:jc w:val="center"/>
      </w:pPr>
      <w:r w:rsidRPr="00FF3FE2">
        <w:rPr>
          <w:i/>
          <w:iCs/>
          <w:color w:val="1A3A6B"/>
          <w:sz w:val="20"/>
          <w:szCs w:val="20"/>
        </w:rPr>
        <w:t>Venki009512@gmail.com</w:t>
      </w:r>
    </w:p>
    <w:p w14:paraId="3C870DBD" w14:textId="77777777" w:rsidR="00B732AE" w:rsidRPr="00FF3FE2" w:rsidRDefault="00B732AE">
      <w:pPr>
        <w:pBdr>
          <w:bottom w:val="single" w:sz="4" w:space="1" w:color="1A3A6B"/>
        </w:pBdr>
        <w:spacing w:before="100" w:after="100"/>
      </w:pPr>
    </w:p>
    <w:p w14:paraId="2426EEB8" w14:textId="77777777" w:rsidR="00B732AE" w:rsidRPr="00FF3FE2" w:rsidRDefault="00000000">
      <w:pPr>
        <w:spacing w:before="140" w:after="80"/>
        <w:jc w:val="center"/>
      </w:pPr>
      <w:r w:rsidRPr="00FF3FE2">
        <w:rPr>
          <w:rFonts w:eastAsia="Arial"/>
          <w:b/>
          <w:bCs/>
          <w:color w:val="1A3A6B"/>
          <w:sz w:val="24"/>
          <w:szCs w:val="24"/>
        </w:rPr>
        <w:t>ABSTRACT</w:t>
      </w:r>
    </w:p>
    <w:p w14:paraId="04A0C145" w14:textId="2349B618" w:rsidR="00B732AE" w:rsidRPr="00FF3FE2" w:rsidRDefault="00000000">
      <w:pPr>
        <w:spacing w:before="60" w:after="120" w:line="280" w:lineRule="auto"/>
        <w:ind w:left="480" w:right="480"/>
        <w:jc w:val="both"/>
      </w:pPr>
      <w:r w:rsidRPr="00FF3FE2">
        <w:rPr>
          <w:color w:val="000000"/>
          <w:sz w:val="21"/>
          <w:szCs w:val="21"/>
        </w:rPr>
        <w:t xml:space="preserve">Shape recognition from binary contours remains a foundational and persistently challenging problem in computer vision, with critical relevance to autonomous systems, medical image retrieval, industrial inspection, and biometric identification. Existing descriptor frameworks each address only a subset of the representational requirements: Fourier descriptors provide global periodicity encoding but are spatially blind; wavelet descriptors resolve local transient features but are computed independently of global spectral context; neither framework encodes topological invariants such as holes or connectivity changes; and Euclidean feature-space comparisons distort geometry under noise and non-rigid deformation. This paper introduces the Adaptive Multiscale Spectro-Topological (AMST) shape descriptor a unified, theoretically grounded framework addressing all four limitations through four mutually reinforcing novel contributions. Contribution C1, Adaptive Phase-Coherent Fourier–Wavelet Fusion (APCFW), uses dominant Fourier harmonics to dynamically condition wavelet mother function selection, creating a spectral feedback loop that geometrically couples global periodicity with local transience. Contribution C2, Topological Persistence Augmentation, applies Vietoris–Rips persistent homology to a time-delay embedding of the boundary curvature signal, extracting Betti numbers β₀ and β₁ that are provably stable under </w:t>
      </w:r>
      <w:proofErr w:type="spellStart"/>
      <w:r w:rsidRPr="00FF3FE2">
        <w:rPr>
          <w:color w:val="000000"/>
          <w:sz w:val="21"/>
          <w:szCs w:val="21"/>
        </w:rPr>
        <w:t>Hausdorff</w:t>
      </w:r>
      <w:proofErr w:type="spellEnd"/>
      <w:r w:rsidRPr="00FF3FE2">
        <w:rPr>
          <w:color w:val="000000"/>
          <w:sz w:val="21"/>
          <w:szCs w:val="21"/>
        </w:rPr>
        <w:t xml:space="preserve"> perturbations. Contribution C3 encodes the descriptor as a Symmetric Positive Definite (SPD) covariance matrix and performs all comparisons using the Log-Euclidean Riemannian metric, achieving affine covariance without data augmentation. Contribution C4 introduces a lightweight multi-head sparse frequency attention mechanism operating exclusively in descriptor space (~400 parameters), dynamically reweighting spectral bands based on category-specific discriminative relevance. The complete AMST pipeline is formally proven to be invariant to rotation, translation, and scale through the Fourier–Wavelet path; topologically stable through the persistence stability theorem; and affinely covariant through the AIRM Riemannian metric — the first joint theoretical guarantee of this breadth in the shape descriptor literature. Evaluated on the KIMIA-216 benchmark (18 classes, 216 binary silhouettes) under five-fold stratified cross-validation with three classifiers, AMST achieves 1-NN accuracy of 92.59 ± 0.67%, SVM-RBF accuracy of 95.83 ± 0.41%, and Mean Average Precision at rank-10 of 91.27%, outperforming Fourier-only, Wavelet-only, Zernike moments, Shape Context, and Fourier</w:t>
      </w:r>
      <w:r w:rsidR="00FF3FE2" w:rsidRPr="00FF3FE2">
        <w:rPr>
          <w:color w:val="000000"/>
          <w:sz w:val="21"/>
          <w:szCs w:val="21"/>
        </w:rPr>
        <w:t xml:space="preserve"> </w:t>
      </w:r>
      <w:r w:rsidRPr="00FF3FE2">
        <w:rPr>
          <w:color w:val="000000"/>
          <w:sz w:val="21"/>
          <w:szCs w:val="21"/>
        </w:rPr>
        <w:t>+</w:t>
      </w:r>
      <w:r w:rsidR="00FF3FE2" w:rsidRPr="00FF3FE2">
        <w:rPr>
          <w:color w:val="000000"/>
          <w:sz w:val="21"/>
          <w:szCs w:val="21"/>
        </w:rPr>
        <w:t xml:space="preserve"> </w:t>
      </w:r>
      <w:r w:rsidRPr="00FF3FE2">
        <w:rPr>
          <w:color w:val="000000"/>
          <w:sz w:val="21"/>
          <w:szCs w:val="21"/>
        </w:rPr>
        <w:t>Wavelet hybrid baselines on all evaluation axes with statistical significance (p &lt; 0.05, paired t-test). Every AMST component delivers a statistically significant incremental gain confirmed by ablation. Robustness experiments demonstrate superior performance under Gaussian noise (σ up to 80) and 30% occlusion, validating the practical utility of the theoretical stability guarantees.</w:t>
      </w:r>
    </w:p>
    <w:p w14:paraId="26231EED" w14:textId="77777777" w:rsidR="00B732AE" w:rsidRPr="00FF3FE2" w:rsidRDefault="00000000">
      <w:pPr>
        <w:spacing w:before="180" w:after="80"/>
      </w:pPr>
      <w:r w:rsidRPr="00FF3FE2">
        <w:rPr>
          <w:rFonts w:eastAsia="Arial"/>
          <w:b/>
          <w:bCs/>
          <w:color w:val="1A3A6B"/>
        </w:rPr>
        <w:t>RESEARCH HIGHLIGHTS</w:t>
      </w:r>
    </w:p>
    <w:p w14:paraId="2C66400B" w14:textId="46A26508" w:rsidR="00B732AE" w:rsidRPr="00FF3FE2" w:rsidRDefault="00000000">
      <w:pPr>
        <w:pStyle w:val="ListParagraph"/>
        <w:numPr>
          <w:ilvl w:val="0"/>
          <w:numId w:val="2"/>
        </w:numPr>
        <w:spacing w:before="40" w:after="40" w:line="290" w:lineRule="auto"/>
        <w:jc w:val="both"/>
      </w:pPr>
      <w:r w:rsidRPr="00FF3FE2">
        <w:rPr>
          <w:color w:val="000000"/>
          <w:sz w:val="21"/>
          <w:szCs w:val="21"/>
        </w:rPr>
        <w:t>Phase-Coherent Fourier–Wavelet Fusion (APCFW) dynamically conditions wavelet mother function selection on dominant Fourier harmonics producing spectrally tuned multi-resolution analysis that outperforms independent concatenation by +3.70% accuracy under identical conditions (p = 0.014).</w:t>
      </w:r>
    </w:p>
    <w:p w14:paraId="69B3A695" w14:textId="4301DD08" w:rsidR="00B732AE" w:rsidRPr="00FF3FE2" w:rsidRDefault="00000000">
      <w:pPr>
        <w:pStyle w:val="ListParagraph"/>
        <w:numPr>
          <w:ilvl w:val="0"/>
          <w:numId w:val="2"/>
        </w:numPr>
        <w:spacing w:before="40" w:after="40" w:line="290" w:lineRule="auto"/>
        <w:jc w:val="both"/>
      </w:pPr>
      <w:r w:rsidRPr="00FF3FE2">
        <w:rPr>
          <w:color w:val="000000"/>
          <w:sz w:val="21"/>
          <w:szCs w:val="21"/>
        </w:rPr>
        <w:lastRenderedPageBreak/>
        <w:t>Topological Persistence Augmentation via Vietoris–Rips persistent homology on curvature time-delay embeddings encodes Betti numbers β₀ and β₁ invariants completely invisible to spectral descriptors enabling decisive discrimination of metrically similar but topologically distinct shapes (+8.3% per-class gain for topologically complex classes).</w:t>
      </w:r>
    </w:p>
    <w:p w14:paraId="2C0A9200" w14:textId="77777777" w:rsidR="00B732AE" w:rsidRPr="00FF3FE2" w:rsidRDefault="00000000">
      <w:pPr>
        <w:pStyle w:val="ListParagraph"/>
        <w:numPr>
          <w:ilvl w:val="0"/>
          <w:numId w:val="2"/>
        </w:numPr>
        <w:spacing w:before="40" w:after="40" w:line="290" w:lineRule="auto"/>
        <w:jc w:val="both"/>
      </w:pPr>
      <w:r w:rsidRPr="00FF3FE2">
        <w:rPr>
          <w:color w:val="000000"/>
          <w:sz w:val="21"/>
          <w:szCs w:val="21"/>
        </w:rPr>
        <w:t>SPD Riemannian Manifold Embedding encodes the fused descriptor as a covariance matrix and uses the Log-Euclidean metric for all comparisons, providing geometric robustness to noise, rotation, and non-rigid deformation without any augmentation-based correction.</w:t>
      </w:r>
    </w:p>
    <w:p w14:paraId="2C8FC4BF" w14:textId="64C530E5" w:rsidR="00B732AE" w:rsidRPr="00FF3FE2" w:rsidRDefault="00000000">
      <w:pPr>
        <w:pStyle w:val="ListParagraph"/>
        <w:numPr>
          <w:ilvl w:val="0"/>
          <w:numId w:val="2"/>
        </w:numPr>
        <w:spacing w:before="40" w:after="40" w:line="290" w:lineRule="auto"/>
        <w:jc w:val="both"/>
      </w:pPr>
      <w:r w:rsidRPr="00FF3FE2">
        <w:rPr>
          <w:color w:val="000000"/>
          <w:sz w:val="21"/>
          <w:szCs w:val="21"/>
        </w:rPr>
        <w:t xml:space="preserve">Multi-head Sparse Frequency Attention (~400 learnable parameters) operates exclusively in descriptor space, dynamically </w:t>
      </w:r>
      <w:r w:rsidR="00FF3FE2" w:rsidRPr="00FF3FE2">
        <w:rPr>
          <w:color w:val="000000"/>
          <w:sz w:val="21"/>
          <w:szCs w:val="21"/>
        </w:rPr>
        <w:t>emphasizing</w:t>
      </w:r>
      <w:r w:rsidRPr="00FF3FE2">
        <w:rPr>
          <w:color w:val="000000"/>
          <w:sz w:val="21"/>
          <w:szCs w:val="21"/>
        </w:rPr>
        <w:t xml:space="preserve"> the most discriminative spectral bands per shape category with negligible computational overhead.</w:t>
      </w:r>
    </w:p>
    <w:p w14:paraId="227B9673" w14:textId="7EF4F227" w:rsidR="00B732AE" w:rsidRPr="00FF3FE2" w:rsidRDefault="00000000">
      <w:pPr>
        <w:pStyle w:val="ListParagraph"/>
        <w:numPr>
          <w:ilvl w:val="0"/>
          <w:numId w:val="2"/>
        </w:numPr>
        <w:spacing w:before="40" w:after="40" w:line="290" w:lineRule="auto"/>
        <w:jc w:val="both"/>
      </w:pPr>
      <w:r w:rsidRPr="00FF3FE2">
        <w:rPr>
          <w:color w:val="000000"/>
          <w:sz w:val="21"/>
          <w:szCs w:val="21"/>
        </w:rPr>
        <w:t>Five-fold cross-validated SVM-RBF accuracy of 95.83 ± 0.41% on KIMIA-216 with every component gain statistically significant (p &lt; 0.05, paired t-test) the most complete and rigorous evaluation of a hand-crafted shape descriptor on this benchmark to date.</w:t>
      </w:r>
    </w:p>
    <w:p w14:paraId="7A47830E" w14:textId="77777777" w:rsidR="00B732AE" w:rsidRPr="00FF3FE2" w:rsidRDefault="00000000">
      <w:pPr>
        <w:pStyle w:val="ListParagraph"/>
        <w:numPr>
          <w:ilvl w:val="0"/>
          <w:numId w:val="2"/>
        </w:numPr>
        <w:spacing w:before="40" w:after="40" w:line="290" w:lineRule="auto"/>
        <w:jc w:val="both"/>
      </w:pPr>
      <w:r w:rsidRPr="00FF3FE2">
        <w:rPr>
          <w:color w:val="000000"/>
          <w:sz w:val="21"/>
          <w:szCs w:val="21"/>
        </w:rPr>
        <w:t xml:space="preserve">First joint formal guarantee in the shape descriptor literature: rotation–translation–scale invariance (Fourier–Wavelet path), </w:t>
      </w:r>
      <w:proofErr w:type="spellStart"/>
      <w:r w:rsidRPr="00FF3FE2">
        <w:rPr>
          <w:color w:val="000000"/>
          <w:sz w:val="21"/>
          <w:szCs w:val="21"/>
        </w:rPr>
        <w:t>Hausdorff</w:t>
      </w:r>
      <w:proofErr w:type="spellEnd"/>
      <w:r w:rsidRPr="00FF3FE2">
        <w:rPr>
          <w:color w:val="000000"/>
          <w:sz w:val="21"/>
          <w:szCs w:val="21"/>
        </w:rPr>
        <w:t>-noise topological stability (persistence stability theorem), and affine covariance (AIRM metric) proven simultaneously within one framework.</w:t>
      </w:r>
    </w:p>
    <w:p w14:paraId="247BA2A7" w14:textId="4EE5D4EF" w:rsidR="00B732AE" w:rsidRPr="00FF3FE2" w:rsidRDefault="00000000">
      <w:pPr>
        <w:pStyle w:val="ListParagraph"/>
        <w:numPr>
          <w:ilvl w:val="0"/>
          <w:numId w:val="2"/>
        </w:numPr>
        <w:spacing w:before="40" w:after="40" w:line="290" w:lineRule="auto"/>
        <w:jc w:val="both"/>
      </w:pPr>
      <w:r w:rsidRPr="00FF3FE2">
        <w:rPr>
          <w:color w:val="000000"/>
          <w:sz w:val="21"/>
          <w:szCs w:val="21"/>
        </w:rPr>
        <w:t>Robustness superiority confirmed empirically: AMST retains 84.26% accuracy at Gaussian noise σ = 40 and 81.30% at 30% occlusion, versus 63.89% and 67.22% for Fourier-only directly consistent with theoretical stability bounds.</w:t>
      </w:r>
    </w:p>
    <w:p w14:paraId="361BB02B" w14:textId="77777777" w:rsidR="00B732AE" w:rsidRPr="00FF3FE2" w:rsidRDefault="00B732AE">
      <w:pPr>
        <w:spacing w:after="60"/>
      </w:pPr>
    </w:p>
    <w:p w14:paraId="5F4230BE" w14:textId="77777777" w:rsidR="00B732AE" w:rsidRPr="00FF3FE2" w:rsidRDefault="00000000">
      <w:pPr>
        <w:spacing w:before="120" w:after="80"/>
      </w:pPr>
      <w:r w:rsidRPr="00FF3FE2">
        <w:rPr>
          <w:b/>
          <w:bCs/>
          <w:color w:val="000000"/>
          <w:sz w:val="21"/>
          <w:szCs w:val="21"/>
        </w:rPr>
        <w:t xml:space="preserve">Keywords: </w:t>
      </w:r>
      <w:r w:rsidRPr="00FF3FE2">
        <w:rPr>
          <w:i/>
          <w:iCs/>
          <w:color w:val="000000"/>
          <w:sz w:val="21"/>
          <w:szCs w:val="21"/>
        </w:rPr>
        <w:t>Shape Descriptor; Phase-Coherent Fourier–Wavelet Fusion; Persistent Homology; Riemannian Manifold; SPD Matrix; Sparse Frequency Attention; Topological Data Analysis; KIMIA-216; Shape Retrieval; Curvature Analysis; Invariance Theory</w:t>
      </w:r>
    </w:p>
    <w:p w14:paraId="0954E209" w14:textId="77777777" w:rsidR="00B732AE" w:rsidRPr="00FF3FE2" w:rsidRDefault="00B732AE">
      <w:pPr>
        <w:pBdr>
          <w:bottom w:val="single" w:sz="4" w:space="1" w:color="1A3A6B"/>
        </w:pBdr>
        <w:spacing w:before="100" w:after="100"/>
      </w:pPr>
    </w:p>
    <w:p w14:paraId="18703429" w14:textId="77777777" w:rsidR="00B732AE" w:rsidRPr="00FF3FE2" w:rsidRDefault="00000000">
      <w:pPr>
        <w:pStyle w:val="Heading1"/>
        <w:pBdr>
          <w:bottom w:val="single" w:sz="8" w:space="4" w:color="1A3A6B"/>
        </w:pBdr>
        <w:rPr>
          <w:rFonts w:ascii="Times New Roman" w:hAnsi="Times New Roman" w:cs="Times New Roman"/>
        </w:rPr>
      </w:pPr>
      <w:r w:rsidRPr="00FF3FE2">
        <w:rPr>
          <w:rFonts w:ascii="Times New Roman" w:hAnsi="Times New Roman" w:cs="Times New Roman"/>
        </w:rPr>
        <w:t>1.  INTRODUCTION</w:t>
      </w:r>
    </w:p>
    <w:p w14:paraId="238DC7E9" w14:textId="011C353F" w:rsidR="00B732AE" w:rsidRPr="00FF3FE2" w:rsidRDefault="00000000">
      <w:pPr>
        <w:spacing w:before="80" w:after="80" w:line="290" w:lineRule="auto"/>
        <w:ind w:firstLine="720"/>
        <w:jc w:val="both"/>
      </w:pPr>
      <w:r w:rsidRPr="00FF3FE2">
        <w:rPr>
          <w:color w:val="000000"/>
        </w:rPr>
        <w:t xml:space="preserve">Shape is among the most semantically rich and geometrically stable visual cues available to a recognition system. Unlike </w:t>
      </w:r>
      <w:r w:rsidR="00FF3FE2" w:rsidRPr="00FF3FE2">
        <w:rPr>
          <w:color w:val="000000"/>
        </w:rPr>
        <w:t>color</w:t>
      </w:r>
      <w:r w:rsidRPr="00FF3FE2">
        <w:rPr>
          <w:color w:val="000000"/>
        </w:rPr>
        <w:t xml:space="preserve"> or texture which vary under changes in illumination, imaging sensor, and surface material shape is a geometric invariant that persists across viewpoint perturbations, photometric distortions, and modality changes. The problem of computing compact, discriminative, and invariant shape representations has accordingly attracted sustained research effort across computer vision, computational geometry, and pattern recognition for more than five decades [1, 2]. Contemporary applications span an exceptional range of high-stakes domains: computer-aided diagnosis in radiology, where shape is the primary descriptor of anatomical structures and pathological lesions [3]; robotic manipulation and grasp planning [4]; trademark and intellectual property retrieval [5]; archaeological artefact classification [6]; and scene understanding for autonomous vehicles [7]. Despite this long history and broad industrial relevance, four foundational tensions in shape descriptor design remain unresolved.</w:t>
      </w:r>
    </w:p>
    <w:p w14:paraId="113B0645" w14:textId="5077FD90" w:rsidR="00B732AE" w:rsidRPr="00FF3FE2" w:rsidRDefault="00000000">
      <w:pPr>
        <w:spacing w:before="80" w:after="80" w:line="290" w:lineRule="auto"/>
        <w:ind w:firstLine="720"/>
        <w:jc w:val="both"/>
      </w:pPr>
      <w:r w:rsidRPr="00FF3FE2">
        <w:rPr>
          <w:color w:val="000000"/>
        </w:rPr>
        <w:t xml:space="preserve">The first tension is spectral locality blindness in frequency-domain methods. Elliptic Fourier Descriptors [8], the most widely deployed frequency-domain shape representation, achieve compactness and analytical rotation invariance by retaining only the first N harmonic magnitudes of the complex boundary signal. This global averaging is simultaneously a critical weakness: </w:t>
      </w:r>
      <w:r w:rsidR="00FF3FE2" w:rsidRPr="00FF3FE2">
        <w:rPr>
          <w:color w:val="000000"/>
        </w:rPr>
        <w:t>localized</w:t>
      </w:r>
      <w:r w:rsidRPr="00FF3FE2">
        <w:rPr>
          <w:color w:val="000000"/>
        </w:rPr>
        <w:t xml:space="preserve"> features a curvature spike, a fine protrusion, a notch contribute negligibly to low-order coefficients. The second tension is spectral context-blindness in wavelet-based methods [9]. Wavelet descriptors resolve local transient features through multi-resolution decomposition but are computed </w:t>
      </w:r>
      <w:r w:rsidRPr="00FF3FE2">
        <w:rPr>
          <w:color w:val="000000"/>
        </w:rPr>
        <w:lastRenderedPageBreak/>
        <w:t>without consulting the shape’s global spectral structure, producing mother wavelet choices that may be fundamentally mismatched to the signal’s frequency regime. The standard engineering response concatenating Fourier and wavelet features independently produces a descriptor in which the two domains are informationally decoupled, missing the geometric coupling between global periodicity and local transience that a principled unified representation could exploit.</w:t>
      </w:r>
    </w:p>
    <w:p w14:paraId="206C49A1" w14:textId="1D739BFA" w:rsidR="00B732AE" w:rsidRPr="00FF3FE2" w:rsidRDefault="00000000">
      <w:pPr>
        <w:spacing w:before="80" w:after="80" w:line="290" w:lineRule="auto"/>
        <w:ind w:firstLine="720"/>
        <w:jc w:val="both"/>
      </w:pPr>
      <w:r w:rsidRPr="00FF3FE2">
        <w:rPr>
          <w:color w:val="000000"/>
        </w:rPr>
        <w:t>The third tension, perhaps the most fundamental, concerns topological information. Two shapes may be metrically near-identical in their Fourier coefficient distributions or wavelet energy profiles yet topologically distinct: a simple closed curve versus a figure-eight contour; a convex polygon versus a shape with a handle. These topological differences are algebraic invariants captured by persistent homology [10] through Betti numbers β₀ (connected components) and β₁ (independent cycles). The persistence stability theorem [11] guarantees that these representations are Lipschitz-stable under perturbation a property that Fourier and wavelet features do not enjoy in the topological sense. Yet no published shape descriptor integrates persistent homology as a computationally tractable third axis alongside spectral features. The fourth tension is Euclidean geometry distortion. Standard descriptor pipelines compare feature vectors using Euclidean distance, which is geometrically naive on the Riemannian manifold of Symmetric Positive Definite (SPD) matrices where covariance-based representations naturally reside [12, 13]. The Log-Euclidean and Affine-Invariant Riemannian metrics provide geometrically correct comparison operators on this manifold, but their integration into practical shape recognition pipelines has received little attention.</w:t>
      </w:r>
    </w:p>
    <w:p w14:paraId="755160AE" w14:textId="0D006771" w:rsidR="00B732AE" w:rsidRPr="00FF3FE2" w:rsidRDefault="00000000">
      <w:pPr>
        <w:spacing w:before="80" w:after="80" w:line="290" w:lineRule="auto"/>
        <w:ind w:firstLine="720"/>
        <w:jc w:val="both"/>
      </w:pPr>
      <w:r w:rsidRPr="00FF3FE2">
        <w:rPr>
          <w:color w:val="000000"/>
        </w:rPr>
        <w:t xml:space="preserve">This paper introduces the Adaptive Multiscale Spectro-Topological (AMST) shape descriptor, which addresses all four tensions through a unified, jointly designed pipeline of four novel contributions. The contributions form a mutually reinforcing chain: the phase-coherent Fourier–Wavelet fusion (C1) produces spectrally tuned local decompositions that enrich the feature landscape available to topological analysis (C2); the combined spectral–topological vector motivates SPD manifold encoding (C3) because it captures inter-frequency covariance structure; and the sparse attention mechanism (C4) dynamically </w:t>
      </w:r>
      <w:r w:rsidR="00FF3FE2" w:rsidRPr="00FF3FE2">
        <w:rPr>
          <w:color w:val="000000"/>
        </w:rPr>
        <w:t>emphasizes</w:t>
      </w:r>
      <w:r w:rsidRPr="00FF3FE2">
        <w:rPr>
          <w:color w:val="000000"/>
        </w:rPr>
        <w:t xml:space="preserve"> the most discriminative spectral bands within the resulting high-dimensional descriptor. The primary novelty of AMST lies in this joint design and in the formal theoretical guarantees that emerge from it.</w:t>
      </w:r>
    </w:p>
    <w:p w14:paraId="4DF6E015" w14:textId="7B88D04D" w:rsidR="00B732AE" w:rsidRPr="00FF3FE2" w:rsidRDefault="00000000">
      <w:pPr>
        <w:spacing w:before="80" w:after="80" w:line="290" w:lineRule="auto"/>
        <w:ind w:firstLine="720"/>
        <w:jc w:val="both"/>
      </w:pPr>
      <w:r w:rsidRPr="00FF3FE2">
        <w:rPr>
          <w:color w:val="000000"/>
        </w:rPr>
        <w:t>Two scope clarifications are essential. First, AMST is a hand-crafted, knowledge-driven descriptor framework evaluated against classical spectral and geometric baselines. It is not presented as a competitor to deep convolutional networks which operate on fundamentally different data representations but as a contribution to the tradition of principled analytical shape descriptor design, which retains critical importance for retrieval tasks, low-data regimes, and interpretability-critical applications. Second, the invariance proofs reported here are not empirical robustness observations but formal mathematical results derived from the algebraic and geometric properties of the AMST pipeline, providing a theoretical foundation unavailable to purely learned representations.</w:t>
      </w:r>
    </w:p>
    <w:p w14:paraId="12FF5CA0" w14:textId="48F07106" w:rsidR="00B732AE" w:rsidRPr="00FF3FE2" w:rsidRDefault="00000000">
      <w:pPr>
        <w:spacing w:before="80" w:after="80" w:line="290" w:lineRule="auto"/>
        <w:ind w:firstLine="720"/>
        <w:jc w:val="both"/>
      </w:pPr>
      <w:r w:rsidRPr="00FF3FE2">
        <w:rPr>
          <w:color w:val="000000"/>
        </w:rPr>
        <w:t xml:space="preserve">The paper is </w:t>
      </w:r>
      <w:r w:rsidR="00FF3FE2" w:rsidRPr="00FF3FE2">
        <w:rPr>
          <w:color w:val="000000"/>
        </w:rPr>
        <w:t>organized</w:t>
      </w:r>
      <w:r w:rsidRPr="00FF3FE2">
        <w:rPr>
          <w:color w:val="000000"/>
        </w:rPr>
        <w:t xml:space="preserve"> as follows. Section 2 reviews related work and formally positions AMST. Section 3 describes the dataset, preprocessing pipeline, and experimental protocol. Sections 4 through 8 present each AMST component with full mathematical derivations and formal invariance proofs. Section 9 presents the formal guarantees. Section 10 reports comprehensive experimental results. Section 11 presents the ablation study. Section 12 analyses robustness. Sections 13 and 14 discuss implications, limitations, and future directions. Section 15 concludes.</w:t>
      </w:r>
    </w:p>
    <w:p w14:paraId="6991152E" w14:textId="77777777" w:rsidR="00B732AE" w:rsidRPr="00FF3FE2" w:rsidRDefault="00000000">
      <w:pPr>
        <w:pStyle w:val="Heading1"/>
        <w:pBdr>
          <w:bottom w:val="single" w:sz="8" w:space="4" w:color="1A3A6B"/>
        </w:pBdr>
        <w:rPr>
          <w:rFonts w:ascii="Times New Roman" w:hAnsi="Times New Roman" w:cs="Times New Roman"/>
        </w:rPr>
      </w:pPr>
      <w:r w:rsidRPr="00FF3FE2">
        <w:rPr>
          <w:rFonts w:ascii="Times New Roman" w:hAnsi="Times New Roman" w:cs="Times New Roman"/>
        </w:rPr>
        <w:t>2.  RELATED WORK</w:t>
      </w:r>
    </w:p>
    <w:p w14:paraId="7DE6623E" w14:textId="4B2CCCA5" w:rsidR="00B732AE" w:rsidRPr="00FF3FE2" w:rsidRDefault="00000000">
      <w:pPr>
        <w:pStyle w:val="Heading2"/>
        <w:rPr>
          <w:rFonts w:ascii="Times New Roman" w:hAnsi="Times New Roman" w:cs="Times New Roman"/>
        </w:rPr>
      </w:pPr>
      <w:r w:rsidRPr="00FF3FE2">
        <w:rPr>
          <w:rFonts w:ascii="Times New Roman" w:hAnsi="Times New Roman" w:cs="Times New Roman"/>
        </w:rPr>
        <w:t>2.1 Frequency-Domain Shape Descriptors</w:t>
      </w:r>
    </w:p>
    <w:p w14:paraId="0A53F13E" w14:textId="053999A0" w:rsidR="00B732AE" w:rsidRPr="00FF3FE2" w:rsidRDefault="00000000">
      <w:pPr>
        <w:spacing w:before="80" w:after="80" w:line="290" w:lineRule="auto"/>
        <w:ind w:firstLine="720"/>
        <w:jc w:val="both"/>
      </w:pPr>
      <w:r w:rsidRPr="00FF3FE2">
        <w:rPr>
          <w:color w:val="000000"/>
        </w:rPr>
        <w:lastRenderedPageBreak/>
        <w:t xml:space="preserve">Elliptic Fourier Descriptors (EFDs), introduced by Kuhl and Giardina [8] and further </w:t>
      </w:r>
      <w:r w:rsidR="00FF3FE2" w:rsidRPr="00FF3FE2">
        <w:rPr>
          <w:color w:val="000000"/>
        </w:rPr>
        <w:t>formalized</w:t>
      </w:r>
      <w:r w:rsidRPr="00FF3FE2">
        <w:rPr>
          <w:color w:val="000000"/>
        </w:rPr>
        <w:t xml:space="preserve"> by Zahn and </w:t>
      </w:r>
      <w:proofErr w:type="spellStart"/>
      <w:r w:rsidRPr="00FF3FE2">
        <w:rPr>
          <w:color w:val="000000"/>
        </w:rPr>
        <w:t>Roskies</w:t>
      </w:r>
      <w:proofErr w:type="spellEnd"/>
      <w:r w:rsidRPr="00FF3FE2">
        <w:rPr>
          <w:color w:val="000000"/>
        </w:rPr>
        <w:t xml:space="preserve"> [14], remain among the most mathematically elegant shape representations in the literature. By decomposing a boundary contour into its Fourier series in the complex plane and retaining only the first N harmonic magnitudes </w:t>
      </w:r>
      <w:r w:rsidR="00FF3FE2" w:rsidRPr="00FF3FE2">
        <w:rPr>
          <w:color w:val="000000"/>
        </w:rPr>
        <w:t>normalized</w:t>
      </w:r>
      <w:r w:rsidRPr="00FF3FE2">
        <w:rPr>
          <w:color w:val="000000"/>
        </w:rPr>
        <w:t xml:space="preserve"> to achieve simultaneous rotation, translation, and scale invariance EFDs provide compact descriptors with well-understood mathematical properties. Zhang and Lu [15] conducted a systematic comparative study of fourteen Fourier-based descriptors across multiple shape databases and confirmed that all share the critical limitation of frequency </w:t>
      </w:r>
      <w:r w:rsidR="00FF3FE2" w:rsidRPr="00FF3FE2">
        <w:rPr>
          <w:color w:val="000000"/>
        </w:rPr>
        <w:t>localization</w:t>
      </w:r>
      <w:r w:rsidRPr="00FF3FE2">
        <w:rPr>
          <w:color w:val="000000"/>
        </w:rPr>
        <w:t xml:space="preserve">: high-frequency local features such as fine protrusions or notches contribute negligibly to the dominant harmonics forming practical descriptors. Increasing N captures more local detail but rapidly increases dimensionality without a principled stopping criterion, creating a fundamental compactness-locality trade-off that Fourier analysis cannot resolve. Zernike moments [28], derived from orthogonal polynomials on the unit disk, provide an alternative global representation with proven rotation invariance but share the same insensitivity to </w:t>
      </w:r>
      <w:r w:rsidR="00FF3FE2" w:rsidRPr="00FF3FE2">
        <w:rPr>
          <w:color w:val="000000"/>
        </w:rPr>
        <w:t>localized</w:t>
      </w:r>
      <w:r w:rsidRPr="00FF3FE2">
        <w:rPr>
          <w:color w:val="000000"/>
        </w:rPr>
        <w:t xml:space="preserve"> boundary events. These limitations motivate complementary wavelet-based approaches.</w:t>
      </w:r>
    </w:p>
    <w:p w14:paraId="515A8FCB" w14:textId="3B58FE29" w:rsidR="00B732AE" w:rsidRPr="00FF3FE2" w:rsidRDefault="00000000">
      <w:pPr>
        <w:pStyle w:val="Heading2"/>
        <w:rPr>
          <w:rFonts w:ascii="Times New Roman" w:hAnsi="Times New Roman" w:cs="Times New Roman"/>
        </w:rPr>
      </w:pPr>
      <w:r w:rsidRPr="00FF3FE2">
        <w:rPr>
          <w:rFonts w:ascii="Times New Roman" w:hAnsi="Times New Roman" w:cs="Times New Roman"/>
        </w:rPr>
        <w:t>2.2 Wavelet-Based Shape Descriptors</w:t>
      </w:r>
    </w:p>
    <w:p w14:paraId="1A4B4866" w14:textId="385CE5DF" w:rsidR="00B732AE" w:rsidRPr="00FF3FE2" w:rsidRDefault="00000000">
      <w:pPr>
        <w:spacing w:before="80" w:after="80" w:line="290" w:lineRule="auto"/>
        <w:ind w:firstLine="720"/>
        <w:jc w:val="both"/>
      </w:pPr>
      <w:r w:rsidRPr="00FF3FE2">
        <w:rPr>
          <w:color w:val="000000"/>
        </w:rPr>
        <w:t xml:space="preserve">Wavelet descriptors address the </w:t>
      </w:r>
      <w:r w:rsidR="00FF3FE2" w:rsidRPr="00FF3FE2">
        <w:rPr>
          <w:color w:val="000000"/>
        </w:rPr>
        <w:t>localization</w:t>
      </w:r>
      <w:r w:rsidRPr="00FF3FE2">
        <w:rPr>
          <w:color w:val="000000"/>
        </w:rPr>
        <w:t xml:space="preserve"> limitation by representing boundary signals at multiple scales of resolution simultaneously, following the foundational multi-resolution analysis framework of Mallat [9] and the construction of compactly supported wavelets by Daubechies. Chuang and Kuo [16] demonstrated competitive retrieval performance on the Kimia shape databases using Discrete Wavelet Transform on boundary signatures, showing that wavelet energy distributions encode local boundary complexity effectively. Charalampidis and </w:t>
      </w:r>
      <w:proofErr w:type="spellStart"/>
      <w:r w:rsidRPr="00FF3FE2">
        <w:rPr>
          <w:color w:val="000000"/>
        </w:rPr>
        <w:t>Kasparis</w:t>
      </w:r>
      <w:proofErr w:type="spellEnd"/>
      <w:r w:rsidRPr="00FF3FE2">
        <w:rPr>
          <w:color w:val="000000"/>
        </w:rPr>
        <w:t xml:space="preserve"> [17] introduced wavelet-based boundary descriptors with multi-scale </w:t>
      </w:r>
      <w:r w:rsidR="00FF3FE2" w:rsidRPr="00FF3FE2">
        <w:rPr>
          <w:color w:val="000000"/>
        </w:rPr>
        <w:t>normalization</w:t>
      </w:r>
      <w:r w:rsidRPr="00FF3FE2">
        <w:rPr>
          <w:color w:val="000000"/>
        </w:rPr>
        <w:t xml:space="preserve"> achieving improved rotation robustness. A critical finding across these studies is that wavelet family choice significantly affects performance in a class-specific manner: Daubechies wavelets of higher order (db4, db6) perform well for smooth biological shapes with band-limited boundary signals, while Haar wavelets with their perfect spatial compactness excel for angular industrial shapes with sharp curvature transitions. This performance sensitivity is directly attributable to the mismatch between the shape’s dominant frequency regime and the wavelet’s optimal frequency </w:t>
      </w:r>
      <w:r w:rsidR="00FF3FE2" w:rsidRPr="00FF3FE2">
        <w:rPr>
          <w:color w:val="000000"/>
        </w:rPr>
        <w:t>localization</w:t>
      </w:r>
      <w:r w:rsidRPr="00FF3FE2">
        <w:rPr>
          <w:color w:val="000000"/>
        </w:rPr>
        <w:t>. Existing methods make this choice statically, without consulting the boundary signal’s global spectral structure precisely the information that APCFW dynamically exploits.</w:t>
      </w:r>
    </w:p>
    <w:p w14:paraId="552528E0" w14:textId="5EEB7E2B" w:rsidR="00B732AE" w:rsidRPr="00FF3FE2" w:rsidRDefault="00000000">
      <w:pPr>
        <w:pStyle w:val="Heading2"/>
        <w:rPr>
          <w:rFonts w:ascii="Times New Roman" w:hAnsi="Times New Roman" w:cs="Times New Roman"/>
        </w:rPr>
      </w:pPr>
      <w:r w:rsidRPr="00FF3FE2">
        <w:rPr>
          <w:rFonts w:ascii="Times New Roman" w:hAnsi="Times New Roman" w:cs="Times New Roman"/>
        </w:rPr>
        <w:t>2.3 Topological Shape Analysis and Persistent Homology</w:t>
      </w:r>
    </w:p>
    <w:p w14:paraId="0D9DFF95" w14:textId="52F79DA2" w:rsidR="00B732AE" w:rsidRPr="00FF3FE2" w:rsidRDefault="00000000">
      <w:pPr>
        <w:spacing w:before="80" w:after="80" w:line="290" w:lineRule="auto"/>
        <w:ind w:firstLine="720"/>
        <w:jc w:val="both"/>
      </w:pPr>
      <w:r w:rsidRPr="00FF3FE2">
        <w:rPr>
          <w:color w:val="000000"/>
        </w:rPr>
        <w:t xml:space="preserve">Persistent homology, introduced by Edelsbrunner, Letscher, and </w:t>
      </w:r>
      <w:proofErr w:type="spellStart"/>
      <w:r w:rsidRPr="00FF3FE2">
        <w:rPr>
          <w:color w:val="000000"/>
        </w:rPr>
        <w:t>Zomorodian</w:t>
      </w:r>
      <w:proofErr w:type="spellEnd"/>
      <w:r w:rsidRPr="00FF3FE2">
        <w:rPr>
          <w:color w:val="000000"/>
        </w:rPr>
        <w:t xml:space="preserve"> [10] and placed on rigorous algebraic foundations by Carlsson [18], provides a multiscale framework for computing topological invariants from filtered simplicial complexes. The persistence stability theorem of Cohen-Steiner, </w:t>
      </w:r>
      <w:proofErr w:type="spellStart"/>
      <w:r w:rsidRPr="00FF3FE2">
        <w:rPr>
          <w:color w:val="000000"/>
        </w:rPr>
        <w:t>Edelsbrunner</w:t>
      </w:r>
      <w:proofErr w:type="spellEnd"/>
      <w:r w:rsidRPr="00FF3FE2">
        <w:rPr>
          <w:color w:val="000000"/>
        </w:rPr>
        <w:t xml:space="preserve">, and Harer [11] is the foundational theoretical result establishing that persistence diagrams change by at most ε in the bottleneck metric when the underlying filtration function changes by at most ε in the L∞ sense, making topological features inherently noise-robust in a mathematically precise sense. Applications to shape analysis have been explored in computational topology and geometry [19, 20], where persistence diagrams derived from Reeb graphs and Morse functions distinguish topologically inequivalent manifolds. Bubenik [41] developed persistence landscapes as a stable </w:t>
      </w:r>
      <w:r w:rsidR="00FF3FE2" w:rsidRPr="00FF3FE2">
        <w:rPr>
          <w:color w:val="000000"/>
        </w:rPr>
        <w:t>vectorization</w:t>
      </w:r>
      <w:r w:rsidRPr="00FF3FE2">
        <w:rPr>
          <w:color w:val="000000"/>
        </w:rPr>
        <w:t xml:space="preserve"> scheme amenable to statistical analysis. The </w:t>
      </w:r>
      <w:proofErr w:type="spellStart"/>
      <w:r w:rsidRPr="00FF3FE2">
        <w:rPr>
          <w:color w:val="000000"/>
        </w:rPr>
        <w:t>Ripser</w:t>
      </w:r>
      <w:proofErr w:type="spellEnd"/>
      <w:r w:rsidRPr="00FF3FE2">
        <w:rPr>
          <w:color w:val="000000"/>
        </w:rPr>
        <w:t xml:space="preserve"> library of Bauer [22] has dramatically reduced computation time, enabling millisecond-scale persistence computation for moderate point clouds. AMST integrates these advances into a shape recognition pipeline for the first time, with a two-dimensional time-delay embedding and </w:t>
      </w:r>
      <w:r w:rsidR="00FF3FE2" w:rsidRPr="00FF3FE2">
        <w:rPr>
          <w:color w:val="000000"/>
        </w:rPr>
        <w:t>vectorization</w:t>
      </w:r>
      <w:r w:rsidRPr="00FF3FE2">
        <w:rPr>
          <w:color w:val="000000"/>
        </w:rPr>
        <w:t xml:space="preserve"> scheme producing fixed-length feature vectors compatible with standard classifiers while preserving the geometric content of the persistence diagram.</w:t>
      </w:r>
    </w:p>
    <w:p w14:paraId="0162A151" w14:textId="00672A98" w:rsidR="00B732AE" w:rsidRPr="00FF3FE2" w:rsidRDefault="00000000">
      <w:pPr>
        <w:pStyle w:val="Heading2"/>
        <w:rPr>
          <w:rFonts w:ascii="Times New Roman" w:hAnsi="Times New Roman" w:cs="Times New Roman"/>
        </w:rPr>
      </w:pPr>
      <w:r w:rsidRPr="00FF3FE2">
        <w:rPr>
          <w:rFonts w:ascii="Times New Roman" w:hAnsi="Times New Roman" w:cs="Times New Roman"/>
        </w:rPr>
        <w:t>2.4 Riemannian Geometry in Visual Recognition</w:t>
      </w:r>
    </w:p>
    <w:p w14:paraId="3FD35E04" w14:textId="0BF7EC8A" w:rsidR="00B732AE" w:rsidRPr="00FF3FE2" w:rsidRDefault="00000000">
      <w:pPr>
        <w:spacing w:before="80" w:after="80" w:line="290" w:lineRule="auto"/>
        <w:ind w:firstLine="720"/>
        <w:jc w:val="both"/>
      </w:pPr>
      <w:r w:rsidRPr="00FF3FE2">
        <w:rPr>
          <w:color w:val="000000"/>
        </w:rPr>
        <w:lastRenderedPageBreak/>
        <w:t xml:space="preserve">The use of SPD matrices as region descriptors was pioneered by Tuzel, </w:t>
      </w:r>
      <w:proofErr w:type="spellStart"/>
      <w:r w:rsidRPr="00FF3FE2">
        <w:rPr>
          <w:color w:val="000000"/>
        </w:rPr>
        <w:t>Porikli</w:t>
      </w:r>
      <w:proofErr w:type="spellEnd"/>
      <w:r w:rsidRPr="00FF3FE2">
        <w:rPr>
          <w:color w:val="000000"/>
        </w:rPr>
        <w:t xml:space="preserve">, and Meer [23], who demonstrated that the Affine-Invariant Riemannian Metric (AIRM) produces substantially superior classification performance to Euclidean distance on identical covariance matrices for texture and object recognition. </w:t>
      </w:r>
      <w:proofErr w:type="spellStart"/>
      <w:r w:rsidRPr="00FF3FE2">
        <w:rPr>
          <w:color w:val="000000"/>
        </w:rPr>
        <w:t>Arsigny</w:t>
      </w:r>
      <w:proofErr w:type="spellEnd"/>
      <w:r w:rsidRPr="00FF3FE2">
        <w:rPr>
          <w:color w:val="000000"/>
        </w:rPr>
        <w:t xml:space="preserve">, </w:t>
      </w:r>
      <w:proofErr w:type="spellStart"/>
      <w:r w:rsidRPr="00FF3FE2">
        <w:rPr>
          <w:color w:val="000000"/>
        </w:rPr>
        <w:t>Fillard</w:t>
      </w:r>
      <w:proofErr w:type="spellEnd"/>
      <w:r w:rsidRPr="00FF3FE2">
        <w:rPr>
          <w:color w:val="000000"/>
        </w:rPr>
        <w:t xml:space="preserve">, Pennec, and Ayache [12] introduced the Log-Euclidean framework as a computationally efficient alternative that approximately preserves the manifold’s non-Euclidean geometry. Pennec, </w:t>
      </w:r>
      <w:proofErr w:type="spellStart"/>
      <w:r w:rsidRPr="00FF3FE2">
        <w:rPr>
          <w:color w:val="000000"/>
        </w:rPr>
        <w:t>Fillard</w:t>
      </w:r>
      <w:proofErr w:type="spellEnd"/>
      <w:r w:rsidRPr="00FF3FE2">
        <w:rPr>
          <w:color w:val="000000"/>
        </w:rPr>
        <w:t>, and Ayache [13] established the mathematical framework of Riemannian computing for tensor data, providing the theoretical basis for geodesic distances on SPD manifolds. Subsequent work extended these approaches to action recognition [24], video classification [25], medical image analysis [26], and deep learning on Grassmann and SPD manifolds [27]. To the best of the authors’ knowledge, no prior shape descriptor framework has combined Riemannian manifold embedding with spectral–topological feature extraction the gap that AMST’s C3 component directly fills.</w:t>
      </w:r>
    </w:p>
    <w:p w14:paraId="2ACAA522" w14:textId="413A24DC" w:rsidR="00B732AE" w:rsidRPr="00FF3FE2" w:rsidRDefault="00000000">
      <w:pPr>
        <w:pStyle w:val="Heading2"/>
        <w:rPr>
          <w:rFonts w:ascii="Times New Roman" w:hAnsi="Times New Roman" w:cs="Times New Roman"/>
        </w:rPr>
      </w:pPr>
      <w:r w:rsidRPr="00FF3FE2">
        <w:rPr>
          <w:rFonts w:ascii="Times New Roman" w:hAnsi="Times New Roman" w:cs="Times New Roman"/>
        </w:rPr>
        <w:t>2.5 Classical Geometric Shape Descriptors</w:t>
      </w:r>
    </w:p>
    <w:p w14:paraId="3B2DDAF3" w14:textId="77777777" w:rsidR="00B732AE" w:rsidRPr="00FF3FE2" w:rsidRDefault="00000000">
      <w:pPr>
        <w:spacing w:before="80" w:after="80" w:line="290" w:lineRule="auto"/>
        <w:ind w:firstLine="720"/>
        <w:jc w:val="both"/>
      </w:pPr>
      <w:r w:rsidRPr="00FF3FE2">
        <w:rPr>
          <w:color w:val="000000"/>
        </w:rPr>
        <w:t xml:space="preserve">Shape Context [29], introduced by Belongie, Malik, and </w:t>
      </w:r>
      <w:proofErr w:type="spellStart"/>
      <w:r w:rsidRPr="00FF3FE2">
        <w:rPr>
          <w:color w:val="000000"/>
        </w:rPr>
        <w:t>Puzicha</w:t>
      </w:r>
      <w:proofErr w:type="spellEnd"/>
      <w:r w:rsidRPr="00FF3FE2">
        <w:rPr>
          <w:color w:val="000000"/>
        </w:rPr>
        <w:t>, captures the relative spatial distribution of boundary points through log-polar histograms and remains a strong retrieval baseline. Its matching via the Hungarian algorithm achieves invariance to rotation and modest deformation but is computationally expensive for large databases. Inner Distance Shape Context (IDSC) [30] extends Shape Context to articulated shapes by substituting geodesic inner distances for Euclidean ones, substantially improving performance on non-rigid shape classes. Curvature Scale Space (CSS) [31], developed by Mokhtarian and Mackworth, provides multi-scale curvature zero-crossing representations particularly effective for biological silhouettes. Statistical Procrustes Analysis [33] models shape variation through landmark configurations. All of these methods share the fundamental limitations of operating in Euclidean feature spaces without topological augmentation and without principled coupling between global and local spectral information. AMST incorporates curvature as the primary input to its topological analysis, establishing a principled connection between CSS-inspired curvature analysis and modern topological data analysis.</w:t>
      </w:r>
    </w:p>
    <w:p w14:paraId="69356EB2" w14:textId="6EA4D6D4" w:rsidR="00B732AE" w:rsidRPr="00FF3FE2" w:rsidRDefault="00000000">
      <w:pPr>
        <w:pStyle w:val="Heading2"/>
        <w:rPr>
          <w:rFonts w:ascii="Times New Roman" w:hAnsi="Times New Roman" w:cs="Times New Roman"/>
        </w:rPr>
      </w:pPr>
      <w:r w:rsidRPr="00FF3FE2">
        <w:rPr>
          <w:rFonts w:ascii="Times New Roman" w:hAnsi="Times New Roman" w:cs="Times New Roman"/>
        </w:rPr>
        <w:t>2.6 Topology-Informed Deep Learning</w:t>
      </w:r>
    </w:p>
    <w:p w14:paraId="41E49B60" w14:textId="6768CBAC" w:rsidR="00B732AE" w:rsidRPr="00FF3FE2" w:rsidRDefault="00000000">
      <w:pPr>
        <w:spacing w:before="80" w:after="80" w:line="290" w:lineRule="auto"/>
        <w:ind w:firstLine="720"/>
        <w:jc w:val="both"/>
      </w:pPr>
      <w:r w:rsidRPr="00FF3FE2">
        <w:rPr>
          <w:color w:val="000000"/>
        </w:rPr>
        <w:t xml:space="preserve">Several recent works have explored topology-informed deep learning [37, 38], using persistent homology as a </w:t>
      </w:r>
      <w:r w:rsidR="00FF3FE2" w:rsidRPr="00FF3FE2">
        <w:rPr>
          <w:color w:val="000000"/>
        </w:rPr>
        <w:t>regularize</w:t>
      </w:r>
      <w:r w:rsidRPr="00FF3FE2">
        <w:rPr>
          <w:color w:val="000000"/>
        </w:rPr>
        <w:t xml:space="preserve"> or feature extractor within neural pipelines. Clough et al. [37] introduced a topological loss function for deep segmentation that </w:t>
      </w:r>
      <w:r w:rsidR="00FF3FE2" w:rsidRPr="00FF3FE2">
        <w:rPr>
          <w:color w:val="000000"/>
        </w:rPr>
        <w:t>penalizes</w:t>
      </w:r>
      <w:r w:rsidRPr="00FF3FE2">
        <w:rPr>
          <w:color w:val="000000"/>
        </w:rPr>
        <w:t xml:space="preserve"> topologically incorrect predictions. Hu et al. [38] developed topology-preserving segmentation using persistent homology-based constraints. These approaches differ fundamentally from AMST: they embed topological computations within a training loop for a task-specific neural network, requiring large annotated datasets and GPU infrastructure. AMST is a fully analytical framework with formal invariance guarantees requiring no neural training for feature extraction. Its performance is competitive with deep approaches in the low-data regime of KIMIA-216 while providing theoretical transparency and interpretability unavailable to learned representations.</w:t>
      </w:r>
    </w:p>
    <w:p w14:paraId="7A297D40" w14:textId="3A5A8144" w:rsidR="00B732AE" w:rsidRPr="00FF3FE2" w:rsidRDefault="00000000">
      <w:pPr>
        <w:pStyle w:val="Heading2"/>
        <w:rPr>
          <w:rFonts w:ascii="Times New Roman" w:hAnsi="Times New Roman" w:cs="Times New Roman"/>
        </w:rPr>
      </w:pPr>
      <w:r w:rsidRPr="00FF3FE2">
        <w:rPr>
          <w:rFonts w:ascii="Times New Roman" w:hAnsi="Times New Roman" w:cs="Times New Roman"/>
        </w:rPr>
        <w:t>2.7 Formal Novelty Positioning</w:t>
      </w:r>
    </w:p>
    <w:p w14:paraId="24B6F61D" w14:textId="77777777" w:rsidR="00B732AE" w:rsidRPr="00FF3FE2" w:rsidRDefault="00000000">
      <w:pPr>
        <w:spacing w:before="80" w:after="80" w:line="290" w:lineRule="auto"/>
        <w:ind w:firstLine="720"/>
        <w:jc w:val="both"/>
      </w:pPr>
      <w:r w:rsidRPr="00FF3FE2">
        <w:rPr>
          <w:color w:val="000000"/>
        </w:rPr>
        <w:t>Table 1 formally positions AMST against eight representative shape descriptors across seven property dimensions derived from the four structural limitations identified in Section 1. No existing descriptor simultaneously addresses all seven dimensions. The primary novelty of AMST is the joint design of all four components within a theoretically grounded unified pipeline, with formal invariance guarantees emerging from their combination.</w:t>
      </w:r>
    </w:p>
    <w:p w14:paraId="1A0C85BD" w14:textId="3D1DEA3D" w:rsidR="00B732AE" w:rsidRPr="00FF3FE2" w:rsidRDefault="00000000">
      <w:pPr>
        <w:spacing w:before="160" w:after="80"/>
        <w:jc w:val="center"/>
      </w:pPr>
      <w:r w:rsidRPr="00FF3FE2">
        <w:rPr>
          <w:b/>
          <w:bCs/>
          <w:color w:val="000000"/>
          <w:sz w:val="20"/>
          <w:szCs w:val="20"/>
        </w:rPr>
        <w:t xml:space="preserve">Table 1. Comparative positioning of AMST. </w:t>
      </w:r>
      <w:r w:rsidRPr="00FF3FE2">
        <w:rPr>
          <w:rFonts w:ascii="Segoe UI Symbol" w:hAnsi="Segoe UI Symbol" w:cs="Segoe UI Symbol"/>
          <w:b/>
          <w:bCs/>
          <w:color w:val="000000"/>
          <w:sz w:val="20"/>
          <w:szCs w:val="20"/>
        </w:rPr>
        <w:t>✓</w:t>
      </w:r>
      <w:r w:rsidRPr="00FF3FE2">
        <w:rPr>
          <w:b/>
          <w:bCs/>
          <w:color w:val="000000"/>
          <w:sz w:val="20"/>
          <w:szCs w:val="20"/>
        </w:rPr>
        <w:t xml:space="preserve"> = fully addressed; ∂ = partially; </w:t>
      </w:r>
      <w:r w:rsidRPr="00FF3FE2">
        <w:rPr>
          <w:rFonts w:ascii="Segoe UI Symbol" w:hAnsi="Segoe UI Symbol" w:cs="Segoe UI Symbol"/>
          <w:b/>
          <w:bCs/>
          <w:color w:val="000000"/>
          <w:sz w:val="20"/>
          <w:szCs w:val="20"/>
        </w:rPr>
        <w:t>✗</w:t>
      </w:r>
      <w:r w:rsidRPr="00FF3FE2">
        <w:rPr>
          <w:b/>
          <w:bCs/>
          <w:color w:val="000000"/>
          <w:sz w:val="20"/>
          <w:szCs w:val="20"/>
        </w:rPr>
        <w:t xml:space="preserve"> = not addressed.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240"/>
        <w:gridCol w:w="1220"/>
        <w:gridCol w:w="1240"/>
        <w:gridCol w:w="1220"/>
        <w:gridCol w:w="1220"/>
        <w:gridCol w:w="1120"/>
        <w:gridCol w:w="1120"/>
      </w:tblGrid>
      <w:tr w:rsidR="00B732AE" w:rsidRPr="00FF3FE2" w14:paraId="5C4B8828" w14:textId="77777777">
        <w:tblPrEx>
          <w:tblCellMar>
            <w:top w:w="0" w:type="dxa"/>
            <w:bottom w:w="0" w:type="dxa"/>
          </w:tblCellMar>
        </w:tblPrEx>
        <w:tc>
          <w:tcPr>
            <w:tcW w:w="1700" w:type="dxa"/>
            <w:tcBorders>
              <w:top w:val="single" w:sz="3" w:space="0" w:color="BBBBBB"/>
              <w:left w:val="single" w:sz="3" w:space="0" w:color="BBBBBB"/>
              <w:bottom w:val="single" w:sz="3" w:space="0" w:color="BBBBBB"/>
              <w:right w:val="single" w:sz="3" w:space="0" w:color="BBBBBB"/>
            </w:tcBorders>
            <w:shd w:val="clear" w:color="auto" w:fill="1A3A6B"/>
            <w:tcMar>
              <w:top w:w="80" w:type="dxa"/>
              <w:left w:w="130" w:type="dxa"/>
              <w:bottom w:w="80" w:type="dxa"/>
              <w:right w:w="130" w:type="dxa"/>
            </w:tcMar>
            <w:vAlign w:val="center"/>
          </w:tcPr>
          <w:p w14:paraId="6D7356E9" w14:textId="77777777" w:rsidR="00B732AE" w:rsidRPr="00FF3FE2" w:rsidRDefault="00000000">
            <w:pPr>
              <w:spacing w:before="40" w:after="40"/>
              <w:jc w:val="center"/>
            </w:pPr>
            <w:r w:rsidRPr="00FF3FE2">
              <w:rPr>
                <w:b/>
                <w:bCs/>
                <w:color w:val="FFFFFF"/>
                <w:sz w:val="17"/>
                <w:szCs w:val="17"/>
              </w:rPr>
              <w:lastRenderedPageBreak/>
              <w:t>Method</w:t>
            </w:r>
          </w:p>
        </w:tc>
        <w:tc>
          <w:tcPr>
            <w:tcW w:w="1240" w:type="dxa"/>
            <w:tcBorders>
              <w:top w:val="single" w:sz="3" w:space="0" w:color="BBBBBB"/>
              <w:left w:val="single" w:sz="3" w:space="0" w:color="BBBBBB"/>
              <w:bottom w:val="single" w:sz="3" w:space="0" w:color="BBBBBB"/>
              <w:right w:val="single" w:sz="3" w:space="0" w:color="BBBBBB"/>
            </w:tcBorders>
            <w:shd w:val="clear" w:color="auto" w:fill="1A3A6B"/>
            <w:tcMar>
              <w:top w:w="80" w:type="dxa"/>
              <w:left w:w="130" w:type="dxa"/>
              <w:bottom w:w="80" w:type="dxa"/>
              <w:right w:w="130" w:type="dxa"/>
            </w:tcMar>
            <w:vAlign w:val="center"/>
          </w:tcPr>
          <w:p w14:paraId="7CDA0BC5" w14:textId="77777777" w:rsidR="00B732AE" w:rsidRPr="00FF3FE2" w:rsidRDefault="00000000">
            <w:pPr>
              <w:spacing w:before="40" w:after="40"/>
              <w:jc w:val="center"/>
            </w:pPr>
            <w:r w:rsidRPr="00FF3FE2">
              <w:rPr>
                <w:b/>
                <w:bCs/>
                <w:color w:val="FFFFFF"/>
                <w:sz w:val="17"/>
                <w:szCs w:val="17"/>
              </w:rPr>
              <w:t>Global Freq.</w:t>
            </w:r>
          </w:p>
        </w:tc>
        <w:tc>
          <w:tcPr>
            <w:tcW w:w="1220" w:type="dxa"/>
            <w:tcBorders>
              <w:top w:val="single" w:sz="3" w:space="0" w:color="BBBBBB"/>
              <w:left w:val="single" w:sz="3" w:space="0" w:color="BBBBBB"/>
              <w:bottom w:val="single" w:sz="3" w:space="0" w:color="BBBBBB"/>
              <w:right w:val="single" w:sz="3" w:space="0" w:color="BBBBBB"/>
            </w:tcBorders>
            <w:shd w:val="clear" w:color="auto" w:fill="1A3A6B"/>
            <w:tcMar>
              <w:top w:w="80" w:type="dxa"/>
              <w:left w:w="130" w:type="dxa"/>
              <w:bottom w:w="80" w:type="dxa"/>
              <w:right w:w="130" w:type="dxa"/>
            </w:tcMar>
            <w:vAlign w:val="center"/>
          </w:tcPr>
          <w:p w14:paraId="540290C2" w14:textId="77777777" w:rsidR="00B732AE" w:rsidRPr="00FF3FE2" w:rsidRDefault="00000000">
            <w:pPr>
              <w:spacing w:before="40" w:after="40"/>
              <w:jc w:val="center"/>
            </w:pPr>
            <w:r w:rsidRPr="00FF3FE2">
              <w:rPr>
                <w:b/>
                <w:bCs/>
                <w:color w:val="FFFFFF"/>
                <w:sz w:val="17"/>
                <w:szCs w:val="17"/>
              </w:rPr>
              <w:t>Local Trans.</w:t>
            </w:r>
          </w:p>
        </w:tc>
        <w:tc>
          <w:tcPr>
            <w:tcW w:w="1240" w:type="dxa"/>
            <w:tcBorders>
              <w:top w:val="single" w:sz="3" w:space="0" w:color="BBBBBB"/>
              <w:left w:val="single" w:sz="3" w:space="0" w:color="BBBBBB"/>
              <w:bottom w:val="single" w:sz="3" w:space="0" w:color="BBBBBB"/>
              <w:right w:val="single" w:sz="3" w:space="0" w:color="BBBBBB"/>
            </w:tcBorders>
            <w:shd w:val="clear" w:color="auto" w:fill="1A3A6B"/>
            <w:tcMar>
              <w:top w:w="80" w:type="dxa"/>
              <w:left w:w="130" w:type="dxa"/>
              <w:bottom w:w="80" w:type="dxa"/>
              <w:right w:w="130" w:type="dxa"/>
            </w:tcMar>
            <w:vAlign w:val="center"/>
          </w:tcPr>
          <w:p w14:paraId="017836A0" w14:textId="77777777" w:rsidR="00B732AE" w:rsidRPr="00FF3FE2" w:rsidRDefault="00000000">
            <w:pPr>
              <w:spacing w:before="40" w:after="40"/>
              <w:jc w:val="center"/>
            </w:pPr>
            <w:r w:rsidRPr="00FF3FE2">
              <w:rPr>
                <w:b/>
                <w:bCs/>
                <w:color w:val="FFFFFF"/>
                <w:sz w:val="17"/>
                <w:szCs w:val="17"/>
              </w:rPr>
              <w:t>Topo. Inv.</w:t>
            </w:r>
          </w:p>
        </w:tc>
        <w:tc>
          <w:tcPr>
            <w:tcW w:w="1220" w:type="dxa"/>
            <w:tcBorders>
              <w:top w:val="single" w:sz="3" w:space="0" w:color="BBBBBB"/>
              <w:left w:val="single" w:sz="3" w:space="0" w:color="BBBBBB"/>
              <w:bottom w:val="single" w:sz="3" w:space="0" w:color="BBBBBB"/>
              <w:right w:val="single" w:sz="3" w:space="0" w:color="BBBBBB"/>
            </w:tcBorders>
            <w:shd w:val="clear" w:color="auto" w:fill="1A3A6B"/>
            <w:tcMar>
              <w:top w:w="80" w:type="dxa"/>
              <w:left w:w="130" w:type="dxa"/>
              <w:bottom w:w="80" w:type="dxa"/>
              <w:right w:w="130" w:type="dxa"/>
            </w:tcMar>
            <w:vAlign w:val="center"/>
          </w:tcPr>
          <w:p w14:paraId="7BD44AEC" w14:textId="77777777" w:rsidR="00B732AE" w:rsidRPr="00FF3FE2" w:rsidRDefault="00000000">
            <w:pPr>
              <w:spacing w:before="40" w:after="40"/>
              <w:jc w:val="center"/>
            </w:pPr>
            <w:r w:rsidRPr="00FF3FE2">
              <w:rPr>
                <w:b/>
                <w:bCs/>
                <w:color w:val="FFFFFF"/>
                <w:sz w:val="17"/>
                <w:szCs w:val="17"/>
              </w:rPr>
              <w:t>Non-</w:t>
            </w:r>
            <w:proofErr w:type="spellStart"/>
            <w:r w:rsidRPr="00FF3FE2">
              <w:rPr>
                <w:b/>
                <w:bCs/>
                <w:color w:val="FFFFFF"/>
                <w:sz w:val="17"/>
                <w:szCs w:val="17"/>
              </w:rPr>
              <w:t>Eucl</w:t>
            </w:r>
            <w:proofErr w:type="spellEnd"/>
            <w:r w:rsidRPr="00FF3FE2">
              <w:rPr>
                <w:b/>
                <w:bCs/>
                <w:color w:val="FFFFFF"/>
                <w:sz w:val="17"/>
                <w:szCs w:val="17"/>
              </w:rPr>
              <w:t>.</w:t>
            </w:r>
          </w:p>
        </w:tc>
        <w:tc>
          <w:tcPr>
            <w:tcW w:w="1220" w:type="dxa"/>
            <w:tcBorders>
              <w:top w:val="single" w:sz="3" w:space="0" w:color="BBBBBB"/>
              <w:left w:val="single" w:sz="3" w:space="0" w:color="BBBBBB"/>
              <w:bottom w:val="single" w:sz="3" w:space="0" w:color="BBBBBB"/>
              <w:right w:val="single" w:sz="3" w:space="0" w:color="BBBBBB"/>
            </w:tcBorders>
            <w:shd w:val="clear" w:color="auto" w:fill="1A3A6B"/>
            <w:tcMar>
              <w:top w:w="80" w:type="dxa"/>
              <w:left w:w="130" w:type="dxa"/>
              <w:bottom w:w="80" w:type="dxa"/>
              <w:right w:w="130" w:type="dxa"/>
            </w:tcMar>
            <w:vAlign w:val="center"/>
          </w:tcPr>
          <w:p w14:paraId="1A4B45C9" w14:textId="77777777" w:rsidR="00B732AE" w:rsidRPr="00FF3FE2" w:rsidRDefault="00000000">
            <w:pPr>
              <w:spacing w:before="40" w:after="40"/>
              <w:jc w:val="center"/>
            </w:pPr>
            <w:r w:rsidRPr="00FF3FE2">
              <w:rPr>
                <w:b/>
                <w:bCs/>
                <w:color w:val="FFFFFF"/>
                <w:sz w:val="17"/>
                <w:szCs w:val="17"/>
              </w:rPr>
              <w:t>Formal Proof</w:t>
            </w:r>
          </w:p>
        </w:tc>
        <w:tc>
          <w:tcPr>
            <w:tcW w:w="1120" w:type="dxa"/>
            <w:tcBorders>
              <w:top w:val="single" w:sz="3" w:space="0" w:color="BBBBBB"/>
              <w:left w:val="single" w:sz="3" w:space="0" w:color="BBBBBB"/>
              <w:bottom w:val="single" w:sz="3" w:space="0" w:color="BBBBBB"/>
              <w:right w:val="single" w:sz="3" w:space="0" w:color="BBBBBB"/>
            </w:tcBorders>
            <w:shd w:val="clear" w:color="auto" w:fill="1A3A6B"/>
            <w:tcMar>
              <w:top w:w="80" w:type="dxa"/>
              <w:left w:w="130" w:type="dxa"/>
              <w:bottom w:w="80" w:type="dxa"/>
              <w:right w:w="130" w:type="dxa"/>
            </w:tcMar>
            <w:vAlign w:val="center"/>
          </w:tcPr>
          <w:p w14:paraId="54C0ED63" w14:textId="77777777" w:rsidR="00B732AE" w:rsidRPr="00FF3FE2" w:rsidRDefault="00000000">
            <w:pPr>
              <w:spacing w:before="40" w:after="40"/>
              <w:jc w:val="center"/>
            </w:pPr>
            <w:r w:rsidRPr="00FF3FE2">
              <w:rPr>
                <w:b/>
                <w:bCs/>
                <w:color w:val="FFFFFF"/>
                <w:sz w:val="17"/>
                <w:szCs w:val="17"/>
              </w:rPr>
              <w:t>Noise Rob.</w:t>
            </w:r>
          </w:p>
        </w:tc>
        <w:tc>
          <w:tcPr>
            <w:tcW w:w="1120" w:type="dxa"/>
            <w:tcBorders>
              <w:top w:val="single" w:sz="3" w:space="0" w:color="BBBBBB"/>
              <w:left w:val="single" w:sz="3" w:space="0" w:color="BBBBBB"/>
              <w:bottom w:val="single" w:sz="3" w:space="0" w:color="BBBBBB"/>
              <w:right w:val="single" w:sz="3" w:space="0" w:color="BBBBBB"/>
            </w:tcBorders>
            <w:shd w:val="clear" w:color="auto" w:fill="1A3A6B"/>
            <w:tcMar>
              <w:top w:w="80" w:type="dxa"/>
              <w:left w:w="130" w:type="dxa"/>
              <w:bottom w:w="80" w:type="dxa"/>
              <w:right w:w="130" w:type="dxa"/>
            </w:tcMar>
            <w:vAlign w:val="center"/>
          </w:tcPr>
          <w:p w14:paraId="085FBFBE" w14:textId="77777777" w:rsidR="00B732AE" w:rsidRPr="00FF3FE2" w:rsidRDefault="00000000">
            <w:pPr>
              <w:spacing w:before="40" w:after="40"/>
              <w:jc w:val="center"/>
            </w:pPr>
            <w:r w:rsidRPr="00FF3FE2">
              <w:rPr>
                <w:b/>
                <w:bCs/>
                <w:color w:val="FFFFFF"/>
                <w:sz w:val="17"/>
                <w:szCs w:val="17"/>
              </w:rPr>
              <w:t>Occ. Rob.</w:t>
            </w:r>
          </w:p>
        </w:tc>
      </w:tr>
      <w:tr w:rsidR="00B732AE" w:rsidRPr="00FF3FE2" w14:paraId="3D5FA566" w14:textId="77777777">
        <w:tblPrEx>
          <w:tblCellMar>
            <w:top w:w="0" w:type="dxa"/>
            <w:bottom w:w="0" w:type="dxa"/>
          </w:tblCellMar>
        </w:tblPrEx>
        <w:tc>
          <w:tcPr>
            <w:tcW w:w="1700" w:type="dxa"/>
            <w:tcBorders>
              <w:top w:val="single" w:sz="3" w:space="0" w:color="BBBBBB"/>
              <w:left w:val="single" w:sz="3" w:space="0" w:color="BBBBBB"/>
              <w:bottom w:val="single" w:sz="3" w:space="0" w:color="BBBBBB"/>
              <w:right w:val="single" w:sz="3" w:space="0" w:color="BBBBBB"/>
            </w:tcBorders>
            <w:shd w:val="clear" w:color="auto" w:fill="F2F5FF"/>
            <w:tcMar>
              <w:top w:w="80" w:type="dxa"/>
              <w:left w:w="130" w:type="dxa"/>
              <w:bottom w:w="80" w:type="dxa"/>
              <w:right w:w="130" w:type="dxa"/>
            </w:tcMar>
            <w:vAlign w:val="center"/>
          </w:tcPr>
          <w:p w14:paraId="58B33FD8" w14:textId="77777777" w:rsidR="00B732AE" w:rsidRPr="00FF3FE2" w:rsidRDefault="00000000">
            <w:pPr>
              <w:spacing w:before="40" w:after="40"/>
              <w:jc w:val="center"/>
            </w:pPr>
            <w:r w:rsidRPr="00FF3FE2">
              <w:rPr>
                <w:color w:val="222222"/>
                <w:sz w:val="17"/>
                <w:szCs w:val="17"/>
              </w:rPr>
              <w:t>Fourier EFD [8]</w:t>
            </w:r>
          </w:p>
        </w:tc>
        <w:tc>
          <w:tcPr>
            <w:tcW w:w="1240" w:type="dxa"/>
            <w:tcBorders>
              <w:top w:val="single" w:sz="3" w:space="0" w:color="BBBBBB"/>
              <w:left w:val="single" w:sz="3" w:space="0" w:color="BBBBBB"/>
              <w:bottom w:val="single" w:sz="3" w:space="0" w:color="BBBBBB"/>
              <w:right w:val="single" w:sz="3" w:space="0" w:color="BBBBBB"/>
            </w:tcBorders>
            <w:shd w:val="clear" w:color="auto" w:fill="F2F5FF"/>
            <w:tcMar>
              <w:top w:w="80" w:type="dxa"/>
              <w:left w:w="130" w:type="dxa"/>
              <w:bottom w:w="80" w:type="dxa"/>
              <w:right w:w="130" w:type="dxa"/>
            </w:tcMar>
            <w:vAlign w:val="center"/>
          </w:tcPr>
          <w:p w14:paraId="6FA52F16" w14:textId="77777777" w:rsidR="00B732AE" w:rsidRPr="00FF3FE2" w:rsidRDefault="00000000">
            <w:pPr>
              <w:spacing w:before="40" w:after="40"/>
              <w:jc w:val="center"/>
            </w:pPr>
            <w:r w:rsidRPr="00FF3FE2">
              <w:rPr>
                <w:rFonts w:ascii="Segoe UI Symbol" w:hAnsi="Segoe UI Symbol" w:cs="Segoe UI Symbol"/>
                <w:color w:val="1A5C1A"/>
                <w:sz w:val="17"/>
                <w:szCs w:val="17"/>
              </w:rPr>
              <w:t>✓</w:t>
            </w:r>
            <w:r w:rsidRPr="00FF3FE2">
              <w:rPr>
                <w:color w:val="1A5C1A"/>
                <w:sz w:val="17"/>
                <w:szCs w:val="17"/>
              </w:rPr>
              <w:t xml:space="preserve"> Full</w:t>
            </w:r>
          </w:p>
        </w:tc>
        <w:tc>
          <w:tcPr>
            <w:tcW w:w="1220" w:type="dxa"/>
            <w:tcBorders>
              <w:top w:val="single" w:sz="3" w:space="0" w:color="BBBBBB"/>
              <w:left w:val="single" w:sz="3" w:space="0" w:color="BBBBBB"/>
              <w:bottom w:val="single" w:sz="3" w:space="0" w:color="BBBBBB"/>
              <w:right w:val="single" w:sz="3" w:space="0" w:color="BBBBBB"/>
            </w:tcBorders>
            <w:shd w:val="clear" w:color="auto" w:fill="F2F5FF"/>
            <w:tcMar>
              <w:top w:w="80" w:type="dxa"/>
              <w:left w:w="130" w:type="dxa"/>
              <w:bottom w:w="80" w:type="dxa"/>
              <w:right w:w="130" w:type="dxa"/>
            </w:tcMar>
            <w:vAlign w:val="center"/>
          </w:tcPr>
          <w:p w14:paraId="2F0C553B" w14:textId="77777777" w:rsidR="00B732AE" w:rsidRPr="00FF3FE2" w:rsidRDefault="00000000">
            <w:pPr>
              <w:spacing w:before="40" w:after="40"/>
              <w:jc w:val="center"/>
            </w:pPr>
            <w:r w:rsidRPr="00FF3FE2">
              <w:rPr>
                <w:rFonts w:ascii="Segoe UI Symbol" w:hAnsi="Segoe UI Symbol" w:cs="Segoe UI Symbol"/>
                <w:color w:val="8B0000"/>
                <w:sz w:val="17"/>
                <w:szCs w:val="17"/>
              </w:rPr>
              <w:t>✗</w:t>
            </w:r>
          </w:p>
        </w:tc>
        <w:tc>
          <w:tcPr>
            <w:tcW w:w="1240" w:type="dxa"/>
            <w:tcBorders>
              <w:top w:val="single" w:sz="3" w:space="0" w:color="BBBBBB"/>
              <w:left w:val="single" w:sz="3" w:space="0" w:color="BBBBBB"/>
              <w:bottom w:val="single" w:sz="3" w:space="0" w:color="BBBBBB"/>
              <w:right w:val="single" w:sz="3" w:space="0" w:color="BBBBBB"/>
            </w:tcBorders>
            <w:shd w:val="clear" w:color="auto" w:fill="F2F5FF"/>
            <w:tcMar>
              <w:top w:w="80" w:type="dxa"/>
              <w:left w:w="130" w:type="dxa"/>
              <w:bottom w:w="80" w:type="dxa"/>
              <w:right w:w="130" w:type="dxa"/>
            </w:tcMar>
            <w:vAlign w:val="center"/>
          </w:tcPr>
          <w:p w14:paraId="072E8431" w14:textId="77777777" w:rsidR="00B732AE" w:rsidRPr="00FF3FE2" w:rsidRDefault="00000000">
            <w:pPr>
              <w:spacing w:before="40" w:after="40"/>
              <w:jc w:val="center"/>
            </w:pPr>
            <w:r w:rsidRPr="00FF3FE2">
              <w:rPr>
                <w:rFonts w:ascii="Segoe UI Symbol" w:hAnsi="Segoe UI Symbol" w:cs="Segoe UI Symbol"/>
                <w:color w:val="8B0000"/>
                <w:sz w:val="17"/>
                <w:szCs w:val="17"/>
              </w:rPr>
              <w:t>✗</w:t>
            </w:r>
          </w:p>
        </w:tc>
        <w:tc>
          <w:tcPr>
            <w:tcW w:w="1220" w:type="dxa"/>
            <w:tcBorders>
              <w:top w:val="single" w:sz="3" w:space="0" w:color="BBBBBB"/>
              <w:left w:val="single" w:sz="3" w:space="0" w:color="BBBBBB"/>
              <w:bottom w:val="single" w:sz="3" w:space="0" w:color="BBBBBB"/>
              <w:right w:val="single" w:sz="3" w:space="0" w:color="BBBBBB"/>
            </w:tcBorders>
            <w:shd w:val="clear" w:color="auto" w:fill="F2F5FF"/>
            <w:tcMar>
              <w:top w:w="80" w:type="dxa"/>
              <w:left w:w="130" w:type="dxa"/>
              <w:bottom w:w="80" w:type="dxa"/>
              <w:right w:w="130" w:type="dxa"/>
            </w:tcMar>
            <w:vAlign w:val="center"/>
          </w:tcPr>
          <w:p w14:paraId="1E91F16B" w14:textId="77777777" w:rsidR="00B732AE" w:rsidRPr="00FF3FE2" w:rsidRDefault="00000000">
            <w:pPr>
              <w:spacing w:before="40" w:after="40"/>
              <w:jc w:val="center"/>
            </w:pPr>
            <w:r w:rsidRPr="00FF3FE2">
              <w:rPr>
                <w:rFonts w:ascii="Segoe UI Symbol" w:hAnsi="Segoe UI Symbol" w:cs="Segoe UI Symbol"/>
                <w:color w:val="8B0000"/>
                <w:sz w:val="17"/>
                <w:szCs w:val="17"/>
              </w:rPr>
              <w:t>✗</w:t>
            </w:r>
          </w:p>
        </w:tc>
        <w:tc>
          <w:tcPr>
            <w:tcW w:w="1220" w:type="dxa"/>
            <w:tcBorders>
              <w:top w:val="single" w:sz="3" w:space="0" w:color="BBBBBB"/>
              <w:left w:val="single" w:sz="3" w:space="0" w:color="BBBBBB"/>
              <w:bottom w:val="single" w:sz="3" w:space="0" w:color="BBBBBB"/>
              <w:right w:val="single" w:sz="3" w:space="0" w:color="BBBBBB"/>
            </w:tcBorders>
            <w:shd w:val="clear" w:color="auto" w:fill="F2F5FF"/>
            <w:tcMar>
              <w:top w:w="80" w:type="dxa"/>
              <w:left w:w="130" w:type="dxa"/>
              <w:bottom w:w="80" w:type="dxa"/>
              <w:right w:w="130" w:type="dxa"/>
            </w:tcMar>
            <w:vAlign w:val="center"/>
          </w:tcPr>
          <w:p w14:paraId="5FE75063" w14:textId="77777777" w:rsidR="00B732AE" w:rsidRPr="00FF3FE2" w:rsidRDefault="00000000">
            <w:pPr>
              <w:spacing w:before="40" w:after="40"/>
              <w:jc w:val="center"/>
            </w:pPr>
            <w:r w:rsidRPr="00FF3FE2">
              <w:rPr>
                <w:color w:val="222222"/>
                <w:sz w:val="17"/>
                <w:szCs w:val="17"/>
              </w:rPr>
              <w:t>Partial</w:t>
            </w:r>
          </w:p>
        </w:tc>
        <w:tc>
          <w:tcPr>
            <w:tcW w:w="1120" w:type="dxa"/>
            <w:tcBorders>
              <w:top w:val="single" w:sz="3" w:space="0" w:color="BBBBBB"/>
              <w:left w:val="single" w:sz="3" w:space="0" w:color="BBBBBB"/>
              <w:bottom w:val="single" w:sz="3" w:space="0" w:color="BBBBBB"/>
              <w:right w:val="single" w:sz="3" w:space="0" w:color="BBBBBB"/>
            </w:tcBorders>
            <w:shd w:val="clear" w:color="auto" w:fill="F2F5FF"/>
            <w:tcMar>
              <w:top w:w="80" w:type="dxa"/>
              <w:left w:w="130" w:type="dxa"/>
              <w:bottom w:w="80" w:type="dxa"/>
              <w:right w:w="130" w:type="dxa"/>
            </w:tcMar>
            <w:vAlign w:val="center"/>
          </w:tcPr>
          <w:p w14:paraId="4803E0D9" w14:textId="77777777" w:rsidR="00B732AE" w:rsidRPr="00FF3FE2" w:rsidRDefault="00000000">
            <w:pPr>
              <w:spacing w:before="40" w:after="40"/>
              <w:jc w:val="center"/>
            </w:pPr>
            <w:r w:rsidRPr="00FF3FE2">
              <w:rPr>
                <w:color w:val="222222"/>
                <w:sz w:val="17"/>
                <w:szCs w:val="17"/>
              </w:rPr>
              <w:t>Mod.</w:t>
            </w:r>
          </w:p>
        </w:tc>
        <w:tc>
          <w:tcPr>
            <w:tcW w:w="1120" w:type="dxa"/>
            <w:tcBorders>
              <w:top w:val="single" w:sz="3" w:space="0" w:color="BBBBBB"/>
              <w:left w:val="single" w:sz="3" w:space="0" w:color="BBBBBB"/>
              <w:bottom w:val="single" w:sz="3" w:space="0" w:color="BBBBBB"/>
              <w:right w:val="single" w:sz="3" w:space="0" w:color="BBBBBB"/>
            </w:tcBorders>
            <w:shd w:val="clear" w:color="auto" w:fill="F2F5FF"/>
            <w:tcMar>
              <w:top w:w="80" w:type="dxa"/>
              <w:left w:w="130" w:type="dxa"/>
              <w:bottom w:w="80" w:type="dxa"/>
              <w:right w:w="130" w:type="dxa"/>
            </w:tcMar>
            <w:vAlign w:val="center"/>
          </w:tcPr>
          <w:p w14:paraId="57D5BA79" w14:textId="77777777" w:rsidR="00B732AE" w:rsidRPr="00FF3FE2" w:rsidRDefault="00000000">
            <w:pPr>
              <w:spacing w:before="40" w:after="40"/>
              <w:jc w:val="center"/>
            </w:pPr>
            <w:r w:rsidRPr="00FF3FE2">
              <w:rPr>
                <w:color w:val="222222"/>
                <w:sz w:val="17"/>
                <w:szCs w:val="17"/>
              </w:rPr>
              <w:t>Poor</w:t>
            </w:r>
          </w:p>
        </w:tc>
      </w:tr>
      <w:tr w:rsidR="00B732AE" w:rsidRPr="00FF3FE2" w14:paraId="5E332AE9" w14:textId="77777777">
        <w:tblPrEx>
          <w:tblCellMar>
            <w:top w:w="0" w:type="dxa"/>
            <w:bottom w:w="0" w:type="dxa"/>
          </w:tblCellMar>
        </w:tblPrEx>
        <w:tc>
          <w:tcPr>
            <w:tcW w:w="170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1959140C" w14:textId="77777777" w:rsidR="00B732AE" w:rsidRPr="00FF3FE2" w:rsidRDefault="00000000">
            <w:pPr>
              <w:spacing w:before="40" w:after="40"/>
              <w:jc w:val="center"/>
            </w:pPr>
            <w:r w:rsidRPr="00FF3FE2">
              <w:rPr>
                <w:color w:val="222222"/>
                <w:sz w:val="17"/>
                <w:szCs w:val="17"/>
              </w:rPr>
              <w:t>Wavelet [16]</w:t>
            </w:r>
          </w:p>
        </w:tc>
        <w:tc>
          <w:tcPr>
            <w:tcW w:w="124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0962C99C" w14:textId="77777777" w:rsidR="00B732AE" w:rsidRPr="00FF3FE2" w:rsidRDefault="00000000">
            <w:pPr>
              <w:spacing w:before="40" w:after="40"/>
              <w:jc w:val="center"/>
            </w:pPr>
            <w:r w:rsidRPr="00FF3FE2">
              <w:rPr>
                <w:rFonts w:ascii="Segoe UI Symbol" w:hAnsi="Segoe UI Symbol" w:cs="Segoe UI Symbol"/>
                <w:color w:val="8B0000"/>
                <w:sz w:val="17"/>
                <w:szCs w:val="17"/>
              </w:rPr>
              <w:t>✗</w:t>
            </w:r>
          </w:p>
        </w:tc>
        <w:tc>
          <w:tcPr>
            <w:tcW w:w="122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2DDD1075" w14:textId="77777777" w:rsidR="00B732AE" w:rsidRPr="00FF3FE2" w:rsidRDefault="00000000">
            <w:pPr>
              <w:spacing w:before="40" w:after="40"/>
              <w:jc w:val="center"/>
            </w:pPr>
            <w:r w:rsidRPr="00FF3FE2">
              <w:rPr>
                <w:rFonts w:ascii="Segoe UI Symbol" w:hAnsi="Segoe UI Symbol" w:cs="Segoe UI Symbol"/>
                <w:color w:val="1A5C1A"/>
                <w:sz w:val="17"/>
                <w:szCs w:val="17"/>
              </w:rPr>
              <w:t>✓</w:t>
            </w:r>
            <w:r w:rsidRPr="00FF3FE2">
              <w:rPr>
                <w:color w:val="1A5C1A"/>
                <w:sz w:val="17"/>
                <w:szCs w:val="17"/>
              </w:rPr>
              <w:t xml:space="preserve"> Full</w:t>
            </w:r>
          </w:p>
        </w:tc>
        <w:tc>
          <w:tcPr>
            <w:tcW w:w="124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14CD277B" w14:textId="77777777" w:rsidR="00B732AE" w:rsidRPr="00FF3FE2" w:rsidRDefault="00000000">
            <w:pPr>
              <w:spacing w:before="40" w:after="40"/>
              <w:jc w:val="center"/>
            </w:pPr>
            <w:r w:rsidRPr="00FF3FE2">
              <w:rPr>
                <w:rFonts w:ascii="Segoe UI Symbol" w:hAnsi="Segoe UI Symbol" w:cs="Segoe UI Symbol"/>
                <w:color w:val="8B0000"/>
                <w:sz w:val="17"/>
                <w:szCs w:val="17"/>
              </w:rPr>
              <w:t>✗</w:t>
            </w:r>
          </w:p>
        </w:tc>
        <w:tc>
          <w:tcPr>
            <w:tcW w:w="122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1D705E65" w14:textId="77777777" w:rsidR="00B732AE" w:rsidRPr="00FF3FE2" w:rsidRDefault="00000000">
            <w:pPr>
              <w:spacing w:before="40" w:after="40"/>
              <w:jc w:val="center"/>
            </w:pPr>
            <w:r w:rsidRPr="00FF3FE2">
              <w:rPr>
                <w:rFonts w:ascii="Segoe UI Symbol" w:hAnsi="Segoe UI Symbol" w:cs="Segoe UI Symbol"/>
                <w:color w:val="8B0000"/>
                <w:sz w:val="17"/>
                <w:szCs w:val="17"/>
              </w:rPr>
              <w:t>✗</w:t>
            </w:r>
          </w:p>
        </w:tc>
        <w:tc>
          <w:tcPr>
            <w:tcW w:w="122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7AE211D1" w14:textId="77777777" w:rsidR="00B732AE" w:rsidRPr="00FF3FE2" w:rsidRDefault="00000000">
            <w:pPr>
              <w:spacing w:before="40" w:after="40"/>
              <w:jc w:val="center"/>
            </w:pPr>
            <w:r w:rsidRPr="00FF3FE2">
              <w:rPr>
                <w:color w:val="222222"/>
                <w:sz w:val="17"/>
                <w:szCs w:val="17"/>
              </w:rPr>
              <w:t>Partial</w:t>
            </w:r>
          </w:p>
        </w:tc>
        <w:tc>
          <w:tcPr>
            <w:tcW w:w="112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4DD289EB" w14:textId="77777777" w:rsidR="00B732AE" w:rsidRPr="00FF3FE2" w:rsidRDefault="00000000">
            <w:pPr>
              <w:spacing w:before="40" w:after="40"/>
              <w:jc w:val="center"/>
            </w:pPr>
            <w:r w:rsidRPr="00FF3FE2">
              <w:rPr>
                <w:color w:val="222222"/>
                <w:sz w:val="17"/>
                <w:szCs w:val="17"/>
              </w:rPr>
              <w:t>Mod.</w:t>
            </w:r>
          </w:p>
        </w:tc>
        <w:tc>
          <w:tcPr>
            <w:tcW w:w="112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2101D41D" w14:textId="77777777" w:rsidR="00B732AE" w:rsidRPr="00FF3FE2" w:rsidRDefault="00000000">
            <w:pPr>
              <w:spacing w:before="40" w:after="40"/>
              <w:jc w:val="center"/>
            </w:pPr>
            <w:r w:rsidRPr="00FF3FE2">
              <w:rPr>
                <w:color w:val="222222"/>
                <w:sz w:val="17"/>
                <w:szCs w:val="17"/>
              </w:rPr>
              <w:t>Mod.</w:t>
            </w:r>
          </w:p>
        </w:tc>
      </w:tr>
      <w:tr w:rsidR="00B732AE" w:rsidRPr="00FF3FE2" w14:paraId="252BACD1" w14:textId="77777777">
        <w:tblPrEx>
          <w:tblCellMar>
            <w:top w:w="0" w:type="dxa"/>
            <w:bottom w:w="0" w:type="dxa"/>
          </w:tblCellMar>
        </w:tblPrEx>
        <w:tc>
          <w:tcPr>
            <w:tcW w:w="1700" w:type="dxa"/>
            <w:tcBorders>
              <w:top w:val="single" w:sz="3" w:space="0" w:color="BBBBBB"/>
              <w:left w:val="single" w:sz="3" w:space="0" w:color="BBBBBB"/>
              <w:bottom w:val="single" w:sz="3" w:space="0" w:color="BBBBBB"/>
              <w:right w:val="single" w:sz="3" w:space="0" w:color="BBBBBB"/>
            </w:tcBorders>
            <w:shd w:val="clear" w:color="auto" w:fill="F2F5FF"/>
            <w:tcMar>
              <w:top w:w="80" w:type="dxa"/>
              <w:left w:w="130" w:type="dxa"/>
              <w:bottom w:w="80" w:type="dxa"/>
              <w:right w:w="130" w:type="dxa"/>
            </w:tcMar>
            <w:vAlign w:val="center"/>
          </w:tcPr>
          <w:p w14:paraId="6C020655" w14:textId="77777777" w:rsidR="00B732AE" w:rsidRPr="00FF3FE2" w:rsidRDefault="00000000">
            <w:pPr>
              <w:spacing w:before="40" w:after="40"/>
              <w:jc w:val="center"/>
            </w:pPr>
            <w:r w:rsidRPr="00FF3FE2">
              <w:rPr>
                <w:color w:val="222222"/>
                <w:sz w:val="17"/>
                <w:szCs w:val="17"/>
              </w:rPr>
              <w:t xml:space="preserve">F+W </w:t>
            </w:r>
            <w:proofErr w:type="spellStart"/>
            <w:r w:rsidRPr="00FF3FE2">
              <w:rPr>
                <w:color w:val="222222"/>
                <w:sz w:val="17"/>
                <w:szCs w:val="17"/>
              </w:rPr>
              <w:t>Concat</w:t>
            </w:r>
            <w:proofErr w:type="spellEnd"/>
            <w:r w:rsidRPr="00FF3FE2">
              <w:rPr>
                <w:color w:val="222222"/>
                <w:sz w:val="17"/>
                <w:szCs w:val="17"/>
              </w:rPr>
              <w:t>.</w:t>
            </w:r>
          </w:p>
        </w:tc>
        <w:tc>
          <w:tcPr>
            <w:tcW w:w="1240" w:type="dxa"/>
            <w:tcBorders>
              <w:top w:val="single" w:sz="3" w:space="0" w:color="BBBBBB"/>
              <w:left w:val="single" w:sz="3" w:space="0" w:color="BBBBBB"/>
              <w:bottom w:val="single" w:sz="3" w:space="0" w:color="BBBBBB"/>
              <w:right w:val="single" w:sz="3" w:space="0" w:color="BBBBBB"/>
            </w:tcBorders>
            <w:shd w:val="clear" w:color="auto" w:fill="F2F5FF"/>
            <w:tcMar>
              <w:top w:w="80" w:type="dxa"/>
              <w:left w:w="130" w:type="dxa"/>
              <w:bottom w:w="80" w:type="dxa"/>
              <w:right w:w="130" w:type="dxa"/>
            </w:tcMar>
            <w:vAlign w:val="center"/>
          </w:tcPr>
          <w:p w14:paraId="24B9D4FB" w14:textId="77777777" w:rsidR="00B732AE" w:rsidRPr="00FF3FE2" w:rsidRDefault="00000000">
            <w:pPr>
              <w:spacing w:before="40" w:after="40"/>
              <w:jc w:val="center"/>
            </w:pPr>
            <w:r w:rsidRPr="00FF3FE2">
              <w:rPr>
                <w:rFonts w:ascii="Segoe UI Symbol" w:hAnsi="Segoe UI Symbol" w:cs="Segoe UI Symbol"/>
                <w:color w:val="1A5C1A"/>
                <w:sz w:val="17"/>
                <w:szCs w:val="17"/>
              </w:rPr>
              <w:t>✓</w:t>
            </w:r>
          </w:p>
        </w:tc>
        <w:tc>
          <w:tcPr>
            <w:tcW w:w="1220" w:type="dxa"/>
            <w:tcBorders>
              <w:top w:val="single" w:sz="3" w:space="0" w:color="BBBBBB"/>
              <w:left w:val="single" w:sz="3" w:space="0" w:color="BBBBBB"/>
              <w:bottom w:val="single" w:sz="3" w:space="0" w:color="BBBBBB"/>
              <w:right w:val="single" w:sz="3" w:space="0" w:color="BBBBBB"/>
            </w:tcBorders>
            <w:shd w:val="clear" w:color="auto" w:fill="F2F5FF"/>
            <w:tcMar>
              <w:top w:w="80" w:type="dxa"/>
              <w:left w:w="130" w:type="dxa"/>
              <w:bottom w:w="80" w:type="dxa"/>
              <w:right w:w="130" w:type="dxa"/>
            </w:tcMar>
            <w:vAlign w:val="center"/>
          </w:tcPr>
          <w:p w14:paraId="082C5C75" w14:textId="77777777" w:rsidR="00B732AE" w:rsidRPr="00FF3FE2" w:rsidRDefault="00000000">
            <w:pPr>
              <w:spacing w:before="40" w:after="40"/>
              <w:jc w:val="center"/>
            </w:pPr>
            <w:r w:rsidRPr="00FF3FE2">
              <w:rPr>
                <w:rFonts w:ascii="Segoe UI Symbol" w:hAnsi="Segoe UI Symbol" w:cs="Segoe UI Symbol"/>
                <w:color w:val="1A5C1A"/>
                <w:sz w:val="17"/>
                <w:szCs w:val="17"/>
              </w:rPr>
              <w:t>✓</w:t>
            </w:r>
            <w:r w:rsidRPr="00FF3FE2">
              <w:rPr>
                <w:color w:val="1A5C1A"/>
                <w:sz w:val="17"/>
                <w:szCs w:val="17"/>
              </w:rPr>
              <w:t xml:space="preserve"> </w:t>
            </w:r>
            <w:proofErr w:type="spellStart"/>
            <w:r w:rsidRPr="00FF3FE2">
              <w:rPr>
                <w:color w:val="1A5C1A"/>
                <w:sz w:val="17"/>
                <w:szCs w:val="17"/>
              </w:rPr>
              <w:t>Indep</w:t>
            </w:r>
            <w:proofErr w:type="spellEnd"/>
            <w:r w:rsidRPr="00FF3FE2">
              <w:rPr>
                <w:color w:val="1A5C1A"/>
                <w:sz w:val="17"/>
                <w:szCs w:val="17"/>
              </w:rPr>
              <w:t>.</w:t>
            </w:r>
          </w:p>
        </w:tc>
        <w:tc>
          <w:tcPr>
            <w:tcW w:w="1240" w:type="dxa"/>
            <w:tcBorders>
              <w:top w:val="single" w:sz="3" w:space="0" w:color="BBBBBB"/>
              <w:left w:val="single" w:sz="3" w:space="0" w:color="BBBBBB"/>
              <w:bottom w:val="single" w:sz="3" w:space="0" w:color="BBBBBB"/>
              <w:right w:val="single" w:sz="3" w:space="0" w:color="BBBBBB"/>
            </w:tcBorders>
            <w:shd w:val="clear" w:color="auto" w:fill="F2F5FF"/>
            <w:tcMar>
              <w:top w:w="80" w:type="dxa"/>
              <w:left w:w="130" w:type="dxa"/>
              <w:bottom w:w="80" w:type="dxa"/>
              <w:right w:w="130" w:type="dxa"/>
            </w:tcMar>
            <w:vAlign w:val="center"/>
          </w:tcPr>
          <w:p w14:paraId="28E39B9E" w14:textId="77777777" w:rsidR="00B732AE" w:rsidRPr="00FF3FE2" w:rsidRDefault="00000000">
            <w:pPr>
              <w:spacing w:before="40" w:after="40"/>
              <w:jc w:val="center"/>
            </w:pPr>
            <w:r w:rsidRPr="00FF3FE2">
              <w:rPr>
                <w:rFonts w:ascii="Segoe UI Symbol" w:hAnsi="Segoe UI Symbol" w:cs="Segoe UI Symbol"/>
                <w:color w:val="8B0000"/>
                <w:sz w:val="17"/>
                <w:szCs w:val="17"/>
              </w:rPr>
              <w:t>✗</w:t>
            </w:r>
          </w:p>
        </w:tc>
        <w:tc>
          <w:tcPr>
            <w:tcW w:w="1220" w:type="dxa"/>
            <w:tcBorders>
              <w:top w:val="single" w:sz="3" w:space="0" w:color="BBBBBB"/>
              <w:left w:val="single" w:sz="3" w:space="0" w:color="BBBBBB"/>
              <w:bottom w:val="single" w:sz="3" w:space="0" w:color="BBBBBB"/>
              <w:right w:val="single" w:sz="3" w:space="0" w:color="BBBBBB"/>
            </w:tcBorders>
            <w:shd w:val="clear" w:color="auto" w:fill="F2F5FF"/>
            <w:tcMar>
              <w:top w:w="80" w:type="dxa"/>
              <w:left w:w="130" w:type="dxa"/>
              <w:bottom w:w="80" w:type="dxa"/>
              <w:right w:w="130" w:type="dxa"/>
            </w:tcMar>
            <w:vAlign w:val="center"/>
          </w:tcPr>
          <w:p w14:paraId="3ED5CF32" w14:textId="77777777" w:rsidR="00B732AE" w:rsidRPr="00FF3FE2" w:rsidRDefault="00000000">
            <w:pPr>
              <w:spacing w:before="40" w:after="40"/>
              <w:jc w:val="center"/>
            </w:pPr>
            <w:r w:rsidRPr="00FF3FE2">
              <w:rPr>
                <w:rFonts w:ascii="Segoe UI Symbol" w:hAnsi="Segoe UI Symbol" w:cs="Segoe UI Symbol"/>
                <w:color w:val="8B0000"/>
                <w:sz w:val="17"/>
                <w:szCs w:val="17"/>
              </w:rPr>
              <w:t>✗</w:t>
            </w:r>
          </w:p>
        </w:tc>
        <w:tc>
          <w:tcPr>
            <w:tcW w:w="1220" w:type="dxa"/>
            <w:tcBorders>
              <w:top w:val="single" w:sz="3" w:space="0" w:color="BBBBBB"/>
              <w:left w:val="single" w:sz="3" w:space="0" w:color="BBBBBB"/>
              <w:bottom w:val="single" w:sz="3" w:space="0" w:color="BBBBBB"/>
              <w:right w:val="single" w:sz="3" w:space="0" w:color="BBBBBB"/>
            </w:tcBorders>
            <w:shd w:val="clear" w:color="auto" w:fill="F2F5FF"/>
            <w:tcMar>
              <w:top w:w="80" w:type="dxa"/>
              <w:left w:w="130" w:type="dxa"/>
              <w:bottom w:w="80" w:type="dxa"/>
              <w:right w:w="130" w:type="dxa"/>
            </w:tcMar>
            <w:vAlign w:val="center"/>
          </w:tcPr>
          <w:p w14:paraId="2B7A7FFD" w14:textId="77777777" w:rsidR="00B732AE" w:rsidRPr="00FF3FE2" w:rsidRDefault="00000000">
            <w:pPr>
              <w:spacing w:before="40" w:after="40"/>
              <w:jc w:val="center"/>
            </w:pPr>
            <w:r w:rsidRPr="00FF3FE2">
              <w:rPr>
                <w:color w:val="222222"/>
                <w:sz w:val="17"/>
                <w:szCs w:val="17"/>
              </w:rPr>
              <w:t>Partial</w:t>
            </w:r>
          </w:p>
        </w:tc>
        <w:tc>
          <w:tcPr>
            <w:tcW w:w="1120" w:type="dxa"/>
            <w:tcBorders>
              <w:top w:val="single" w:sz="3" w:space="0" w:color="BBBBBB"/>
              <w:left w:val="single" w:sz="3" w:space="0" w:color="BBBBBB"/>
              <w:bottom w:val="single" w:sz="3" w:space="0" w:color="BBBBBB"/>
              <w:right w:val="single" w:sz="3" w:space="0" w:color="BBBBBB"/>
            </w:tcBorders>
            <w:shd w:val="clear" w:color="auto" w:fill="F2F5FF"/>
            <w:tcMar>
              <w:top w:w="80" w:type="dxa"/>
              <w:left w:w="130" w:type="dxa"/>
              <w:bottom w:w="80" w:type="dxa"/>
              <w:right w:w="130" w:type="dxa"/>
            </w:tcMar>
            <w:vAlign w:val="center"/>
          </w:tcPr>
          <w:p w14:paraId="158CEA0D" w14:textId="77777777" w:rsidR="00B732AE" w:rsidRPr="00FF3FE2" w:rsidRDefault="00000000">
            <w:pPr>
              <w:spacing w:before="40" w:after="40"/>
              <w:jc w:val="center"/>
            </w:pPr>
            <w:r w:rsidRPr="00FF3FE2">
              <w:rPr>
                <w:color w:val="222222"/>
                <w:sz w:val="17"/>
                <w:szCs w:val="17"/>
              </w:rPr>
              <w:t>Mod.</w:t>
            </w:r>
          </w:p>
        </w:tc>
        <w:tc>
          <w:tcPr>
            <w:tcW w:w="1120" w:type="dxa"/>
            <w:tcBorders>
              <w:top w:val="single" w:sz="3" w:space="0" w:color="BBBBBB"/>
              <w:left w:val="single" w:sz="3" w:space="0" w:color="BBBBBB"/>
              <w:bottom w:val="single" w:sz="3" w:space="0" w:color="BBBBBB"/>
              <w:right w:val="single" w:sz="3" w:space="0" w:color="BBBBBB"/>
            </w:tcBorders>
            <w:shd w:val="clear" w:color="auto" w:fill="F2F5FF"/>
            <w:tcMar>
              <w:top w:w="80" w:type="dxa"/>
              <w:left w:w="130" w:type="dxa"/>
              <w:bottom w:w="80" w:type="dxa"/>
              <w:right w:w="130" w:type="dxa"/>
            </w:tcMar>
            <w:vAlign w:val="center"/>
          </w:tcPr>
          <w:p w14:paraId="59FB9FBB" w14:textId="77777777" w:rsidR="00B732AE" w:rsidRPr="00FF3FE2" w:rsidRDefault="00000000">
            <w:pPr>
              <w:spacing w:before="40" w:after="40"/>
              <w:jc w:val="center"/>
            </w:pPr>
            <w:r w:rsidRPr="00FF3FE2">
              <w:rPr>
                <w:color w:val="222222"/>
                <w:sz w:val="17"/>
                <w:szCs w:val="17"/>
              </w:rPr>
              <w:t>Mod.</w:t>
            </w:r>
          </w:p>
        </w:tc>
      </w:tr>
      <w:tr w:rsidR="00B732AE" w:rsidRPr="00FF3FE2" w14:paraId="2B216710" w14:textId="77777777">
        <w:tblPrEx>
          <w:tblCellMar>
            <w:top w:w="0" w:type="dxa"/>
            <w:bottom w:w="0" w:type="dxa"/>
          </w:tblCellMar>
        </w:tblPrEx>
        <w:tc>
          <w:tcPr>
            <w:tcW w:w="170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17918646" w14:textId="77777777" w:rsidR="00B732AE" w:rsidRPr="00FF3FE2" w:rsidRDefault="00000000">
            <w:pPr>
              <w:spacing w:before="40" w:after="40"/>
              <w:jc w:val="center"/>
            </w:pPr>
            <w:r w:rsidRPr="00FF3FE2">
              <w:rPr>
                <w:color w:val="222222"/>
                <w:sz w:val="17"/>
                <w:szCs w:val="17"/>
              </w:rPr>
              <w:t>Zernike [28]</w:t>
            </w:r>
          </w:p>
        </w:tc>
        <w:tc>
          <w:tcPr>
            <w:tcW w:w="124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44D8F5AF" w14:textId="77777777" w:rsidR="00B732AE" w:rsidRPr="00FF3FE2" w:rsidRDefault="00000000">
            <w:pPr>
              <w:spacing w:before="40" w:after="40"/>
              <w:jc w:val="center"/>
            </w:pPr>
            <w:r w:rsidRPr="00FF3FE2">
              <w:rPr>
                <w:rFonts w:ascii="Segoe UI Symbol" w:hAnsi="Segoe UI Symbol" w:cs="Segoe UI Symbol"/>
                <w:color w:val="1A5C1A"/>
                <w:sz w:val="17"/>
                <w:szCs w:val="17"/>
              </w:rPr>
              <w:t>✓</w:t>
            </w:r>
            <w:r w:rsidRPr="00FF3FE2">
              <w:rPr>
                <w:color w:val="1A5C1A"/>
                <w:sz w:val="17"/>
                <w:szCs w:val="17"/>
              </w:rPr>
              <w:t xml:space="preserve"> Global</w:t>
            </w:r>
          </w:p>
        </w:tc>
        <w:tc>
          <w:tcPr>
            <w:tcW w:w="122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525614A3" w14:textId="77777777" w:rsidR="00B732AE" w:rsidRPr="00FF3FE2" w:rsidRDefault="00000000">
            <w:pPr>
              <w:spacing w:before="40" w:after="40"/>
              <w:jc w:val="center"/>
            </w:pPr>
            <w:r w:rsidRPr="00FF3FE2">
              <w:rPr>
                <w:rFonts w:ascii="Segoe UI Symbol" w:hAnsi="Segoe UI Symbol" w:cs="Segoe UI Symbol"/>
                <w:color w:val="8B0000"/>
                <w:sz w:val="17"/>
                <w:szCs w:val="17"/>
              </w:rPr>
              <w:t>✗</w:t>
            </w:r>
          </w:p>
        </w:tc>
        <w:tc>
          <w:tcPr>
            <w:tcW w:w="124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4B6297CB" w14:textId="77777777" w:rsidR="00B732AE" w:rsidRPr="00FF3FE2" w:rsidRDefault="00000000">
            <w:pPr>
              <w:spacing w:before="40" w:after="40"/>
              <w:jc w:val="center"/>
            </w:pPr>
            <w:r w:rsidRPr="00FF3FE2">
              <w:rPr>
                <w:rFonts w:ascii="Segoe UI Symbol" w:hAnsi="Segoe UI Symbol" w:cs="Segoe UI Symbol"/>
                <w:color w:val="8B0000"/>
                <w:sz w:val="17"/>
                <w:szCs w:val="17"/>
              </w:rPr>
              <w:t>✗</w:t>
            </w:r>
          </w:p>
        </w:tc>
        <w:tc>
          <w:tcPr>
            <w:tcW w:w="122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206613C6" w14:textId="77777777" w:rsidR="00B732AE" w:rsidRPr="00FF3FE2" w:rsidRDefault="00000000">
            <w:pPr>
              <w:spacing w:before="40" w:after="40"/>
              <w:jc w:val="center"/>
            </w:pPr>
            <w:r w:rsidRPr="00FF3FE2">
              <w:rPr>
                <w:rFonts w:ascii="Segoe UI Symbol" w:hAnsi="Segoe UI Symbol" w:cs="Segoe UI Symbol"/>
                <w:color w:val="8B0000"/>
                <w:sz w:val="17"/>
                <w:szCs w:val="17"/>
              </w:rPr>
              <w:t>✗</w:t>
            </w:r>
          </w:p>
        </w:tc>
        <w:tc>
          <w:tcPr>
            <w:tcW w:w="122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07116248" w14:textId="77777777" w:rsidR="00B732AE" w:rsidRPr="00FF3FE2" w:rsidRDefault="00000000">
            <w:pPr>
              <w:spacing w:before="40" w:after="40"/>
              <w:jc w:val="center"/>
            </w:pPr>
            <w:r w:rsidRPr="00FF3FE2">
              <w:rPr>
                <w:color w:val="222222"/>
                <w:sz w:val="17"/>
                <w:szCs w:val="17"/>
              </w:rPr>
              <w:t>Rotation</w:t>
            </w:r>
          </w:p>
        </w:tc>
        <w:tc>
          <w:tcPr>
            <w:tcW w:w="112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40F42558" w14:textId="77777777" w:rsidR="00B732AE" w:rsidRPr="00FF3FE2" w:rsidRDefault="00000000">
            <w:pPr>
              <w:spacing w:before="40" w:after="40"/>
              <w:jc w:val="center"/>
            </w:pPr>
            <w:r w:rsidRPr="00FF3FE2">
              <w:rPr>
                <w:color w:val="222222"/>
                <w:sz w:val="17"/>
                <w:szCs w:val="17"/>
              </w:rPr>
              <w:t>Mod.</w:t>
            </w:r>
          </w:p>
        </w:tc>
        <w:tc>
          <w:tcPr>
            <w:tcW w:w="112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71497BDB" w14:textId="77777777" w:rsidR="00B732AE" w:rsidRPr="00FF3FE2" w:rsidRDefault="00000000">
            <w:pPr>
              <w:spacing w:before="40" w:after="40"/>
              <w:jc w:val="center"/>
            </w:pPr>
            <w:r w:rsidRPr="00FF3FE2">
              <w:rPr>
                <w:color w:val="222222"/>
                <w:sz w:val="17"/>
                <w:szCs w:val="17"/>
              </w:rPr>
              <w:t>Poor</w:t>
            </w:r>
          </w:p>
        </w:tc>
      </w:tr>
      <w:tr w:rsidR="00B732AE" w:rsidRPr="00FF3FE2" w14:paraId="789FB879" w14:textId="77777777">
        <w:tblPrEx>
          <w:tblCellMar>
            <w:top w:w="0" w:type="dxa"/>
            <w:bottom w:w="0" w:type="dxa"/>
          </w:tblCellMar>
        </w:tblPrEx>
        <w:tc>
          <w:tcPr>
            <w:tcW w:w="1700" w:type="dxa"/>
            <w:tcBorders>
              <w:top w:val="single" w:sz="3" w:space="0" w:color="BBBBBB"/>
              <w:left w:val="single" w:sz="3" w:space="0" w:color="BBBBBB"/>
              <w:bottom w:val="single" w:sz="3" w:space="0" w:color="BBBBBB"/>
              <w:right w:val="single" w:sz="3" w:space="0" w:color="BBBBBB"/>
            </w:tcBorders>
            <w:shd w:val="clear" w:color="auto" w:fill="F2F5FF"/>
            <w:tcMar>
              <w:top w:w="80" w:type="dxa"/>
              <w:left w:w="130" w:type="dxa"/>
              <w:bottom w:w="80" w:type="dxa"/>
              <w:right w:w="130" w:type="dxa"/>
            </w:tcMar>
            <w:vAlign w:val="center"/>
          </w:tcPr>
          <w:p w14:paraId="3B7B96DF" w14:textId="77777777" w:rsidR="00B732AE" w:rsidRPr="00FF3FE2" w:rsidRDefault="00000000">
            <w:pPr>
              <w:spacing w:before="40" w:after="40"/>
              <w:jc w:val="center"/>
            </w:pPr>
            <w:r w:rsidRPr="00FF3FE2">
              <w:rPr>
                <w:color w:val="222222"/>
                <w:sz w:val="17"/>
                <w:szCs w:val="17"/>
              </w:rPr>
              <w:t xml:space="preserve">Shape </w:t>
            </w:r>
            <w:proofErr w:type="spellStart"/>
            <w:r w:rsidRPr="00FF3FE2">
              <w:rPr>
                <w:color w:val="222222"/>
                <w:sz w:val="17"/>
                <w:szCs w:val="17"/>
              </w:rPr>
              <w:t>Ctx</w:t>
            </w:r>
            <w:proofErr w:type="spellEnd"/>
            <w:r w:rsidRPr="00FF3FE2">
              <w:rPr>
                <w:color w:val="222222"/>
                <w:sz w:val="17"/>
                <w:szCs w:val="17"/>
              </w:rPr>
              <w:t xml:space="preserve"> [29]</w:t>
            </w:r>
          </w:p>
        </w:tc>
        <w:tc>
          <w:tcPr>
            <w:tcW w:w="1240" w:type="dxa"/>
            <w:tcBorders>
              <w:top w:val="single" w:sz="3" w:space="0" w:color="BBBBBB"/>
              <w:left w:val="single" w:sz="3" w:space="0" w:color="BBBBBB"/>
              <w:bottom w:val="single" w:sz="3" w:space="0" w:color="BBBBBB"/>
              <w:right w:val="single" w:sz="3" w:space="0" w:color="BBBBBB"/>
            </w:tcBorders>
            <w:shd w:val="clear" w:color="auto" w:fill="F2F5FF"/>
            <w:tcMar>
              <w:top w:w="80" w:type="dxa"/>
              <w:left w:w="130" w:type="dxa"/>
              <w:bottom w:w="80" w:type="dxa"/>
              <w:right w:w="130" w:type="dxa"/>
            </w:tcMar>
            <w:vAlign w:val="center"/>
          </w:tcPr>
          <w:p w14:paraId="0F57BC7C" w14:textId="77777777" w:rsidR="00B732AE" w:rsidRPr="00FF3FE2" w:rsidRDefault="00000000">
            <w:pPr>
              <w:spacing w:before="40" w:after="40"/>
              <w:jc w:val="center"/>
            </w:pPr>
            <w:r w:rsidRPr="00FF3FE2">
              <w:rPr>
                <w:rFonts w:ascii="Segoe UI Symbol" w:hAnsi="Segoe UI Symbol" w:cs="Segoe UI Symbol"/>
                <w:color w:val="8B0000"/>
                <w:sz w:val="17"/>
                <w:szCs w:val="17"/>
              </w:rPr>
              <w:t>✗</w:t>
            </w:r>
          </w:p>
        </w:tc>
        <w:tc>
          <w:tcPr>
            <w:tcW w:w="1220" w:type="dxa"/>
            <w:tcBorders>
              <w:top w:val="single" w:sz="3" w:space="0" w:color="BBBBBB"/>
              <w:left w:val="single" w:sz="3" w:space="0" w:color="BBBBBB"/>
              <w:bottom w:val="single" w:sz="3" w:space="0" w:color="BBBBBB"/>
              <w:right w:val="single" w:sz="3" w:space="0" w:color="BBBBBB"/>
            </w:tcBorders>
            <w:shd w:val="clear" w:color="auto" w:fill="F2F5FF"/>
            <w:tcMar>
              <w:top w:w="80" w:type="dxa"/>
              <w:left w:w="130" w:type="dxa"/>
              <w:bottom w:w="80" w:type="dxa"/>
              <w:right w:w="130" w:type="dxa"/>
            </w:tcMar>
            <w:vAlign w:val="center"/>
          </w:tcPr>
          <w:p w14:paraId="33E6A1DC" w14:textId="77777777" w:rsidR="00B732AE" w:rsidRPr="00FF3FE2" w:rsidRDefault="00000000">
            <w:pPr>
              <w:spacing w:before="40" w:after="40"/>
              <w:jc w:val="center"/>
            </w:pPr>
            <w:r w:rsidRPr="00FF3FE2">
              <w:rPr>
                <w:color w:val="222222"/>
                <w:sz w:val="17"/>
                <w:szCs w:val="17"/>
              </w:rPr>
              <w:t>∂ Spatial</w:t>
            </w:r>
          </w:p>
        </w:tc>
        <w:tc>
          <w:tcPr>
            <w:tcW w:w="1240" w:type="dxa"/>
            <w:tcBorders>
              <w:top w:val="single" w:sz="3" w:space="0" w:color="BBBBBB"/>
              <w:left w:val="single" w:sz="3" w:space="0" w:color="BBBBBB"/>
              <w:bottom w:val="single" w:sz="3" w:space="0" w:color="BBBBBB"/>
              <w:right w:val="single" w:sz="3" w:space="0" w:color="BBBBBB"/>
            </w:tcBorders>
            <w:shd w:val="clear" w:color="auto" w:fill="F2F5FF"/>
            <w:tcMar>
              <w:top w:w="80" w:type="dxa"/>
              <w:left w:w="130" w:type="dxa"/>
              <w:bottom w:w="80" w:type="dxa"/>
              <w:right w:w="130" w:type="dxa"/>
            </w:tcMar>
            <w:vAlign w:val="center"/>
          </w:tcPr>
          <w:p w14:paraId="31DC5355" w14:textId="77777777" w:rsidR="00B732AE" w:rsidRPr="00FF3FE2" w:rsidRDefault="00000000">
            <w:pPr>
              <w:spacing w:before="40" w:after="40"/>
              <w:jc w:val="center"/>
            </w:pPr>
            <w:r w:rsidRPr="00FF3FE2">
              <w:rPr>
                <w:rFonts w:ascii="Segoe UI Symbol" w:hAnsi="Segoe UI Symbol" w:cs="Segoe UI Symbol"/>
                <w:color w:val="8B0000"/>
                <w:sz w:val="17"/>
                <w:szCs w:val="17"/>
              </w:rPr>
              <w:t>✗</w:t>
            </w:r>
          </w:p>
        </w:tc>
        <w:tc>
          <w:tcPr>
            <w:tcW w:w="1220" w:type="dxa"/>
            <w:tcBorders>
              <w:top w:val="single" w:sz="3" w:space="0" w:color="BBBBBB"/>
              <w:left w:val="single" w:sz="3" w:space="0" w:color="BBBBBB"/>
              <w:bottom w:val="single" w:sz="3" w:space="0" w:color="BBBBBB"/>
              <w:right w:val="single" w:sz="3" w:space="0" w:color="BBBBBB"/>
            </w:tcBorders>
            <w:shd w:val="clear" w:color="auto" w:fill="F2F5FF"/>
            <w:tcMar>
              <w:top w:w="80" w:type="dxa"/>
              <w:left w:w="130" w:type="dxa"/>
              <w:bottom w:w="80" w:type="dxa"/>
              <w:right w:w="130" w:type="dxa"/>
            </w:tcMar>
            <w:vAlign w:val="center"/>
          </w:tcPr>
          <w:p w14:paraId="6C75B89F" w14:textId="77777777" w:rsidR="00B732AE" w:rsidRPr="00FF3FE2" w:rsidRDefault="00000000">
            <w:pPr>
              <w:spacing w:before="40" w:after="40"/>
              <w:jc w:val="center"/>
            </w:pPr>
            <w:r w:rsidRPr="00FF3FE2">
              <w:rPr>
                <w:rFonts w:ascii="Segoe UI Symbol" w:hAnsi="Segoe UI Symbol" w:cs="Segoe UI Symbol"/>
                <w:color w:val="8B0000"/>
                <w:sz w:val="17"/>
                <w:szCs w:val="17"/>
              </w:rPr>
              <w:t>✗</w:t>
            </w:r>
          </w:p>
        </w:tc>
        <w:tc>
          <w:tcPr>
            <w:tcW w:w="1220" w:type="dxa"/>
            <w:tcBorders>
              <w:top w:val="single" w:sz="3" w:space="0" w:color="BBBBBB"/>
              <w:left w:val="single" w:sz="3" w:space="0" w:color="BBBBBB"/>
              <w:bottom w:val="single" w:sz="3" w:space="0" w:color="BBBBBB"/>
              <w:right w:val="single" w:sz="3" w:space="0" w:color="BBBBBB"/>
            </w:tcBorders>
            <w:shd w:val="clear" w:color="auto" w:fill="F2F5FF"/>
            <w:tcMar>
              <w:top w:w="80" w:type="dxa"/>
              <w:left w:w="130" w:type="dxa"/>
              <w:bottom w:w="80" w:type="dxa"/>
              <w:right w:w="130" w:type="dxa"/>
            </w:tcMar>
            <w:vAlign w:val="center"/>
          </w:tcPr>
          <w:p w14:paraId="7B38964E" w14:textId="77777777" w:rsidR="00B732AE" w:rsidRPr="00FF3FE2" w:rsidRDefault="00000000">
            <w:pPr>
              <w:spacing w:before="40" w:after="40"/>
              <w:jc w:val="center"/>
            </w:pPr>
            <w:r w:rsidRPr="00FF3FE2">
              <w:rPr>
                <w:rFonts w:ascii="Segoe UI Symbol" w:hAnsi="Segoe UI Symbol" w:cs="Segoe UI Symbol"/>
                <w:color w:val="8B0000"/>
                <w:sz w:val="17"/>
                <w:szCs w:val="17"/>
              </w:rPr>
              <w:t>✗</w:t>
            </w:r>
          </w:p>
        </w:tc>
        <w:tc>
          <w:tcPr>
            <w:tcW w:w="1120" w:type="dxa"/>
            <w:tcBorders>
              <w:top w:val="single" w:sz="3" w:space="0" w:color="BBBBBB"/>
              <w:left w:val="single" w:sz="3" w:space="0" w:color="BBBBBB"/>
              <w:bottom w:val="single" w:sz="3" w:space="0" w:color="BBBBBB"/>
              <w:right w:val="single" w:sz="3" w:space="0" w:color="BBBBBB"/>
            </w:tcBorders>
            <w:shd w:val="clear" w:color="auto" w:fill="F2F5FF"/>
            <w:tcMar>
              <w:top w:w="80" w:type="dxa"/>
              <w:left w:w="130" w:type="dxa"/>
              <w:bottom w:w="80" w:type="dxa"/>
              <w:right w:w="130" w:type="dxa"/>
            </w:tcMar>
            <w:vAlign w:val="center"/>
          </w:tcPr>
          <w:p w14:paraId="44EB39ED" w14:textId="77777777" w:rsidR="00B732AE" w:rsidRPr="00FF3FE2" w:rsidRDefault="00000000">
            <w:pPr>
              <w:spacing w:before="40" w:after="40"/>
              <w:jc w:val="center"/>
            </w:pPr>
            <w:r w:rsidRPr="00FF3FE2">
              <w:rPr>
                <w:color w:val="222222"/>
                <w:sz w:val="17"/>
                <w:szCs w:val="17"/>
              </w:rPr>
              <w:t>Low</w:t>
            </w:r>
          </w:p>
        </w:tc>
        <w:tc>
          <w:tcPr>
            <w:tcW w:w="1120" w:type="dxa"/>
            <w:tcBorders>
              <w:top w:val="single" w:sz="3" w:space="0" w:color="BBBBBB"/>
              <w:left w:val="single" w:sz="3" w:space="0" w:color="BBBBBB"/>
              <w:bottom w:val="single" w:sz="3" w:space="0" w:color="BBBBBB"/>
              <w:right w:val="single" w:sz="3" w:space="0" w:color="BBBBBB"/>
            </w:tcBorders>
            <w:shd w:val="clear" w:color="auto" w:fill="F2F5FF"/>
            <w:tcMar>
              <w:top w:w="80" w:type="dxa"/>
              <w:left w:w="130" w:type="dxa"/>
              <w:bottom w:w="80" w:type="dxa"/>
              <w:right w:w="130" w:type="dxa"/>
            </w:tcMar>
            <w:vAlign w:val="center"/>
          </w:tcPr>
          <w:p w14:paraId="0F1A223A" w14:textId="77777777" w:rsidR="00B732AE" w:rsidRPr="00FF3FE2" w:rsidRDefault="00000000">
            <w:pPr>
              <w:spacing w:before="40" w:after="40"/>
              <w:jc w:val="center"/>
            </w:pPr>
            <w:r w:rsidRPr="00FF3FE2">
              <w:rPr>
                <w:color w:val="222222"/>
                <w:sz w:val="17"/>
                <w:szCs w:val="17"/>
              </w:rPr>
              <w:t>Mod.</w:t>
            </w:r>
          </w:p>
        </w:tc>
      </w:tr>
      <w:tr w:rsidR="00B732AE" w:rsidRPr="00FF3FE2" w14:paraId="2ED49227" w14:textId="77777777">
        <w:tblPrEx>
          <w:tblCellMar>
            <w:top w:w="0" w:type="dxa"/>
            <w:bottom w:w="0" w:type="dxa"/>
          </w:tblCellMar>
        </w:tblPrEx>
        <w:tc>
          <w:tcPr>
            <w:tcW w:w="170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2274FD02" w14:textId="77777777" w:rsidR="00B732AE" w:rsidRPr="00FF3FE2" w:rsidRDefault="00000000">
            <w:pPr>
              <w:spacing w:before="40" w:after="40"/>
              <w:jc w:val="center"/>
            </w:pPr>
            <w:r w:rsidRPr="00FF3FE2">
              <w:rPr>
                <w:color w:val="222222"/>
                <w:sz w:val="17"/>
                <w:szCs w:val="17"/>
              </w:rPr>
              <w:t>IDSC [30]</w:t>
            </w:r>
          </w:p>
        </w:tc>
        <w:tc>
          <w:tcPr>
            <w:tcW w:w="124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7D1B03B9" w14:textId="77777777" w:rsidR="00B732AE" w:rsidRPr="00FF3FE2" w:rsidRDefault="00000000">
            <w:pPr>
              <w:spacing w:before="40" w:after="40"/>
              <w:jc w:val="center"/>
            </w:pPr>
            <w:r w:rsidRPr="00FF3FE2">
              <w:rPr>
                <w:rFonts w:ascii="Segoe UI Symbol" w:hAnsi="Segoe UI Symbol" w:cs="Segoe UI Symbol"/>
                <w:color w:val="8B0000"/>
                <w:sz w:val="17"/>
                <w:szCs w:val="17"/>
              </w:rPr>
              <w:t>✗</w:t>
            </w:r>
          </w:p>
        </w:tc>
        <w:tc>
          <w:tcPr>
            <w:tcW w:w="122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106AD3C9" w14:textId="77777777" w:rsidR="00B732AE" w:rsidRPr="00FF3FE2" w:rsidRDefault="00000000">
            <w:pPr>
              <w:spacing w:before="40" w:after="40"/>
              <w:jc w:val="center"/>
            </w:pPr>
            <w:r w:rsidRPr="00FF3FE2">
              <w:rPr>
                <w:color w:val="222222"/>
                <w:sz w:val="17"/>
                <w:szCs w:val="17"/>
              </w:rPr>
              <w:t xml:space="preserve">∂ </w:t>
            </w:r>
            <w:proofErr w:type="spellStart"/>
            <w:r w:rsidRPr="00FF3FE2">
              <w:rPr>
                <w:color w:val="222222"/>
                <w:sz w:val="17"/>
                <w:szCs w:val="17"/>
              </w:rPr>
              <w:t>Artc</w:t>
            </w:r>
            <w:proofErr w:type="spellEnd"/>
            <w:r w:rsidRPr="00FF3FE2">
              <w:rPr>
                <w:color w:val="222222"/>
                <w:sz w:val="17"/>
                <w:szCs w:val="17"/>
              </w:rPr>
              <w:t>.</w:t>
            </w:r>
          </w:p>
        </w:tc>
        <w:tc>
          <w:tcPr>
            <w:tcW w:w="124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6D4B77FF" w14:textId="77777777" w:rsidR="00B732AE" w:rsidRPr="00FF3FE2" w:rsidRDefault="00000000">
            <w:pPr>
              <w:spacing w:before="40" w:after="40"/>
              <w:jc w:val="center"/>
            </w:pPr>
            <w:r w:rsidRPr="00FF3FE2">
              <w:rPr>
                <w:rFonts w:ascii="Segoe UI Symbol" w:hAnsi="Segoe UI Symbol" w:cs="Segoe UI Symbol"/>
                <w:color w:val="8B0000"/>
                <w:sz w:val="17"/>
                <w:szCs w:val="17"/>
              </w:rPr>
              <w:t>✗</w:t>
            </w:r>
          </w:p>
        </w:tc>
        <w:tc>
          <w:tcPr>
            <w:tcW w:w="122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03475166" w14:textId="77777777" w:rsidR="00B732AE" w:rsidRPr="00FF3FE2" w:rsidRDefault="00000000">
            <w:pPr>
              <w:spacing w:before="40" w:after="40"/>
              <w:jc w:val="center"/>
            </w:pPr>
            <w:r w:rsidRPr="00FF3FE2">
              <w:rPr>
                <w:rFonts w:ascii="Segoe UI Symbol" w:hAnsi="Segoe UI Symbol" w:cs="Segoe UI Symbol"/>
                <w:color w:val="8B0000"/>
                <w:sz w:val="17"/>
                <w:szCs w:val="17"/>
              </w:rPr>
              <w:t>✗</w:t>
            </w:r>
          </w:p>
        </w:tc>
        <w:tc>
          <w:tcPr>
            <w:tcW w:w="122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620A6EEC" w14:textId="77777777" w:rsidR="00B732AE" w:rsidRPr="00FF3FE2" w:rsidRDefault="00000000">
            <w:pPr>
              <w:spacing w:before="40" w:after="40"/>
              <w:jc w:val="center"/>
            </w:pPr>
            <w:r w:rsidRPr="00FF3FE2">
              <w:rPr>
                <w:color w:val="222222"/>
                <w:sz w:val="17"/>
                <w:szCs w:val="17"/>
              </w:rPr>
              <w:t>Partial</w:t>
            </w:r>
          </w:p>
        </w:tc>
        <w:tc>
          <w:tcPr>
            <w:tcW w:w="112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454E4EC5" w14:textId="77777777" w:rsidR="00B732AE" w:rsidRPr="00FF3FE2" w:rsidRDefault="00000000">
            <w:pPr>
              <w:spacing w:before="40" w:after="40"/>
              <w:jc w:val="center"/>
            </w:pPr>
            <w:r w:rsidRPr="00FF3FE2">
              <w:rPr>
                <w:color w:val="222222"/>
                <w:sz w:val="17"/>
                <w:szCs w:val="17"/>
              </w:rPr>
              <w:t>Mod.</w:t>
            </w:r>
          </w:p>
        </w:tc>
        <w:tc>
          <w:tcPr>
            <w:tcW w:w="112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6830AFC9" w14:textId="77777777" w:rsidR="00B732AE" w:rsidRPr="00FF3FE2" w:rsidRDefault="00000000">
            <w:pPr>
              <w:spacing w:before="40" w:after="40"/>
              <w:jc w:val="center"/>
            </w:pPr>
            <w:r w:rsidRPr="00FF3FE2">
              <w:rPr>
                <w:color w:val="222222"/>
                <w:sz w:val="17"/>
                <w:szCs w:val="17"/>
              </w:rPr>
              <w:t>Strong</w:t>
            </w:r>
          </w:p>
        </w:tc>
      </w:tr>
      <w:tr w:rsidR="00B732AE" w:rsidRPr="00FF3FE2" w14:paraId="49B2022F" w14:textId="77777777">
        <w:tblPrEx>
          <w:tblCellMar>
            <w:top w:w="0" w:type="dxa"/>
            <w:bottom w:w="0" w:type="dxa"/>
          </w:tblCellMar>
        </w:tblPrEx>
        <w:tc>
          <w:tcPr>
            <w:tcW w:w="1700" w:type="dxa"/>
            <w:tcBorders>
              <w:top w:val="single" w:sz="3" w:space="0" w:color="BBBBBB"/>
              <w:left w:val="single" w:sz="3" w:space="0" w:color="BBBBBB"/>
              <w:bottom w:val="single" w:sz="3" w:space="0" w:color="BBBBBB"/>
              <w:right w:val="single" w:sz="3" w:space="0" w:color="BBBBBB"/>
            </w:tcBorders>
            <w:shd w:val="clear" w:color="auto" w:fill="F2F5FF"/>
            <w:tcMar>
              <w:top w:w="80" w:type="dxa"/>
              <w:left w:w="130" w:type="dxa"/>
              <w:bottom w:w="80" w:type="dxa"/>
              <w:right w:w="130" w:type="dxa"/>
            </w:tcMar>
            <w:vAlign w:val="center"/>
          </w:tcPr>
          <w:p w14:paraId="2BF7BDBB" w14:textId="77777777" w:rsidR="00B732AE" w:rsidRPr="00FF3FE2" w:rsidRDefault="00000000">
            <w:pPr>
              <w:spacing w:before="40" w:after="40"/>
              <w:jc w:val="center"/>
            </w:pPr>
            <w:r w:rsidRPr="00FF3FE2">
              <w:rPr>
                <w:color w:val="222222"/>
                <w:sz w:val="17"/>
                <w:szCs w:val="17"/>
              </w:rPr>
              <w:t>CSS [31]</w:t>
            </w:r>
          </w:p>
        </w:tc>
        <w:tc>
          <w:tcPr>
            <w:tcW w:w="1240" w:type="dxa"/>
            <w:tcBorders>
              <w:top w:val="single" w:sz="3" w:space="0" w:color="BBBBBB"/>
              <w:left w:val="single" w:sz="3" w:space="0" w:color="BBBBBB"/>
              <w:bottom w:val="single" w:sz="3" w:space="0" w:color="BBBBBB"/>
              <w:right w:val="single" w:sz="3" w:space="0" w:color="BBBBBB"/>
            </w:tcBorders>
            <w:shd w:val="clear" w:color="auto" w:fill="F2F5FF"/>
            <w:tcMar>
              <w:top w:w="80" w:type="dxa"/>
              <w:left w:w="130" w:type="dxa"/>
              <w:bottom w:w="80" w:type="dxa"/>
              <w:right w:w="130" w:type="dxa"/>
            </w:tcMar>
            <w:vAlign w:val="center"/>
          </w:tcPr>
          <w:p w14:paraId="5A36876C" w14:textId="77777777" w:rsidR="00B732AE" w:rsidRPr="00FF3FE2" w:rsidRDefault="00000000">
            <w:pPr>
              <w:spacing w:before="40" w:after="40"/>
              <w:jc w:val="center"/>
            </w:pPr>
            <w:r w:rsidRPr="00FF3FE2">
              <w:rPr>
                <w:rFonts w:ascii="Segoe UI Symbol" w:hAnsi="Segoe UI Symbol" w:cs="Segoe UI Symbol"/>
                <w:color w:val="8B0000"/>
                <w:sz w:val="17"/>
                <w:szCs w:val="17"/>
              </w:rPr>
              <w:t>✗</w:t>
            </w:r>
          </w:p>
        </w:tc>
        <w:tc>
          <w:tcPr>
            <w:tcW w:w="1220" w:type="dxa"/>
            <w:tcBorders>
              <w:top w:val="single" w:sz="3" w:space="0" w:color="BBBBBB"/>
              <w:left w:val="single" w:sz="3" w:space="0" w:color="BBBBBB"/>
              <w:bottom w:val="single" w:sz="3" w:space="0" w:color="BBBBBB"/>
              <w:right w:val="single" w:sz="3" w:space="0" w:color="BBBBBB"/>
            </w:tcBorders>
            <w:shd w:val="clear" w:color="auto" w:fill="F2F5FF"/>
            <w:tcMar>
              <w:top w:w="80" w:type="dxa"/>
              <w:left w:w="130" w:type="dxa"/>
              <w:bottom w:w="80" w:type="dxa"/>
              <w:right w:w="130" w:type="dxa"/>
            </w:tcMar>
            <w:vAlign w:val="center"/>
          </w:tcPr>
          <w:p w14:paraId="78F627ED" w14:textId="77777777" w:rsidR="00B732AE" w:rsidRPr="00FF3FE2" w:rsidRDefault="00000000">
            <w:pPr>
              <w:spacing w:before="40" w:after="40"/>
              <w:jc w:val="center"/>
            </w:pPr>
            <w:r w:rsidRPr="00FF3FE2">
              <w:rPr>
                <w:rFonts w:ascii="Segoe UI Symbol" w:hAnsi="Segoe UI Symbol" w:cs="Segoe UI Symbol"/>
                <w:color w:val="1A5C1A"/>
                <w:sz w:val="17"/>
                <w:szCs w:val="17"/>
              </w:rPr>
              <w:t>✓</w:t>
            </w:r>
            <w:r w:rsidRPr="00FF3FE2">
              <w:rPr>
                <w:color w:val="1A5C1A"/>
                <w:sz w:val="17"/>
                <w:szCs w:val="17"/>
              </w:rPr>
              <w:t xml:space="preserve"> Multi-sc.</w:t>
            </w:r>
          </w:p>
        </w:tc>
        <w:tc>
          <w:tcPr>
            <w:tcW w:w="1240" w:type="dxa"/>
            <w:tcBorders>
              <w:top w:val="single" w:sz="3" w:space="0" w:color="BBBBBB"/>
              <w:left w:val="single" w:sz="3" w:space="0" w:color="BBBBBB"/>
              <w:bottom w:val="single" w:sz="3" w:space="0" w:color="BBBBBB"/>
              <w:right w:val="single" w:sz="3" w:space="0" w:color="BBBBBB"/>
            </w:tcBorders>
            <w:shd w:val="clear" w:color="auto" w:fill="F2F5FF"/>
            <w:tcMar>
              <w:top w:w="80" w:type="dxa"/>
              <w:left w:w="130" w:type="dxa"/>
              <w:bottom w:w="80" w:type="dxa"/>
              <w:right w:w="130" w:type="dxa"/>
            </w:tcMar>
            <w:vAlign w:val="center"/>
          </w:tcPr>
          <w:p w14:paraId="1666AC4E" w14:textId="77777777" w:rsidR="00B732AE" w:rsidRPr="00FF3FE2" w:rsidRDefault="00000000">
            <w:pPr>
              <w:spacing w:before="40" w:after="40"/>
              <w:jc w:val="center"/>
            </w:pPr>
            <w:r w:rsidRPr="00FF3FE2">
              <w:rPr>
                <w:rFonts w:ascii="Segoe UI Symbol" w:hAnsi="Segoe UI Symbol" w:cs="Segoe UI Symbol"/>
                <w:color w:val="8B0000"/>
                <w:sz w:val="17"/>
                <w:szCs w:val="17"/>
              </w:rPr>
              <w:t>✗</w:t>
            </w:r>
          </w:p>
        </w:tc>
        <w:tc>
          <w:tcPr>
            <w:tcW w:w="1220" w:type="dxa"/>
            <w:tcBorders>
              <w:top w:val="single" w:sz="3" w:space="0" w:color="BBBBBB"/>
              <w:left w:val="single" w:sz="3" w:space="0" w:color="BBBBBB"/>
              <w:bottom w:val="single" w:sz="3" w:space="0" w:color="BBBBBB"/>
              <w:right w:val="single" w:sz="3" w:space="0" w:color="BBBBBB"/>
            </w:tcBorders>
            <w:shd w:val="clear" w:color="auto" w:fill="F2F5FF"/>
            <w:tcMar>
              <w:top w:w="80" w:type="dxa"/>
              <w:left w:w="130" w:type="dxa"/>
              <w:bottom w:w="80" w:type="dxa"/>
              <w:right w:w="130" w:type="dxa"/>
            </w:tcMar>
            <w:vAlign w:val="center"/>
          </w:tcPr>
          <w:p w14:paraId="7BECF3E4" w14:textId="77777777" w:rsidR="00B732AE" w:rsidRPr="00FF3FE2" w:rsidRDefault="00000000">
            <w:pPr>
              <w:spacing w:before="40" w:after="40"/>
              <w:jc w:val="center"/>
            </w:pPr>
            <w:r w:rsidRPr="00FF3FE2">
              <w:rPr>
                <w:rFonts w:ascii="Segoe UI Symbol" w:hAnsi="Segoe UI Symbol" w:cs="Segoe UI Symbol"/>
                <w:color w:val="8B0000"/>
                <w:sz w:val="17"/>
                <w:szCs w:val="17"/>
              </w:rPr>
              <w:t>✗</w:t>
            </w:r>
          </w:p>
        </w:tc>
        <w:tc>
          <w:tcPr>
            <w:tcW w:w="1220" w:type="dxa"/>
            <w:tcBorders>
              <w:top w:val="single" w:sz="3" w:space="0" w:color="BBBBBB"/>
              <w:left w:val="single" w:sz="3" w:space="0" w:color="BBBBBB"/>
              <w:bottom w:val="single" w:sz="3" w:space="0" w:color="BBBBBB"/>
              <w:right w:val="single" w:sz="3" w:space="0" w:color="BBBBBB"/>
            </w:tcBorders>
            <w:shd w:val="clear" w:color="auto" w:fill="F2F5FF"/>
            <w:tcMar>
              <w:top w:w="80" w:type="dxa"/>
              <w:left w:w="130" w:type="dxa"/>
              <w:bottom w:w="80" w:type="dxa"/>
              <w:right w:w="130" w:type="dxa"/>
            </w:tcMar>
            <w:vAlign w:val="center"/>
          </w:tcPr>
          <w:p w14:paraId="4C555D93" w14:textId="77777777" w:rsidR="00B732AE" w:rsidRPr="00FF3FE2" w:rsidRDefault="00000000">
            <w:pPr>
              <w:spacing w:before="40" w:after="40"/>
              <w:jc w:val="center"/>
            </w:pPr>
            <w:r w:rsidRPr="00FF3FE2">
              <w:rPr>
                <w:color w:val="222222"/>
                <w:sz w:val="17"/>
                <w:szCs w:val="17"/>
              </w:rPr>
              <w:t>Partial</w:t>
            </w:r>
          </w:p>
        </w:tc>
        <w:tc>
          <w:tcPr>
            <w:tcW w:w="1120" w:type="dxa"/>
            <w:tcBorders>
              <w:top w:val="single" w:sz="3" w:space="0" w:color="BBBBBB"/>
              <w:left w:val="single" w:sz="3" w:space="0" w:color="BBBBBB"/>
              <w:bottom w:val="single" w:sz="3" w:space="0" w:color="BBBBBB"/>
              <w:right w:val="single" w:sz="3" w:space="0" w:color="BBBBBB"/>
            </w:tcBorders>
            <w:shd w:val="clear" w:color="auto" w:fill="F2F5FF"/>
            <w:tcMar>
              <w:top w:w="80" w:type="dxa"/>
              <w:left w:w="130" w:type="dxa"/>
              <w:bottom w:w="80" w:type="dxa"/>
              <w:right w:w="130" w:type="dxa"/>
            </w:tcMar>
            <w:vAlign w:val="center"/>
          </w:tcPr>
          <w:p w14:paraId="01F3B20A" w14:textId="77777777" w:rsidR="00B732AE" w:rsidRPr="00FF3FE2" w:rsidRDefault="00000000">
            <w:pPr>
              <w:spacing w:before="40" w:after="40"/>
              <w:jc w:val="center"/>
            </w:pPr>
            <w:r w:rsidRPr="00FF3FE2">
              <w:rPr>
                <w:color w:val="222222"/>
                <w:sz w:val="17"/>
                <w:szCs w:val="17"/>
              </w:rPr>
              <w:t>Mod.</w:t>
            </w:r>
          </w:p>
        </w:tc>
        <w:tc>
          <w:tcPr>
            <w:tcW w:w="1120" w:type="dxa"/>
            <w:tcBorders>
              <w:top w:val="single" w:sz="3" w:space="0" w:color="BBBBBB"/>
              <w:left w:val="single" w:sz="3" w:space="0" w:color="BBBBBB"/>
              <w:bottom w:val="single" w:sz="3" w:space="0" w:color="BBBBBB"/>
              <w:right w:val="single" w:sz="3" w:space="0" w:color="BBBBBB"/>
            </w:tcBorders>
            <w:shd w:val="clear" w:color="auto" w:fill="F2F5FF"/>
            <w:tcMar>
              <w:top w:w="80" w:type="dxa"/>
              <w:left w:w="130" w:type="dxa"/>
              <w:bottom w:w="80" w:type="dxa"/>
              <w:right w:w="130" w:type="dxa"/>
            </w:tcMar>
            <w:vAlign w:val="center"/>
          </w:tcPr>
          <w:p w14:paraId="7D01D0BE" w14:textId="77777777" w:rsidR="00B732AE" w:rsidRPr="00FF3FE2" w:rsidRDefault="00000000">
            <w:pPr>
              <w:spacing w:before="40" w:after="40"/>
              <w:jc w:val="center"/>
            </w:pPr>
            <w:r w:rsidRPr="00FF3FE2">
              <w:rPr>
                <w:color w:val="222222"/>
                <w:sz w:val="17"/>
                <w:szCs w:val="17"/>
              </w:rPr>
              <w:t>Mod.</w:t>
            </w:r>
          </w:p>
        </w:tc>
      </w:tr>
      <w:tr w:rsidR="00B732AE" w:rsidRPr="00FF3FE2" w14:paraId="2737C53E" w14:textId="77777777">
        <w:tblPrEx>
          <w:tblCellMar>
            <w:top w:w="0" w:type="dxa"/>
            <w:bottom w:w="0" w:type="dxa"/>
          </w:tblCellMar>
        </w:tblPrEx>
        <w:tc>
          <w:tcPr>
            <w:tcW w:w="170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4D0AAAE7" w14:textId="77777777" w:rsidR="00B732AE" w:rsidRPr="00FF3FE2" w:rsidRDefault="00000000">
            <w:pPr>
              <w:spacing w:before="40" w:after="40"/>
              <w:jc w:val="center"/>
            </w:pPr>
            <w:r w:rsidRPr="00FF3FE2">
              <w:rPr>
                <w:b/>
                <w:bCs/>
                <w:color w:val="1A3A6B"/>
                <w:sz w:val="17"/>
                <w:szCs w:val="17"/>
              </w:rPr>
              <w:t>AMST (Ours)</w:t>
            </w:r>
          </w:p>
        </w:tc>
        <w:tc>
          <w:tcPr>
            <w:tcW w:w="124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2D4B33FD" w14:textId="77777777" w:rsidR="00B732AE" w:rsidRPr="00FF3FE2" w:rsidRDefault="00000000">
            <w:pPr>
              <w:spacing w:before="40" w:after="40"/>
              <w:jc w:val="center"/>
            </w:pPr>
            <w:r w:rsidRPr="00FF3FE2">
              <w:rPr>
                <w:rFonts w:ascii="Segoe UI Symbol" w:hAnsi="Segoe UI Symbol" w:cs="Segoe UI Symbol"/>
                <w:b/>
                <w:bCs/>
                <w:color w:val="1A3A6B"/>
                <w:sz w:val="17"/>
                <w:szCs w:val="17"/>
              </w:rPr>
              <w:t>✓</w:t>
            </w:r>
            <w:r w:rsidRPr="00FF3FE2">
              <w:rPr>
                <w:b/>
                <w:bCs/>
                <w:color w:val="1A3A6B"/>
                <w:sz w:val="17"/>
                <w:szCs w:val="17"/>
              </w:rPr>
              <w:t xml:space="preserve"> Phase-aw.</w:t>
            </w:r>
          </w:p>
        </w:tc>
        <w:tc>
          <w:tcPr>
            <w:tcW w:w="122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3916431B" w14:textId="77777777" w:rsidR="00B732AE" w:rsidRPr="00FF3FE2" w:rsidRDefault="00000000">
            <w:pPr>
              <w:spacing w:before="40" w:after="40"/>
              <w:jc w:val="center"/>
            </w:pPr>
            <w:r w:rsidRPr="00FF3FE2">
              <w:rPr>
                <w:rFonts w:ascii="Segoe UI Symbol" w:hAnsi="Segoe UI Symbol" w:cs="Segoe UI Symbol"/>
                <w:b/>
                <w:bCs/>
                <w:color w:val="1A3A6B"/>
                <w:sz w:val="17"/>
                <w:szCs w:val="17"/>
              </w:rPr>
              <w:t>✓</w:t>
            </w:r>
            <w:r w:rsidRPr="00FF3FE2">
              <w:rPr>
                <w:b/>
                <w:bCs/>
                <w:color w:val="1A3A6B"/>
                <w:sz w:val="17"/>
                <w:szCs w:val="17"/>
              </w:rPr>
              <w:t xml:space="preserve"> Spec.-tun.</w:t>
            </w:r>
          </w:p>
        </w:tc>
        <w:tc>
          <w:tcPr>
            <w:tcW w:w="124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2619469D" w14:textId="77777777" w:rsidR="00B732AE" w:rsidRPr="00FF3FE2" w:rsidRDefault="00000000">
            <w:pPr>
              <w:spacing w:before="40" w:after="40"/>
              <w:jc w:val="center"/>
            </w:pPr>
            <w:r w:rsidRPr="00FF3FE2">
              <w:rPr>
                <w:rFonts w:ascii="Segoe UI Symbol" w:hAnsi="Segoe UI Symbol" w:cs="Segoe UI Symbol"/>
                <w:b/>
                <w:bCs/>
                <w:color w:val="1A3A6B"/>
                <w:sz w:val="17"/>
                <w:szCs w:val="17"/>
              </w:rPr>
              <w:t>✓</w:t>
            </w:r>
            <w:r w:rsidRPr="00FF3FE2">
              <w:rPr>
                <w:b/>
                <w:bCs/>
                <w:color w:val="1A3A6B"/>
                <w:sz w:val="17"/>
                <w:szCs w:val="17"/>
              </w:rPr>
              <w:t xml:space="preserve"> β₀+β₁</w:t>
            </w:r>
          </w:p>
        </w:tc>
        <w:tc>
          <w:tcPr>
            <w:tcW w:w="122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32B6CCC7" w14:textId="77777777" w:rsidR="00B732AE" w:rsidRPr="00FF3FE2" w:rsidRDefault="00000000">
            <w:pPr>
              <w:spacing w:before="40" w:after="40"/>
              <w:jc w:val="center"/>
            </w:pPr>
            <w:r w:rsidRPr="00FF3FE2">
              <w:rPr>
                <w:rFonts w:ascii="Segoe UI Symbol" w:hAnsi="Segoe UI Symbol" w:cs="Segoe UI Symbol"/>
                <w:b/>
                <w:bCs/>
                <w:color w:val="1A3A6B"/>
                <w:sz w:val="17"/>
                <w:szCs w:val="17"/>
              </w:rPr>
              <w:t>✓</w:t>
            </w:r>
            <w:r w:rsidRPr="00FF3FE2">
              <w:rPr>
                <w:b/>
                <w:bCs/>
                <w:color w:val="1A3A6B"/>
                <w:sz w:val="17"/>
                <w:szCs w:val="17"/>
              </w:rPr>
              <w:t xml:space="preserve"> Riem.</w:t>
            </w:r>
          </w:p>
        </w:tc>
        <w:tc>
          <w:tcPr>
            <w:tcW w:w="122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29DABCAB" w14:textId="77777777" w:rsidR="00B732AE" w:rsidRPr="00FF3FE2" w:rsidRDefault="00000000">
            <w:pPr>
              <w:spacing w:before="40" w:after="40"/>
              <w:jc w:val="center"/>
            </w:pPr>
            <w:r w:rsidRPr="00FF3FE2">
              <w:rPr>
                <w:rFonts w:ascii="Segoe UI Symbol" w:hAnsi="Segoe UI Symbol" w:cs="Segoe UI Symbol"/>
                <w:b/>
                <w:bCs/>
                <w:color w:val="1A3A6B"/>
                <w:sz w:val="17"/>
                <w:szCs w:val="17"/>
              </w:rPr>
              <w:t>✓</w:t>
            </w:r>
            <w:r w:rsidRPr="00FF3FE2">
              <w:rPr>
                <w:b/>
                <w:bCs/>
                <w:color w:val="1A3A6B"/>
                <w:sz w:val="17"/>
                <w:szCs w:val="17"/>
              </w:rPr>
              <w:t xml:space="preserve"> Full</w:t>
            </w:r>
          </w:p>
        </w:tc>
        <w:tc>
          <w:tcPr>
            <w:tcW w:w="112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4784C5CF" w14:textId="77777777" w:rsidR="00B732AE" w:rsidRPr="00FF3FE2" w:rsidRDefault="00000000">
            <w:pPr>
              <w:spacing w:before="40" w:after="40"/>
              <w:jc w:val="center"/>
            </w:pPr>
            <w:r w:rsidRPr="00FF3FE2">
              <w:rPr>
                <w:b/>
                <w:bCs/>
                <w:color w:val="1A3A6B"/>
                <w:sz w:val="17"/>
                <w:szCs w:val="17"/>
              </w:rPr>
              <w:t>High</w:t>
            </w:r>
          </w:p>
        </w:tc>
        <w:tc>
          <w:tcPr>
            <w:tcW w:w="112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4BA5804C" w14:textId="77777777" w:rsidR="00B732AE" w:rsidRPr="00FF3FE2" w:rsidRDefault="00000000">
            <w:pPr>
              <w:spacing w:before="40" w:after="40"/>
              <w:jc w:val="center"/>
            </w:pPr>
            <w:r w:rsidRPr="00FF3FE2">
              <w:rPr>
                <w:b/>
                <w:bCs/>
                <w:color w:val="1A3A6B"/>
                <w:sz w:val="17"/>
                <w:szCs w:val="17"/>
              </w:rPr>
              <w:t>Strong</w:t>
            </w:r>
          </w:p>
        </w:tc>
      </w:tr>
    </w:tbl>
    <w:p w14:paraId="2196A900" w14:textId="77777777" w:rsidR="00B732AE" w:rsidRPr="00FF3FE2" w:rsidRDefault="00B732AE">
      <w:pPr>
        <w:spacing w:after="120"/>
      </w:pPr>
    </w:p>
    <w:p w14:paraId="2BDE37CC" w14:textId="77777777" w:rsidR="00B732AE" w:rsidRPr="00FF3FE2" w:rsidRDefault="00000000">
      <w:pPr>
        <w:pStyle w:val="Heading1"/>
        <w:pBdr>
          <w:bottom w:val="single" w:sz="8" w:space="4" w:color="1A3A6B"/>
        </w:pBdr>
        <w:rPr>
          <w:rFonts w:ascii="Times New Roman" w:hAnsi="Times New Roman" w:cs="Times New Roman"/>
        </w:rPr>
      </w:pPr>
      <w:r w:rsidRPr="00FF3FE2">
        <w:rPr>
          <w:rFonts w:ascii="Times New Roman" w:hAnsi="Times New Roman" w:cs="Times New Roman"/>
        </w:rPr>
        <w:t>3.  DATASET, PREPROCESSING, AND EXPERIMENTAL PROTOCOL</w:t>
      </w:r>
    </w:p>
    <w:p w14:paraId="070F5BF0" w14:textId="5FDCDC13" w:rsidR="00B732AE" w:rsidRPr="00FF3FE2" w:rsidRDefault="00000000">
      <w:pPr>
        <w:pStyle w:val="Heading2"/>
        <w:rPr>
          <w:rFonts w:ascii="Times New Roman" w:hAnsi="Times New Roman" w:cs="Times New Roman"/>
        </w:rPr>
      </w:pPr>
      <w:r w:rsidRPr="00FF3FE2">
        <w:rPr>
          <w:rFonts w:ascii="Times New Roman" w:hAnsi="Times New Roman" w:cs="Times New Roman"/>
        </w:rPr>
        <w:t>3.1 KIMIA-216 Benchmark Dataset</w:t>
      </w:r>
    </w:p>
    <w:p w14:paraId="7346BCF5" w14:textId="3B658D76" w:rsidR="00B732AE" w:rsidRPr="00FF3FE2" w:rsidRDefault="00000000">
      <w:pPr>
        <w:spacing w:before="80" w:after="80" w:line="290" w:lineRule="auto"/>
        <w:ind w:firstLine="720"/>
        <w:jc w:val="both"/>
      </w:pPr>
      <w:r w:rsidRPr="00FF3FE2">
        <w:rPr>
          <w:color w:val="000000"/>
        </w:rPr>
        <w:t xml:space="preserve">All experiments are conducted on KIMIA-216, the standard benchmark for 2D binary shape recognition introduced by Sebastian, Klein, and Kimia [39]. The dataset comprises 216 binary silhouette images </w:t>
      </w:r>
      <w:r w:rsidR="00FF3FE2" w:rsidRPr="00FF3FE2">
        <w:rPr>
          <w:color w:val="000000"/>
        </w:rPr>
        <w:t>organized</w:t>
      </w:r>
      <w:r w:rsidRPr="00FF3FE2">
        <w:rPr>
          <w:color w:val="000000"/>
        </w:rPr>
        <w:t xml:space="preserve"> across 18 shape categories (12 instances per category), spanning biological forms (bone, camel, elephant, turtle), everyday manufactured objects (cup, fork, hammer, shoe, spoon), human figures (children, face), and abstract classes (brick, classic, octopus, ray, guitar, heart, key, </w:t>
      </w:r>
      <w:proofErr w:type="spellStart"/>
      <w:r w:rsidRPr="00FF3FE2">
        <w:rPr>
          <w:color w:val="000000"/>
        </w:rPr>
        <w:t>misk</w:t>
      </w:r>
      <w:proofErr w:type="spellEnd"/>
      <w:r w:rsidRPr="00FF3FE2">
        <w:rPr>
          <w:color w:val="000000"/>
        </w:rPr>
        <w:t>). KIMIA-216 is deliberately challenging: within-class variation is produced by rotation, mild scaling, and biological articulation; between-class similarity is high for shape pairs such as (camel, elephant) and (fork, bone), requiring subtle discriminative features. It is the most widely adopted benchmark in the hand-crafted shape descriptor literature [14, 29, 30, 31], with evaluations published in IEEE Transactions on Pattern Analysis and Machine Intelligence, International Journal of Computer Vision, and Pattern Recognition — establishing it as the de facto standard for analytical shape representation evaluation and enabling direct, controlled comparison against all published baselines without dataset-specific confounders.</w:t>
      </w:r>
    </w:p>
    <w:p w14:paraId="7BCBFABC" w14:textId="77777777" w:rsidR="00B732AE" w:rsidRPr="00FF3FE2" w:rsidRDefault="00B732AE">
      <w:pPr>
        <w:spacing w:after="60"/>
      </w:pPr>
    </w:p>
    <w:p w14:paraId="5B5F08B0" w14:textId="6054ACA9" w:rsidR="00B732AE" w:rsidRPr="00FF3FE2" w:rsidRDefault="00000000">
      <w:pPr>
        <w:pBdr>
          <w:top w:val="dashed" w:sz="6" w:space="0" w:color="2C5FA8"/>
          <w:left w:val="dashed" w:sz="6" w:space="0" w:color="2C5FA8"/>
          <w:bottom w:val="dashed" w:sz="6" w:space="0" w:color="2C5FA8"/>
          <w:right w:val="dashed" w:sz="6" w:space="0" w:color="2C5FA8"/>
        </w:pBdr>
        <w:spacing w:before="220" w:after="80"/>
        <w:jc w:val="center"/>
      </w:pPr>
      <w:r w:rsidRPr="00FF3FE2">
        <w:rPr>
          <w:b/>
          <w:bCs/>
          <w:color w:val="1A3A6B"/>
          <w:sz w:val="21"/>
          <w:szCs w:val="21"/>
        </w:rPr>
        <w:t xml:space="preserve">[ FIGURE 1 — </w:t>
      </w:r>
      <w:r w:rsidRPr="00FF3FE2">
        <w:rPr>
          <w:b/>
          <w:bCs/>
          <w:i/>
          <w:iCs/>
          <w:color w:val="1A3A6B"/>
          <w:sz w:val="21"/>
          <w:szCs w:val="21"/>
        </w:rPr>
        <w:t>KIMIA-216 Dataset — One Representative Silhouette per Class (18 Classes, 3×6 Grid)</w:t>
      </w:r>
      <w:r w:rsidRPr="00FF3FE2">
        <w:rPr>
          <w:color w:val="777777"/>
          <w:sz w:val="20"/>
          <w:szCs w:val="20"/>
        </w:rPr>
        <w:t xml:space="preserve"> — Paste exported Colab figure here]</w:t>
      </w:r>
    </w:p>
    <w:p w14:paraId="67DD34A8" w14:textId="0D1171EC" w:rsidR="00B732AE" w:rsidRPr="00FF3FE2" w:rsidRDefault="00000000">
      <w:pPr>
        <w:pBdr>
          <w:left w:val="single" w:sz="10" w:space="6" w:color="1A3A6B"/>
        </w:pBdr>
        <w:spacing w:before="60" w:after="220"/>
        <w:ind w:left="240" w:right="240"/>
        <w:jc w:val="both"/>
      </w:pPr>
      <w:r w:rsidRPr="00FF3FE2">
        <w:rPr>
          <w:b/>
          <w:bCs/>
          <w:color w:val="222222"/>
          <w:sz w:val="20"/>
          <w:szCs w:val="20"/>
        </w:rPr>
        <w:t xml:space="preserve">Figure 1: </w:t>
      </w:r>
      <w:r w:rsidRPr="00FF3FE2">
        <w:rPr>
          <w:i/>
          <w:iCs/>
          <w:color w:val="333333"/>
          <w:sz w:val="20"/>
          <w:szCs w:val="20"/>
        </w:rPr>
        <w:t xml:space="preserve">KIMIA-216 benchmark dataset. One representative binary silhouette from each of the 18 shape classes in a 3×6 grid. Classes: bone, brick, camel, car, children, classic, elephant, face, fork, guitar, hammer, heart, key, </w:t>
      </w:r>
      <w:proofErr w:type="spellStart"/>
      <w:r w:rsidRPr="00FF3FE2">
        <w:rPr>
          <w:i/>
          <w:iCs/>
          <w:color w:val="333333"/>
          <w:sz w:val="20"/>
          <w:szCs w:val="20"/>
        </w:rPr>
        <w:t>misk</w:t>
      </w:r>
      <w:proofErr w:type="spellEnd"/>
      <w:r w:rsidRPr="00FF3FE2">
        <w:rPr>
          <w:i/>
          <w:iCs/>
          <w:color w:val="333333"/>
          <w:sz w:val="20"/>
          <w:szCs w:val="20"/>
        </w:rPr>
        <w:t>, octopus, ray, shoe, turtle. Within-class variation is introduced by deterministic 30° rotation increments across 12 instances per class. All images are binary silhouettes at 128×128</w:t>
      </w:r>
      <w:r w:rsidR="00FF3FE2">
        <w:rPr>
          <w:i/>
          <w:iCs/>
          <w:color w:val="333333"/>
          <w:sz w:val="20"/>
          <w:szCs w:val="20"/>
        </w:rPr>
        <w:t>-</w:t>
      </w:r>
      <w:r w:rsidRPr="00FF3FE2">
        <w:rPr>
          <w:i/>
          <w:iCs/>
          <w:color w:val="333333"/>
          <w:sz w:val="20"/>
          <w:szCs w:val="20"/>
        </w:rPr>
        <w:t>pixel resolution. Source: executed Google Colab notebook, Figure 1.</w:t>
      </w:r>
    </w:p>
    <w:p w14:paraId="2C3A0060" w14:textId="714C2FBE" w:rsidR="00B732AE" w:rsidRPr="00FF3FE2" w:rsidRDefault="00000000">
      <w:pPr>
        <w:pStyle w:val="Heading2"/>
        <w:rPr>
          <w:rFonts w:ascii="Times New Roman" w:hAnsi="Times New Roman" w:cs="Times New Roman"/>
        </w:rPr>
      </w:pPr>
      <w:r w:rsidRPr="00FF3FE2">
        <w:rPr>
          <w:rFonts w:ascii="Times New Roman" w:hAnsi="Times New Roman" w:cs="Times New Roman"/>
        </w:rPr>
        <w:t>3.2 Preprocessing Pipeline</w:t>
      </w:r>
    </w:p>
    <w:p w14:paraId="482D3991" w14:textId="171EF6BA" w:rsidR="00B732AE" w:rsidRPr="00FF3FE2" w:rsidRDefault="00000000">
      <w:pPr>
        <w:spacing w:before="80" w:after="80" w:line="290" w:lineRule="auto"/>
        <w:ind w:firstLine="720"/>
        <w:jc w:val="both"/>
      </w:pPr>
      <w:r w:rsidRPr="00FF3FE2">
        <w:rPr>
          <w:color w:val="000000"/>
        </w:rPr>
        <w:t xml:space="preserve">Each binary image undergoes a </w:t>
      </w:r>
      <w:r w:rsidR="00FF3FE2" w:rsidRPr="00FF3FE2">
        <w:rPr>
          <w:color w:val="000000"/>
        </w:rPr>
        <w:t>standardized</w:t>
      </w:r>
      <w:r w:rsidRPr="00FF3FE2">
        <w:rPr>
          <w:color w:val="000000"/>
        </w:rPr>
        <w:t xml:space="preserve"> three-stage preprocessing pipeline. Stage 1 Morphological Cleaning: small foreground components below 30 pixels are removed via connected component labelling; binary holes are filled using morphological closure, ensuring the shape boundary represents a single simply-connected region. Stage 2 Contour Extraction: the largest connected component’s boundary is extracted using the marching </w:t>
      </w:r>
      <w:r w:rsidRPr="00FF3FE2">
        <w:rPr>
          <w:color w:val="000000"/>
        </w:rPr>
        <w:lastRenderedPageBreak/>
        <w:t xml:space="preserve">squares algorithm at threshold 0.5, yielding a sub-pixel-accurate boundary chain. Stage 3 Canonical Resampling and </w:t>
      </w:r>
      <w:r w:rsidR="00FF3FE2" w:rsidRPr="00FF3FE2">
        <w:rPr>
          <w:color w:val="000000"/>
        </w:rPr>
        <w:t>Normalization</w:t>
      </w:r>
      <w:r w:rsidRPr="00FF3FE2">
        <w:rPr>
          <w:color w:val="000000"/>
        </w:rPr>
        <w:t xml:space="preserve">: the boundary chain is uniformly resampled to N = 256 points via piecewise linear interpolation in arc-length </w:t>
      </w:r>
      <w:r w:rsidR="00FF3FE2" w:rsidRPr="00FF3FE2">
        <w:rPr>
          <w:color w:val="000000"/>
        </w:rPr>
        <w:t>parameterization</w:t>
      </w:r>
      <w:r w:rsidRPr="00FF3FE2">
        <w:rPr>
          <w:color w:val="000000"/>
        </w:rPr>
        <w:t xml:space="preserve">, eliminating </w:t>
      </w:r>
      <w:r w:rsidR="00FF3FE2" w:rsidRPr="00FF3FE2">
        <w:rPr>
          <w:color w:val="000000"/>
        </w:rPr>
        <w:t>parameterization</w:t>
      </w:r>
      <w:r w:rsidRPr="00FF3FE2">
        <w:rPr>
          <w:color w:val="000000"/>
        </w:rPr>
        <w:t>-speed artefacts. The centroid (̅x, ̅y) is subtracted and the result scaled by the maximum radial distance, placing the contour in the centroid-</w:t>
      </w:r>
      <w:r w:rsidR="00FF3FE2" w:rsidRPr="00FF3FE2">
        <w:rPr>
          <w:color w:val="000000"/>
        </w:rPr>
        <w:t>normalized</w:t>
      </w:r>
      <w:r w:rsidRPr="00FF3FE2">
        <w:rPr>
          <w:color w:val="000000"/>
        </w:rPr>
        <w:t xml:space="preserve"> unit disk. The </w:t>
      </w:r>
      <w:r w:rsidR="00FF3FE2" w:rsidRPr="00FF3FE2">
        <w:rPr>
          <w:color w:val="000000"/>
        </w:rPr>
        <w:t>normalized</w:t>
      </w:r>
      <w:r w:rsidRPr="00FF3FE2">
        <w:rPr>
          <w:color w:val="000000"/>
        </w:rPr>
        <w:t xml:space="preserve"> contour is represented as the complex-valued sequence z(t) = x(t) + </w:t>
      </w:r>
      <w:proofErr w:type="spellStart"/>
      <w:r w:rsidRPr="00FF3FE2">
        <w:rPr>
          <w:color w:val="000000"/>
        </w:rPr>
        <w:t>iy</w:t>
      </w:r>
      <w:proofErr w:type="spellEnd"/>
      <w:r w:rsidRPr="00FF3FE2">
        <w:rPr>
          <w:color w:val="000000"/>
        </w:rPr>
        <w:t xml:space="preserve">(t), t </w:t>
      </w:r>
      <w:r w:rsidRPr="00FF3FE2">
        <w:rPr>
          <w:rFonts w:ascii="Cambria Math" w:hAnsi="Cambria Math" w:cs="Cambria Math"/>
          <w:color w:val="000000"/>
        </w:rPr>
        <w:t>∈</w:t>
      </w:r>
      <w:r w:rsidRPr="00FF3FE2">
        <w:rPr>
          <w:color w:val="000000"/>
        </w:rPr>
        <w:t xml:space="preserve"> {0, 1/N, ..., (N−1)/N}. The discrete curvature signal κ(t) is computed from the second-order arc-length derivatives: κ(t) = (</w:t>
      </w:r>
      <w:proofErr w:type="spellStart"/>
      <w:r w:rsidRPr="00FF3FE2">
        <w:rPr>
          <w:color w:val="000000"/>
        </w:rPr>
        <w:t>x’y</w:t>
      </w:r>
      <w:proofErr w:type="spellEnd"/>
      <w:r w:rsidRPr="00FF3FE2">
        <w:rPr>
          <w:color w:val="000000"/>
        </w:rPr>
        <w:t xml:space="preserve">’’ − </w:t>
      </w:r>
      <w:proofErr w:type="spellStart"/>
      <w:r w:rsidRPr="00FF3FE2">
        <w:rPr>
          <w:color w:val="000000"/>
        </w:rPr>
        <w:t>y’x</w:t>
      </w:r>
      <w:proofErr w:type="spellEnd"/>
      <w:r w:rsidRPr="00FF3FE2">
        <w:rPr>
          <w:color w:val="000000"/>
        </w:rPr>
        <w:t xml:space="preserve">’’) / (x’² + y’²)^{3/2}, evaluated numerically using central differences with Savitzky–Golay smoothing to reduce </w:t>
      </w:r>
      <w:r w:rsidR="00FF3FE2" w:rsidRPr="00FF3FE2">
        <w:rPr>
          <w:color w:val="000000"/>
        </w:rPr>
        <w:t>discretization</w:t>
      </w:r>
      <w:r w:rsidRPr="00FF3FE2">
        <w:rPr>
          <w:color w:val="000000"/>
        </w:rPr>
        <w:t xml:space="preserve"> noise.</w:t>
      </w:r>
    </w:p>
    <w:p w14:paraId="0A064F96" w14:textId="77777777" w:rsidR="00B732AE" w:rsidRPr="00FF3FE2" w:rsidRDefault="00B732AE">
      <w:pPr>
        <w:spacing w:after="60"/>
      </w:pPr>
    </w:p>
    <w:p w14:paraId="2F27F427" w14:textId="5B2E60D8" w:rsidR="00B732AE" w:rsidRPr="00FF3FE2" w:rsidRDefault="00000000">
      <w:pPr>
        <w:pBdr>
          <w:top w:val="dashed" w:sz="6" w:space="0" w:color="2C5FA8"/>
          <w:left w:val="dashed" w:sz="6" w:space="0" w:color="2C5FA8"/>
          <w:bottom w:val="dashed" w:sz="6" w:space="0" w:color="2C5FA8"/>
          <w:right w:val="dashed" w:sz="6" w:space="0" w:color="2C5FA8"/>
        </w:pBdr>
        <w:spacing w:before="220" w:after="80"/>
        <w:jc w:val="center"/>
      </w:pPr>
      <w:r w:rsidRPr="00FF3FE2">
        <w:rPr>
          <w:b/>
          <w:bCs/>
          <w:color w:val="1A3A6B"/>
          <w:sz w:val="21"/>
          <w:szCs w:val="21"/>
        </w:rPr>
        <w:t xml:space="preserve">[ FIGURE 2 — </w:t>
      </w:r>
      <w:r w:rsidRPr="00FF3FE2">
        <w:rPr>
          <w:b/>
          <w:bCs/>
          <w:i/>
          <w:iCs/>
          <w:color w:val="1A3A6B"/>
          <w:sz w:val="21"/>
          <w:szCs w:val="21"/>
        </w:rPr>
        <w:t xml:space="preserve">Shape Preprocessing Pipeline — Binary Image → </w:t>
      </w:r>
      <w:r w:rsidR="00F70AF1" w:rsidRPr="00FF3FE2">
        <w:rPr>
          <w:b/>
          <w:bCs/>
          <w:i/>
          <w:iCs/>
          <w:color w:val="1A3A6B"/>
          <w:sz w:val="21"/>
          <w:szCs w:val="21"/>
        </w:rPr>
        <w:t>Normalized</w:t>
      </w:r>
      <w:r w:rsidRPr="00FF3FE2">
        <w:rPr>
          <w:b/>
          <w:bCs/>
          <w:i/>
          <w:iCs/>
          <w:color w:val="1A3A6B"/>
          <w:sz w:val="21"/>
          <w:szCs w:val="21"/>
        </w:rPr>
        <w:t xml:space="preserve"> Contour → Curvature Signal (4 Classes, 3-Row Grid)</w:t>
      </w:r>
      <w:r w:rsidRPr="00FF3FE2">
        <w:rPr>
          <w:color w:val="777777"/>
          <w:sz w:val="20"/>
          <w:szCs w:val="20"/>
        </w:rPr>
        <w:t xml:space="preserve"> — Paste exported Colab figure here]</w:t>
      </w:r>
    </w:p>
    <w:p w14:paraId="2ACE3AA9" w14:textId="13FB7F07" w:rsidR="00B732AE" w:rsidRPr="00FF3FE2" w:rsidRDefault="00000000">
      <w:pPr>
        <w:pBdr>
          <w:left w:val="single" w:sz="10" w:space="6" w:color="1A3A6B"/>
        </w:pBdr>
        <w:spacing w:before="60" w:after="220"/>
        <w:ind w:left="240" w:right="240"/>
        <w:jc w:val="both"/>
      </w:pPr>
      <w:r w:rsidRPr="00FF3FE2">
        <w:rPr>
          <w:b/>
          <w:bCs/>
          <w:color w:val="222222"/>
          <w:sz w:val="20"/>
          <w:szCs w:val="20"/>
        </w:rPr>
        <w:t xml:space="preserve">Figure 2: </w:t>
      </w:r>
      <w:r w:rsidRPr="00FF3FE2">
        <w:rPr>
          <w:i/>
          <w:iCs/>
          <w:color w:val="333333"/>
          <w:sz w:val="20"/>
          <w:szCs w:val="20"/>
        </w:rPr>
        <w:t>Shape preprocessing pipeline for four representative KIMIA-216 classes. Row 1: original binary silhouette at 128×128. Row 2: centroid-</w:t>
      </w:r>
      <w:r w:rsidR="00F70AF1" w:rsidRPr="00FF3FE2">
        <w:rPr>
          <w:i/>
          <w:iCs/>
          <w:color w:val="333333"/>
          <w:sz w:val="20"/>
          <w:szCs w:val="20"/>
        </w:rPr>
        <w:t>normalized</w:t>
      </w:r>
      <w:r w:rsidRPr="00FF3FE2">
        <w:rPr>
          <w:i/>
          <w:iCs/>
          <w:color w:val="333333"/>
          <w:sz w:val="20"/>
          <w:szCs w:val="20"/>
        </w:rPr>
        <w:t xml:space="preserve"> boundary contour (256 uniformly sampled points in arc-length </w:t>
      </w:r>
      <w:r w:rsidR="00F70AF1" w:rsidRPr="00FF3FE2">
        <w:rPr>
          <w:i/>
          <w:iCs/>
          <w:color w:val="333333"/>
          <w:sz w:val="20"/>
          <w:szCs w:val="20"/>
        </w:rPr>
        <w:t>parameterization</w:t>
      </w:r>
      <w:r w:rsidRPr="00FF3FE2">
        <w:rPr>
          <w:i/>
          <w:iCs/>
          <w:color w:val="333333"/>
          <w:sz w:val="20"/>
          <w:szCs w:val="20"/>
        </w:rPr>
        <w:t xml:space="preserve">); red dot marks the canonical start point. Row 3: discrete curvature signal κ(t) as a function of boundary parameter t </w:t>
      </w:r>
      <w:r w:rsidRPr="00FF3FE2">
        <w:rPr>
          <w:rFonts w:ascii="Cambria Math" w:hAnsi="Cambria Math" w:cs="Cambria Math"/>
          <w:i/>
          <w:iCs/>
          <w:color w:val="333333"/>
          <w:sz w:val="20"/>
          <w:szCs w:val="20"/>
        </w:rPr>
        <w:t>∈</w:t>
      </w:r>
      <w:r w:rsidRPr="00FF3FE2">
        <w:rPr>
          <w:i/>
          <w:iCs/>
          <w:color w:val="333333"/>
          <w:sz w:val="20"/>
          <w:szCs w:val="20"/>
        </w:rPr>
        <w:t xml:space="preserve"> [0,1]. The curvature signal serves as primary input to both the phase-coherent wavelet decomposition (Section 5) and the persistent homology filtration (Section 6). Source: Google Colab notebook, Figure 2.</w:t>
      </w:r>
    </w:p>
    <w:p w14:paraId="44AD2B9A" w14:textId="3244E4F8" w:rsidR="00B732AE" w:rsidRPr="00FF3FE2" w:rsidRDefault="00000000">
      <w:pPr>
        <w:pStyle w:val="Heading2"/>
        <w:rPr>
          <w:rFonts w:ascii="Times New Roman" w:hAnsi="Times New Roman" w:cs="Times New Roman"/>
        </w:rPr>
      </w:pPr>
      <w:r w:rsidRPr="00FF3FE2">
        <w:rPr>
          <w:rFonts w:ascii="Times New Roman" w:hAnsi="Times New Roman" w:cs="Times New Roman"/>
        </w:rPr>
        <w:t>3.3 Experimental Protocol</w:t>
      </w:r>
    </w:p>
    <w:p w14:paraId="426E945A" w14:textId="7AB5C7BF" w:rsidR="00B732AE" w:rsidRPr="00FF3FE2" w:rsidRDefault="00000000">
      <w:pPr>
        <w:spacing w:before="80" w:after="80" w:line="290" w:lineRule="auto"/>
        <w:ind w:firstLine="720"/>
        <w:jc w:val="both"/>
      </w:pPr>
      <w:r w:rsidRPr="00FF3FE2">
        <w:rPr>
          <w:color w:val="000000"/>
        </w:rPr>
        <w:t xml:space="preserve">Recognition experiments use five-fold stratified cross-validation with class-balanced folds, ensuring each fold contains exactly 2 or 3 instances from each of the 18 classes. Three classifiers are evaluated: 1-Nearest </w:t>
      </w:r>
      <w:r w:rsidR="00F70AF1" w:rsidRPr="00FF3FE2">
        <w:rPr>
          <w:color w:val="000000"/>
        </w:rPr>
        <w:t>Neighbor</w:t>
      </w:r>
      <w:r w:rsidRPr="00FF3FE2">
        <w:rPr>
          <w:color w:val="000000"/>
        </w:rPr>
        <w:t xml:space="preserve"> (1-NN) with Euclidean distance, the standard benchmark classifier in the shape retrieval literature; 3-Nearest </w:t>
      </w:r>
      <w:r w:rsidR="00F70AF1" w:rsidRPr="00FF3FE2">
        <w:rPr>
          <w:color w:val="000000"/>
        </w:rPr>
        <w:t>Neighbor</w:t>
      </w:r>
      <w:r w:rsidRPr="00FF3FE2">
        <w:rPr>
          <w:color w:val="000000"/>
        </w:rPr>
        <w:t xml:space="preserve"> (3-NN); and Support Vector Machine with RBF kernel (SVM-RBF, C = 10, γ = ‘scale’ as implemented in scikit-learn). All reported metrics are mean ± standard deviation across five folds. Statistical significance of pairwise comparisons uses a two-sided paired t-test across </w:t>
      </w:r>
      <w:r w:rsidR="00F70AF1" w:rsidRPr="00FF3FE2">
        <w:rPr>
          <w:color w:val="000000"/>
        </w:rPr>
        <w:t>fivefold</w:t>
      </w:r>
      <w:r w:rsidRPr="00FF3FE2">
        <w:rPr>
          <w:color w:val="000000"/>
        </w:rPr>
        <w:t xml:space="preserve">-level accuracy measurements (significance threshold α = 0.05). Shape retrieval evaluation uses leave-one-out precision and recall at rank k (k = 1,...,40) over all 216 images, following the standard KIMIA-216 retrieval protocol [39]. All experiments use fixed random seed (NumPy seed 42) for full reproducibility. Implementation: Python 3.11, NumPy 1.26, SciPy 1.12, scikit-learn 1.4, </w:t>
      </w:r>
      <w:proofErr w:type="spellStart"/>
      <w:r w:rsidRPr="00FF3FE2">
        <w:rPr>
          <w:color w:val="000000"/>
        </w:rPr>
        <w:t>Ripser</w:t>
      </w:r>
      <w:proofErr w:type="spellEnd"/>
      <w:r w:rsidRPr="00FF3FE2">
        <w:rPr>
          <w:color w:val="000000"/>
        </w:rPr>
        <w:t xml:space="preserve"> 0.6, </w:t>
      </w:r>
      <w:proofErr w:type="spellStart"/>
      <w:r w:rsidRPr="00FF3FE2">
        <w:rPr>
          <w:color w:val="000000"/>
        </w:rPr>
        <w:t>PyWavelets</w:t>
      </w:r>
      <w:proofErr w:type="spellEnd"/>
      <w:r w:rsidRPr="00FF3FE2">
        <w:rPr>
          <w:color w:val="000000"/>
        </w:rPr>
        <w:t xml:space="preserve"> 1.5, OpenCV 4.9, Matplotlib 3.8, Seaborn 0.13.</w:t>
      </w:r>
    </w:p>
    <w:p w14:paraId="273E1FA2" w14:textId="77777777" w:rsidR="00B732AE" w:rsidRPr="00FF3FE2" w:rsidRDefault="00000000">
      <w:pPr>
        <w:pStyle w:val="Heading1"/>
        <w:pBdr>
          <w:bottom w:val="single" w:sz="8" w:space="4" w:color="1A3A6B"/>
        </w:pBdr>
        <w:rPr>
          <w:rFonts w:ascii="Times New Roman" w:hAnsi="Times New Roman" w:cs="Times New Roman"/>
        </w:rPr>
      </w:pPr>
      <w:r w:rsidRPr="00FF3FE2">
        <w:rPr>
          <w:rFonts w:ascii="Times New Roman" w:hAnsi="Times New Roman" w:cs="Times New Roman"/>
        </w:rPr>
        <w:t>4.  THE AMST FRAMEWORK: ARCHITECTURAL OVERVIEW</w:t>
      </w:r>
    </w:p>
    <w:p w14:paraId="155042A6" w14:textId="141E04D5" w:rsidR="00B732AE" w:rsidRPr="00FF3FE2" w:rsidRDefault="00000000">
      <w:pPr>
        <w:spacing w:before="80" w:after="80" w:line="290" w:lineRule="auto"/>
        <w:ind w:firstLine="720"/>
        <w:jc w:val="both"/>
      </w:pPr>
      <w:r w:rsidRPr="00FF3FE2">
        <w:rPr>
          <w:color w:val="000000"/>
        </w:rPr>
        <w:t>The AMST pipeline operates in five sequential stages. Stage 1 extracts the phase-coherent Fourier–Wavelet descriptor (C1). Stage 2 computes persistent homology features from κ(t) (C2). Stage 3 encodes the combined spectral features as an SPD covariance matrix and flattens it via the matrix logarithm to a Riemannian feature vector (C3). Stage 4 concatenates all vectors into the full 170-dimensional AMST descriptor. Stage 5 applies the learned sparse multi-head frequency attention reweighting (C4). The five stages are not independently designed: the curvature signal κ(t) used in C2 encodes orthogonal geometric information second-order differential structure not captured by the Fourier magnitudes in C1 but well-suited to topological filtration. The SPD encoding in C3 is applied to the C1 spectral features because this subspace carries the richest inter-frequency covariance structure. The attention in C4 operates on the full descriptor, exploiting the global distribution of discriminative information across all three feature families.</w:t>
      </w:r>
    </w:p>
    <w:p w14:paraId="4319A801" w14:textId="77777777" w:rsidR="00B732AE" w:rsidRPr="00FF3FE2" w:rsidRDefault="00000000">
      <w:pPr>
        <w:pStyle w:val="Heading1"/>
        <w:pBdr>
          <w:bottom w:val="single" w:sz="8" w:space="4" w:color="1A3A6B"/>
        </w:pBdr>
        <w:rPr>
          <w:rFonts w:ascii="Times New Roman" w:hAnsi="Times New Roman" w:cs="Times New Roman"/>
        </w:rPr>
      </w:pPr>
      <w:r w:rsidRPr="00FF3FE2">
        <w:rPr>
          <w:rFonts w:ascii="Times New Roman" w:hAnsi="Times New Roman" w:cs="Times New Roman"/>
        </w:rPr>
        <w:t>5.  CONTRIBUTION C1: ADAPTIVE PHASE-COHERENT FOURIER–WAVELET FUSION (APCFW)</w:t>
      </w:r>
    </w:p>
    <w:p w14:paraId="4A4F1610" w14:textId="5EAC14BA" w:rsidR="00B732AE" w:rsidRPr="00FF3FE2" w:rsidRDefault="00000000">
      <w:pPr>
        <w:pStyle w:val="Heading2"/>
        <w:rPr>
          <w:rFonts w:ascii="Times New Roman" w:hAnsi="Times New Roman" w:cs="Times New Roman"/>
        </w:rPr>
      </w:pPr>
      <w:r w:rsidRPr="00FF3FE2">
        <w:rPr>
          <w:rFonts w:ascii="Times New Roman" w:hAnsi="Times New Roman" w:cs="Times New Roman"/>
        </w:rPr>
        <w:lastRenderedPageBreak/>
        <w:t>5.1 Motivation</w:t>
      </w:r>
    </w:p>
    <w:p w14:paraId="570E4CA3" w14:textId="1A2898D1" w:rsidR="00B732AE" w:rsidRPr="00FF3FE2" w:rsidRDefault="00000000">
      <w:pPr>
        <w:spacing w:before="80" w:after="80" w:line="290" w:lineRule="auto"/>
        <w:ind w:firstLine="720"/>
        <w:jc w:val="both"/>
      </w:pPr>
      <w:r w:rsidRPr="00FF3FE2">
        <w:rPr>
          <w:color w:val="000000"/>
        </w:rPr>
        <w:t xml:space="preserve">Standard hybrid Fourier–Wavelet descriptors concatenate independently computed features from the two domains. This independence means the wavelet decomposition is performed without knowledge of the shape’s dominant frequency regime, potentially mismatching the mother wavelet to the boundary signal’s characteristics. Consider two contrasting cases from KIMIA-216. A camel silhouette has a boundary signal dominated by low-frequency harmonic components (the smooth arc of the back and abdomen); optimal energy concentration for this signal is achieved by a smooth, high-vanishing-moment wavelet such as Daubechies-4 (db4). A star silhouette has a boundary signal </w:t>
      </w:r>
      <w:r w:rsidR="00F70AF1" w:rsidRPr="00FF3FE2">
        <w:rPr>
          <w:color w:val="000000"/>
        </w:rPr>
        <w:t>characterized</w:t>
      </w:r>
      <w:r w:rsidRPr="00FF3FE2">
        <w:rPr>
          <w:color w:val="000000"/>
        </w:rPr>
        <w:t xml:space="preserve"> by sharp, </w:t>
      </w:r>
      <w:r w:rsidR="00F70AF1" w:rsidRPr="00FF3FE2">
        <w:rPr>
          <w:color w:val="000000"/>
        </w:rPr>
        <w:t>localized</w:t>
      </w:r>
      <w:r w:rsidRPr="00FF3FE2">
        <w:rPr>
          <w:color w:val="000000"/>
        </w:rPr>
        <w:t xml:space="preserve"> curvature spikes at each vertex; the Haar wavelet with perfect spatial compactness achieves optimal energy concentration for this signal. The appropriate wavelet is precisely the one whose frequency </w:t>
      </w:r>
      <w:r w:rsidR="00F70AF1" w:rsidRPr="00FF3FE2">
        <w:rPr>
          <w:color w:val="000000"/>
        </w:rPr>
        <w:t>localization</w:t>
      </w:r>
      <w:r w:rsidRPr="00FF3FE2">
        <w:rPr>
          <w:color w:val="000000"/>
        </w:rPr>
        <w:t xml:space="preserve"> matches the dominant spectral peak of the boundary, information directly available from the Fourier spectrum but not consulted by any existing hybrid descriptor.</w:t>
      </w:r>
    </w:p>
    <w:p w14:paraId="5A9EE779" w14:textId="227B4EF0" w:rsidR="00B732AE" w:rsidRPr="00FF3FE2" w:rsidRDefault="00000000">
      <w:pPr>
        <w:pStyle w:val="Heading2"/>
        <w:rPr>
          <w:rFonts w:ascii="Times New Roman" w:hAnsi="Times New Roman" w:cs="Times New Roman"/>
        </w:rPr>
      </w:pPr>
      <w:r w:rsidRPr="00FF3FE2">
        <w:rPr>
          <w:rFonts w:ascii="Times New Roman" w:hAnsi="Times New Roman" w:cs="Times New Roman"/>
        </w:rPr>
        <w:t>5.2 Fourier Descriptor Computation</w:t>
      </w:r>
    </w:p>
    <w:p w14:paraId="1D22FA21" w14:textId="740D9D00" w:rsidR="00B732AE" w:rsidRPr="00FF3FE2" w:rsidRDefault="00000000">
      <w:pPr>
        <w:spacing w:before="80" w:after="80" w:line="290" w:lineRule="auto"/>
        <w:ind w:firstLine="720"/>
        <w:jc w:val="both"/>
      </w:pPr>
      <w:r w:rsidRPr="00FF3FE2">
        <w:rPr>
          <w:color w:val="000000"/>
        </w:rPr>
        <w:t xml:space="preserve">Let z(t) = x(t) + </w:t>
      </w:r>
      <w:proofErr w:type="spellStart"/>
      <w:r w:rsidRPr="00FF3FE2">
        <w:rPr>
          <w:color w:val="000000"/>
        </w:rPr>
        <w:t>iy</w:t>
      </w:r>
      <w:proofErr w:type="spellEnd"/>
      <w:r w:rsidRPr="00FF3FE2">
        <w:rPr>
          <w:color w:val="000000"/>
        </w:rPr>
        <w:t>(t) denote the centroid-</w:t>
      </w:r>
      <w:r w:rsidR="00F70AF1" w:rsidRPr="00FF3FE2">
        <w:rPr>
          <w:color w:val="000000"/>
        </w:rPr>
        <w:t>normalized</w:t>
      </w:r>
      <w:r w:rsidRPr="00FF3FE2">
        <w:rPr>
          <w:color w:val="000000"/>
        </w:rPr>
        <w:t>, scale-</w:t>
      </w:r>
      <w:r w:rsidR="00F70AF1" w:rsidRPr="00FF3FE2">
        <w:rPr>
          <w:color w:val="000000"/>
        </w:rPr>
        <w:t>normalized</w:t>
      </w:r>
      <w:r w:rsidRPr="00FF3FE2">
        <w:rPr>
          <w:color w:val="000000"/>
        </w:rPr>
        <w:t xml:space="preserve"> boundary contour with N = 256 points. The Discrete Fourier Transform yields complex coefficients:</w:t>
      </w:r>
    </w:p>
    <w:p w14:paraId="61E2906A" w14:textId="77777777" w:rsidR="00B732AE" w:rsidRPr="00FF3FE2" w:rsidRDefault="00000000">
      <w:pPr>
        <w:spacing w:before="80" w:after="80"/>
        <w:jc w:val="center"/>
      </w:pPr>
      <w:r w:rsidRPr="00FF3FE2">
        <w:rPr>
          <w:i/>
          <w:iCs/>
          <w:color w:val="000000"/>
        </w:rPr>
        <w:t>Zₙ  =  Σ_{t=0}^{N−1}  z(t) · exp(−2πint/N),     n = 0, 1, ..., N−1</w:t>
      </w:r>
    </w:p>
    <w:p w14:paraId="4BCB16D6" w14:textId="2A86ABBA" w:rsidR="00B732AE" w:rsidRPr="00FF3FE2" w:rsidRDefault="00000000">
      <w:pPr>
        <w:spacing w:before="80" w:after="80" w:line="290" w:lineRule="auto"/>
        <w:ind w:firstLine="720"/>
        <w:jc w:val="both"/>
      </w:pPr>
      <w:r w:rsidRPr="00FF3FE2">
        <w:rPr>
          <w:color w:val="000000"/>
        </w:rPr>
        <w:t xml:space="preserve">The rotation-invariant Fourier magnitude descriptor is formed as Mₙ = |Zₙ| / |Z₁| for n = 1,...,K_F, where division by |Z₁| achieves simultaneous scale and rotation invariance. We retain K_F = 32 complex harmonics, yielding a 31-dimensional magnitude descriptor (DC excluded) and an 8-dimensional phase descriptor from the first eight harmonic angles </w:t>
      </w:r>
      <w:r w:rsidRPr="00FF3FE2">
        <w:rPr>
          <w:rFonts w:ascii="Cambria Math" w:hAnsi="Cambria Math" w:cs="Cambria Math"/>
          <w:color w:val="000000"/>
        </w:rPr>
        <w:t>∠</w:t>
      </w:r>
      <w:r w:rsidRPr="00FF3FE2">
        <w:rPr>
          <w:color w:val="000000"/>
        </w:rPr>
        <w:t xml:space="preserve">Zₙ. The dominant harmonic index n* = argmax_{n=1}^{K_F} |Zₙ| and the </w:t>
      </w:r>
      <w:r w:rsidR="00F70AF1" w:rsidRPr="00FF3FE2">
        <w:rPr>
          <w:color w:val="000000"/>
        </w:rPr>
        <w:t>normalized</w:t>
      </w:r>
      <w:r w:rsidRPr="00FF3FE2">
        <w:rPr>
          <w:color w:val="000000"/>
        </w:rPr>
        <w:t xml:space="preserve"> dominant frequency ratio ρ = n*/K_F </w:t>
      </w:r>
      <w:r w:rsidRPr="00FF3FE2">
        <w:rPr>
          <w:rFonts w:ascii="Cambria Math" w:hAnsi="Cambria Math" w:cs="Cambria Math"/>
          <w:color w:val="000000"/>
        </w:rPr>
        <w:t>∈</w:t>
      </w:r>
      <w:r w:rsidRPr="00FF3FE2">
        <w:rPr>
          <w:color w:val="000000"/>
        </w:rPr>
        <w:t xml:space="preserve"> (0, 1] encode the primary frequency regime as the conditioning signal for wavelet selection.</w:t>
      </w:r>
    </w:p>
    <w:p w14:paraId="4937F1E6" w14:textId="0B76C71B" w:rsidR="00B732AE" w:rsidRPr="00FF3FE2" w:rsidRDefault="00000000">
      <w:pPr>
        <w:pStyle w:val="Heading2"/>
        <w:rPr>
          <w:rFonts w:ascii="Times New Roman" w:hAnsi="Times New Roman" w:cs="Times New Roman"/>
        </w:rPr>
      </w:pPr>
      <w:r w:rsidRPr="00FF3FE2">
        <w:rPr>
          <w:rFonts w:ascii="Times New Roman" w:hAnsi="Times New Roman" w:cs="Times New Roman"/>
        </w:rPr>
        <w:t>5.3 Adaptive Wavelet Selection via Spectral Conditioning</w:t>
      </w:r>
    </w:p>
    <w:p w14:paraId="0247DC73" w14:textId="77777777" w:rsidR="00B732AE" w:rsidRPr="00FF3FE2" w:rsidRDefault="00000000">
      <w:pPr>
        <w:spacing w:before="80" w:after="80" w:line="290" w:lineRule="auto"/>
        <w:ind w:firstLine="720"/>
        <w:jc w:val="both"/>
      </w:pPr>
      <w:r w:rsidRPr="00FF3FE2">
        <w:rPr>
          <w:color w:val="000000"/>
        </w:rPr>
        <w:t>The wavelet family is selected by the following piecewise rule derived from wavelet approximation theory [9], mapping the frequency ratio ρ to the wavelet achieving optimal energy concentration for the corresponding signal smoothness class:</w:t>
      </w:r>
    </w:p>
    <w:p w14:paraId="19E0DDBA" w14:textId="77777777" w:rsidR="00B732AE" w:rsidRPr="00FF3FE2" w:rsidRDefault="00000000">
      <w:pPr>
        <w:spacing w:before="80" w:after="80"/>
        <w:jc w:val="center"/>
      </w:pPr>
      <w:r w:rsidRPr="00FF3FE2">
        <w:rPr>
          <w:i/>
          <w:iCs/>
          <w:color w:val="000000"/>
        </w:rPr>
        <w:t>ψ(ρ)  =  { db4  if  ρ &lt; 0.10;    db2  if  0.10 ≤ ρ &lt; 0.25;    Haar  if  ρ ≥ 0.25 }</w:t>
      </w:r>
    </w:p>
    <w:p w14:paraId="62A6FA05" w14:textId="15B76F93" w:rsidR="00B732AE" w:rsidRPr="00FF3FE2" w:rsidRDefault="00000000">
      <w:pPr>
        <w:spacing w:before="80" w:after="80" w:line="290" w:lineRule="auto"/>
        <w:ind w:firstLine="720"/>
        <w:jc w:val="both"/>
      </w:pPr>
      <w:r w:rsidRPr="00FF3FE2">
        <w:rPr>
          <w:color w:val="000000"/>
        </w:rPr>
        <w:t xml:space="preserve">The curvature signal κ(t) is decomposed using the selected wavelet ψ to decomposition level L = min(6, </w:t>
      </w:r>
      <w:proofErr w:type="spellStart"/>
      <w:r w:rsidRPr="00FF3FE2">
        <w:rPr>
          <w:color w:val="000000"/>
        </w:rPr>
        <w:t>L_max</w:t>
      </w:r>
      <w:proofErr w:type="spellEnd"/>
      <w:r w:rsidRPr="00FF3FE2">
        <w:rPr>
          <w:color w:val="000000"/>
        </w:rPr>
        <w:t xml:space="preserve">), where </w:t>
      </w:r>
      <w:proofErr w:type="spellStart"/>
      <w:r w:rsidRPr="00FF3FE2">
        <w:rPr>
          <w:color w:val="000000"/>
        </w:rPr>
        <w:t>L_max</w:t>
      </w:r>
      <w:proofErr w:type="spellEnd"/>
      <w:r w:rsidRPr="00FF3FE2">
        <w:rPr>
          <w:color w:val="000000"/>
        </w:rPr>
        <w:t xml:space="preserve"> = </w:t>
      </w:r>
      <w:r w:rsidRPr="00FF3FE2">
        <w:rPr>
          <w:rFonts w:ascii="Cambria Math" w:hAnsi="Cambria Math" w:cs="Cambria Math"/>
          <w:color w:val="000000"/>
        </w:rPr>
        <w:t>⌊</w:t>
      </w:r>
      <w:r w:rsidRPr="00FF3FE2">
        <w:rPr>
          <w:color w:val="000000"/>
        </w:rPr>
        <w:t>log₂(N / |ψ|)</w:t>
      </w:r>
      <w:r w:rsidRPr="00FF3FE2">
        <w:rPr>
          <w:rFonts w:ascii="Cambria Math" w:hAnsi="Cambria Math" w:cs="Cambria Math"/>
          <w:color w:val="000000"/>
        </w:rPr>
        <w:t>⌋</w:t>
      </w:r>
      <w:r w:rsidRPr="00FF3FE2">
        <w:rPr>
          <w:color w:val="000000"/>
        </w:rPr>
        <w:t xml:space="preserve"> and |ψ| denotes the wavelet filter length. Sub-band energies are computed as </w:t>
      </w:r>
      <w:proofErr w:type="spellStart"/>
      <w:r w:rsidRPr="00FF3FE2">
        <w:rPr>
          <w:color w:val="000000"/>
        </w:rPr>
        <w:t>E_l</w:t>
      </w:r>
      <w:proofErr w:type="spellEnd"/>
      <w:r w:rsidRPr="00FF3FE2">
        <w:rPr>
          <w:color w:val="000000"/>
        </w:rPr>
        <w:t xml:space="preserve"> = ‖c_l‖² / (|</w:t>
      </w:r>
      <w:proofErr w:type="spellStart"/>
      <w:r w:rsidRPr="00FF3FE2">
        <w:rPr>
          <w:color w:val="000000"/>
        </w:rPr>
        <w:t>c_l</w:t>
      </w:r>
      <w:proofErr w:type="spellEnd"/>
      <w:r w:rsidRPr="00FF3FE2">
        <w:rPr>
          <w:color w:val="000000"/>
        </w:rPr>
        <w:t xml:space="preserve">| + ε) for each detail coefficient vector </w:t>
      </w:r>
      <w:proofErr w:type="spellStart"/>
      <w:r w:rsidRPr="00FF3FE2">
        <w:rPr>
          <w:color w:val="000000"/>
        </w:rPr>
        <w:t>c_l</w:t>
      </w:r>
      <w:proofErr w:type="spellEnd"/>
      <w:r w:rsidRPr="00FF3FE2">
        <w:rPr>
          <w:color w:val="000000"/>
        </w:rPr>
        <w:t xml:space="preserve"> at level l, </w:t>
      </w:r>
      <w:r w:rsidR="00F70AF1" w:rsidRPr="00FF3FE2">
        <w:rPr>
          <w:color w:val="000000"/>
        </w:rPr>
        <w:t>normalized</w:t>
      </w:r>
      <w:r w:rsidRPr="00FF3FE2">
        <w:rPr>
          <w:color w:val="000000"/>
        </w:rPr>
        <w:t xml:space="preserve"> by sub-band size and then by total energy: </w:t>
      </w:r>
      <w:proofErr w:type="spellStart"/>
      <w:r w:rsidRPr="00FF3FE2">
        <w:rPr>
          <w:color w:val="000000"/>
        </w:rPr>
        <w:t>E_l</w:t>
      </w:r>
      <w:proofErr w:type="spellEnd"/>
      <w:r w:rsidRPr="00FF3FE2">
        <w:rPr>
          <w:color w:val="000000"/>
        </w:rPr>
        <w:t xml:space="preserve"> ← </w:t>
      </w:r>
      <w:proofErr w:type="spellStart"/>
      <w:r w:rsidRPr="00FF3FE2">
        <w:rPr>
          <w:color w:val="000000"/>
        </w:rPr>
        <w:t>E_l</w:t>
      </w:r>
      <w:proofErr w:type="spellEnd"/>
      <w:r w:rsidRPr="00FF3FE2">
        <w:rPr>
          <w:color w:val="000000"/>
        </w:rPr>
        <w:t xml:space="preserve"> / (</w:t>
      </w:r>
      <w:proofErr w:type="spellStart"/>
      <w:r w:rsidRPr="00FF3FE2">
        <w:rPr>
          <w:color w:val="000000"/>
        </w:rPr>
        <w:t>Σ_l</w:t>
      </w:r>
      <w:proofErr w:type="spellEnd"/>
      <w:r w:rsidRPr="00FF3FE2">
        <w:rPr>
          <w:color w:val="000000"/>
        </w:rPr>
        <w:t xml:space="preserve"> </w:t>
      </w:r>
      <w:proofErr w:type="spellStart"/>
      <w:r w:rsidRPr="00FF3FE2">
        <w:rPr>
          <w:color w:val="000000"/>
        </w:rPr>
        <w:t>E_l</w:t>
      </w:r>
      <w:proofErr w:type="spellEnd"/>
      <w:r w:rsidRPr="00FF3FE2">
        <w:rPr>
          <w:color w:val="000000"/>
        </w:rPr>
        <w:t xml:space="preserve"> + ε).</w:t>
      </w:r>
    </w:p>
    <w:p w14:paraId="3AD26D4E" w14:textId="39401ED0" w:rsidR="00B732AE" w:rsidRPr="00FF3FE2" w:rsidRDefault="00000000">
      <w:pPr>
        <w:pStyle w:val="Heading2"/>
        <w:rPr>
          <w:rFonts w:ascii="Times New Roman" w:hAnsi="Times New Roman" w:cs="Times New Roman"/>
        </w:rPr>
      </w:pPr>
      <w:r w:rsidRPr="00FF3FE2">
        <w:rPr>
          <w:rFonts w:ascii="Times New Roman" w:hAnsi="Times New Roman" w:cs="Times New Roman"/>
        </w:rPr>
        <w:t>5.4 Phase-Coherence Weighting: The Novel Coupling Operator</w:t>
      </w:r>
    </w:p>
    <w:p w14:paraId="35B81ADC" w14:textId="77777777" w:rsidR="00B732AE" w:rsidRPr="00FF3FE2" w:rsidRDefault="00000000">
      <w:pPr>
        <w:spacing w:before="80" w:after="80" w:line="290" w:lineRule="auto"/>
        <w:ind w:firstLine="720"/>
        <w:jc w:val="both"/>
      </w:pPr>
      <w:r w:rsidRPr="00FF3FE2">
        <w:rPr>
          <w:color w:val="000000"/>
        </w:rPr>
        <w:t xml:space="preserve">The phase-coherence weighting is the defining innovation of APCFW. Each sub-band energy </w:t>
      </w:r>
      <w:proofErr w:type="spellStart"/>
      <w:r w:rsidRPr="00FF3FE2">
        <w:rPr>
          <w:color w:val="000000"/>
        </w:rPr>
        <w:t>E_l</w:t>
      </w:r>
      <w:proofErr w:type="spellEnd"/>
      <w:r w:rsidRPr="00FF3FE2">
        <w:rPr>
          <w:color w:val="000000"/>
        </w:rPr>
        <w:t xml:space="preserve"> is modulated by the cosine of the Fourier phase at the harmonic index corresponding to that sub-band’s frequency range:</w:t>
      </w:r>
    </w:p>
    <w:p w14:paraId="72EB355F" w14:textId="77777777" w:rsidR="00B732AE" w:rsidRPr="00FF3FE2" w:rsidRDefault="00000000">
      <w:pPr>
        <w:spacing w:before="80" w:after="80"/>
        <w:jc w:val="center"/>
      </w:pPr>
      <w:proofErr w:type="spellStart"/>
      <w:r w:rsidRPr="00FF3FE2">
        <w:rPr>
          <w:i/>
          <w:iCs/>
          <w:color w:val="000000"/>
        </w:rPr>
        <w:t>Ọ_l</w:t>
      </w:r>
      <w:proofErr w:type="spellEnd"/>
      <w:r w:rsidRPr="00FF3FE2">
        <w:rPr>
          <w:i/>
          <w:iCs/>
          <w:color w:val="000000"/>
        </w:rPr>
        <w:t xml:space="preserve">  =  </w:t>
      </w:r>
      <w:proofErr w:type="spellStart"/>
      <w:r w:rsidRPr="00FF3FE2">
        <w:rPr>
          <w:i/>
          <w:iCs/>
          <w:color w:val="000000"/>
        </w:rPr>
        <w:t>E_l</w:t>
      </w:r>
      <w:proofErr w:type="spellEnd"/>
      <w:r w:rsidRPr="00FF3FE2">
        <w:rPr>
          <w:i/>
          <w:iCs/>
          <w:color w:val="000000"/>
        </w:rPr>
        <w:t xml:space="preserve"> · |cos(</w:t>
      </w:r>
      <w:r w:rsidRPr="00FF3FE2">
        <w:rPr>
          <w:rFonts w:ascii="Cambria Math" w:hAnsi="Cambria Math" w:cs="Cambria Math"/>
          <w:i/>
          <w:iCs/>
          <w:color w:val="000000"/>
        </w:rPr>
        <w:t>∠</w:t>
      </w:r>
      <w:r w:rsidRPr="00FF3FE2">
        <w:rPr>
          <w:i/>
          <w:iCs/>
          <w:color w:val="000000"/>
        </w:rPr>
        <w:t xml:space="preserve">Z_{h(l)})|  +  ε,     h(l)  =  min( l · </w:t>
      </w:r>
      <w:r w:rsidRPr="00FF3FE2">
        <w:rPr>
          <w:rFonts w:ascii="Cambria Math" w:hAnsi="Cambria Math" w:cs="Cambria Math"/>
          <w:i/>
          <w:iCs/>
          <w:color w:val="000000"/>
        </w:rPr>
        <w:t>⌊</w:t>
      </w:r>
      <w:r w:rsidRPr="00FF3FE2">
        <w:rPr>
          <w:i/>
          <w:iCs/>
          <w:color w:val="000000"/>
        </w:rPr>
        <w:t>n*/L</w:t>
      </w:r>
      <w:r w:rsidRPr="00FF3FE2">
        <w:rPr>
          <w:rFonts w:ascii="Cambria Math" w:hAnsi="Cambria Math" w:cs="Cambria Math"/>
          <w:i/>
          <w:iCs/>
          <w:color w:val="000000"/>
        </w:rPr>
        <w:t>⌋</w:t>
      </w:r>
      <w:r w:rsidRPr="00FF3FE2">
        <w:rPr>
          <w:i/>
          <w:iCs/>
          <w:color w:val="000000"/>
        </w:rPr>
        <w:t xml:space="preserve"> + 1,  K_F − 1 )</w:t>
      </w:r>
    </w:p>
    <w:p w14:paraId="446B7A58" w14:textId="41D62BA7" w:rsidR="00B732AE" w:rsidRPr="00FF3FE2" w:rsidRDefault="00000000">
      <w:pPr>
        <w:spacing w:before="80" w:after="80" w:line="290" w:lineRule="auto"/>
        <w:ind w:firstLine="720"/>
        <w:jc w:val="both"/>
      </w:pPr>
      <w:r w:rsidRPr="00FF3FE2">
        <w:rPr>
          <w:color w:val="000000"/>
        </w:rPr>
        <w:t xml:space="preserve">Fourier phase </w:t>
      </w:r>
      <w:r w:rsidRPr="00FF3FE2">
        <w:rPr>
          <w:rFonts w:ascii="Cambria Math" w:hAnsi="Cambria Math" w:cs="Cambria Math"/>
          <w:color w:val="000000"/>
        </w:rPr>
        <w:t>∠</w:t>
      </w:r>
      <w:r w:rsidRPr="00FF3FE2">
        <w:rPr>
          <w:color w:val="000000"/>
        </w:rPr>
        <w:t>Zₙ encodes the spatial alignment of the n-</w:t>
      </w:r>
      <w:proofErr w:type="spellStart"/>
      <w:r w:rsidRPr="00FF3FE2">
        <w:rPr>
          <w:color w:val="000000"/>
        </w:rPr>
        <w:t>th</w:t>
      </w:r>
      <w:proofErr w:type="spellEnd"/>
      <w:r w:rsidRPr="00FF3FE2">
        <w:rPr>
          <w:color w:val="000000"/>
        </w:rPr>
        <w:t xml:space="preserve"> harmonic component along the boundary. A sub-band whose corresponding phase is near 0 or π carries coherent, structurally informative content aligned with dominant boundary features; phases near π/2 indicate locally oscillatory, geometrically non-coherent content. The phase modulation suppresses wavelet sub-bands that, despite non-zero energy, correspond to globally incoherent boundary motion reducing within-class descriptor variance while preserving between-class discriminative </w:t>
      </w:r>
      <w:r w:rsidRPr="00FF3FE2">
        <w:rPr>
          <w:color w:val="000000"/>
        </w:rPr>
        <w:lastRenderedPageBreak/>
        <w:t xml:space="preserve">information. The final </w:t>
      </w:r>
      <w:r w:rsidR="00F70AF1" w:rsidRPr="00FF3FE2">
        <w:rPr>
          <w:color w:val="000000"/>
        </w:rPr>
        <w:t>normalized</w:t>
      </w:r>
      <w:r w:rsidRPr="00FF3FE2">
        <w:rPr>
          <w:color w:val="000000"/>
        </w:rPr>
        <w:t xml:space="preserve"> phase-coherent energy vector Ọ = {</w:t>
      </w:r>
      <w:proofErr w:type="spellStart"/>
      <w:r w:rsidRPr="00FF3FE2">
        <w:rPr>
          <w:color w:val="000000"/>
        </w:rPr>
        <w:t>Ọ_l</w:t>
      </w:r>
      <w:proofErr w:type="spellEnd"/>
      <w:r w:rsidRPr="00FF3FE2">
        <w:rPr>
          <w:color w:val="000000"/>
        </w:rPr>
        <w:t xml:space="preserve"> / </w:t>
      </w:r>
      <w:proofErr w:type="spellStart"/>
      <w:r w:rsidRPr="00FF3FE2">
        <w:rPr>
          <w:color w:val="000000"/>
        </w:rPr>
        <w:t>Σ_l</w:t>
      </w:r>
      <w:proofErr w:type="spellEnd"/>
      <w:r w:rsidRPr="00FF3FE2">
        <w:rPr>
          <w:color w:val="000000"/>
        </w:rPr>
        <w:t xml:space="preserve"> </w:t>
      </w:r>
      <w:proofErr w:type="spellStart"/>
      <w:r w:rsidRPr="00FF3FE2">
        <w:rPr>
          <w:color w:val="000000"/>
        </w:rPr>
        <w:t>Ọ_l</w:t>
      </w:r>
      <w:proofErr w:type="spellEnd"/>
      <w:r w:rsidRPr="00FF3FE2">
        <w:rPr>
          <w:color w:val="000000"/>
        </w:rPr>
        <w:t>} is a 16-dimensional descriptor geometrically coupling global spectral phase with local multi-resolution energy analysis.</w:t>
      </w:r>
    </w:p>
    <w:p w14:paraId="6A414D1F" w14:textId="77777777" w:rsidR="00B732AE" w:rsidRPr="00FF3FE2" w:rsidRDefault="00B732AE">
      <w:pPr>
        <w:spacing w:after="60"/>
      </w:pPr>
    </w:p>
    <w:p w14:paraId="66387F38" w14:textId="699BF792" w:rsidR="00B732AE" w:rsidRPr="00FF3FE2" w:rsidRDefault="00000000">
      <w:pPr>
        <w:pBdr>
          <w:top w:val="dashed" w:sz="6" w:space="0" w:color="2C5FA8"/>
          <w:left w:val="dashed" w:sz="6" w:space="0" w:color="2C5FA8"/>
          <w:bottom w:val="dashed" w:sz="6" w:space="0" w:color="2C5FA8"/>
          <w:right w:val="dashed" w:sz="6" w:space="0" w:color="2C5FA8"/>
        </w:pBdr>
        <w:spacing w:before="220" w:after="80"/>
        <w:jc w:val="center"/>
      </w:pPr>
      <w:r w:rsidRPr="00FF3FE2">
        <w:rPr>
          <w:b/>
          <w:bCs/>
          <w:color w:val="1A3A6B"/>
          <w:sz w:val="21"/>
          <w:szCs w:val="21"/>
        </w:rPr>
        <w:t xml:space="preserve">[ FIGURE 3 — </w:t>
      </w:r>
      <w:r w:rsidRPr="00FF3FE2">
        <w:rPr>
          <w:b/>
          <w:bCs/>
          <w:i/>
          <w:iCs/>
          <w:color w:val="1A3A6B"/>
          <w:sz w:val="21"/>
          <w:szCs w:val="21"/>
        </w:rPr>
        <w:t>APCFW Analysis — Fourier Spectra (Top) and Phase-Coherent Wavelet Sub-</w:t>
      </w:r>
      <w:r w:rsidR="00F70AF1" w:rsidRPr="00FF3FE2">
        <w:rPr>
          <w:b/>
          <w:bCs/>
          <w:i/>
          <w:iCs/>
          <w:color w:val="1A3A6B"/>
          <w:sz w:val="21"/>
          <w:szCs w:val="21"/>
        </w:rPr>
        <w:t>Band</w:t>
      </w:r>
      <w:r w:rsidRPr="00FF3FE2">
        <w:rPr>
          <w:b/>
          <w:bCs/>
          <w:i/>
          <w:iCs/>
          <w:color w:val="1A3A6B"/>
          <w:sz w:val="21"/>
          <w:szCs w:val="21"/>
        </w:rPr>
        <w:t xml:space="preserve"> Energies (Bottom) for 4 Classes</w:t>
      </w:r>
      <w:r w:rsidRPr="00FF3FE2">
        <w:rPr>
          <w:color w:val="777777"/>
          <w:sz w:val="20"/>
          <w:szCs w:val="20"/>
        </w:rPr>
        <w:t xml:space="preserve"> — Paste exported Colab figure here]</w:t>
      </w:r>
    </w:p>
    <w:p w14:paraId="207562D5" w14:textId="77777777" w:rsidR="00B732AE" w:rsidRPr="00FF3FE2" w:rsidRDefault="00000000">
      <w:pPr>
        <w:pBdr>
          <w:left w:val="single" w:sz="10" w:space="6" w:color="1A3A6B"/>
        </w:pBdr>
        <w:spacing w:before="60" w:after="220"/>
        <w:ind w:left="240" w:right="240"/>
        <w:jc w:val="both"/>
      </w:pPr>
      <w:r w:rsidRPr="00FF3FE2">
        <w:rPr>
          <w:b/>
          <w:bCs/>
          <w:color w:val="222222"/>
          <w:sz w:val="20"/>
          <w:szCs w:val="20"/>
        </w:rPr>
        <w:t xml:space="preserve">Figure 3: </w:t>
      </w:r>
      <w:r w:rsidRPr="00FF3FE2">
        <w:rPr>
          <w:i/>
          <w:iCs/>
          <w:color w:val="333333"/>
          <w:sz w:val="20"/>
          <w:szCs w:val="20"/>
        </w:rPr>
        <w:t xml:space="preserve">Phase-Coherent Fourier–Wavelet Fusion (APCFW) analysis. Top row: Fourier magnitude spectra |Zₙ|/|Z₁| for harmonics n = 1,...,40; red circle marks dominant harmonic n* (wavelet family in subplot title). Bottom row: phase-coherent sub-band energy distribution </w:t>
      </w:r>
      <w:proofErr w:type="spellStart"/>
      <w:r w:rsidRPr="00FF3FE2">
        <w:rPr>
          <w:i/>
          <w:iCs/>
          <w:color w:val="333333"/>
          <w:sz w:val="20"/>
          <w:szCs w:val="20"/>
        </w:rPr>
        <w:t>Ọ_l</w:t>
      </w:r>
      <w:proofErr w:type="spellEnd"/>
      <w:r w:rsidRPr="00FF3FE2">
        <w:rPr>
          <w:i/>
          <w:iCs/>
          <w:color w:val="333333"/>
          <w:sz w:val="20"/>
          <w:szCs w:val="20"/>
        </w:rPr>
        <w:t xml:space="preserve"> across 16 sub-bands. The camel class selects db4 and concentrates energy in approximation sub-bands; the star class selects Haar with distributed energy. This spectral coupling is impossible with independent concatenation. Source: Google Colab notebook, Figure 3.</w:t>
      </w:r>
    </w:p>
    <w:p w14:paraId="525D56E6" w14:textId="77777777" w:rsidR="00B732AE" w:rsidRPr="00FF3FE2" w:rsidRDefault="00000000">
      <w:pPr>
        <w:pStyle w:val="Heading1"/>
        <w:pBdr>
          <w:bottom w:val="single" w:sz="8" w:space="4" w:color="1A3A6B"/>
        </w:pBdr>
        <w:rPr>
          <w:rFonts w:ascii="Times New Roman" w:hAnsi="Times New Roman" w:cs="Times New Roman"/>
        </w:rPr>
      </w:pPr>
      <w:r w:rsidRPr="00FF3FE2">
        <w:rPr>
          <w:rFonts w:ascii="Times New Roman" w:hAnsi="Times New Roman" w:cs="Times New Roman"/>
        </w:rPr>
        <w:t>6.  CONTRIBUTION C2: TOPOLOGICAL PERSISTENCE AUGMENTATION</w:t>
      </w:r>
    </w:p>
    <w:p w14:paraId="61DBA75E" w14:textId="1F7594C0" w:rsidR="00B732AE" w:rsidRPr="00FF3FE2" w:rsidRDefault="00000000">
      <w:pPr>
        <w:pStyle w:val="Heading2"/>
        <w:rPr>
          <w:rFonts w:ascii="Times New Roman" w:hAnsi="Times New Roman" w:cs="Times New Roman"/>
        </w:rPr>
      </w:pPr>
      <w:r w:rsidRPr="00FF3FE2">
        <w:rPr>
          <w:rFonts w:ascii="Times New Roman" w:hAnsi="Times New Roman" w:cs="Times New Roman"/>
        </w:rPr>
        <w:t>6.1 Motivation</w:t>
      </w:r>
    </w:p>
    <w:p w14:paraId="42B0BDFB" w14:textId="01248E4A" w:rsidR="00B732AE" w:rsidRPr="00FF3FE2" w:rsidRDefault="00000000">
      <w:pPr>
        <w:spacing w:before="80" w:after="80" w:line="290" w:lineRule="auto"/>
        <w:ind w:firstLine="720"/>
        <w:jc w:val="both"/>
      </w:pPr>
      <w:r w:rsidRPr="00FF3FE2">
        <w:rPr>
          <w:color w:val="000000"/>
        </w:rPr>
        <w:t>The fundamental limitation of spectral shape descriptors is their inability to distinguish shapes that are metrically similar but topologically distinct. In many real-world shape databases, shapes from different categories have nearly identical Fourier coefficient distributions: a simple oval and a figure-eight at coarse resolution; a circle and a torus boundary at fine resolution. Persistent homology provides the mathematical framework for encoding topological invariants connected components, loops, and higher-dimensional voids that are completely invisible to spectral analyses yet are among the most perceptually salient shape properties. In the KIMIA-216 context, this is directly relevant for classes such as octopus (multiple arms with high β₁), star (n-fold rotational symmetry with distinctive curvature loop structure), and fork (parallel tines creating topological complexity in the curvature signal).</w:t>
      </w:r>
    </w:p>
    <w:p w14:paraId="11751131" w14:textId="727369A6" w:rsidR="00B732AE" w:rsidRPr="00FF3FE2" w:rsidRDefault="00000000">
      <w:pPr>
        <w:pStyle w:val="Heading2"/>
        <w:rPr>
          <w:rFonts w:ascii="Times New Roman" w:hAnsi="Times New Roman" w:cs="Times New Roman"/>
        </w:rPr>
      </w:pPr>
      <w:r w:rsidRPr="00FF3FE2">
        <w:rPr>
          <w:rFonts w:ascii="Times New Roman" w:hAnsi="Times New Roman" w:cs="Times New Roman"/>
        </w:rPr>
        <w:t>6.2 Time-Delay Embedding of the Curvature Signal</w:t>
      </w:r>
    </w:p>
    <w:p w14:paraId="53213175" w14:textId="77777777" w:rsidR="00B732AE" w:rsidRPr="00FF3FE2" w:rsidRDefault="00000000">
      <w:pPr>
        <w:spacing w:before="80" w:after="80" w:line="290" w:lineRule="auto"/>
        <w:ind w:firstLine="720"/>
        <w:jc w:val="both"/>
      </w:pPr>
      <w:r w:rsidRPr="00FF3FE2">
        <w:rPr>
          <w:color w:val="000000"/>
        </w:rPr>
        <w:t xml:space="preserve">We apply persistent homology to the curvature signal κ(t) rather than directly to the 2D boundary contour. Curvature concentrates topologically relevant information: concavities appear as regions of negative curvature, convex protrusions as positive peaks, and topological handles as alternating-sign sequences. Direct 1D persistent homology would capture only H₀ features (connected components of sublevel sets). Following </w:t>
      </w:r>
      <w:proofErr w:type="spellStart"/>
      <w:r w:rsidRPr="00FF3FE2">
        <w:rPr>
          <w:color w:val="000000"/>
        </w:rPr>
        <w:t>Takens</w:t>
      </w:r>
      <w:proofErr w:type="spellEnd"/>
      <w:r w:rsidRPr="00FF3FE2">
        <w:rPr>
          <w:color w:val="000000"/>
        </w:rPr>
        <w:t>’ embedding theorem [40], we use a two-dimensional time-delay embedding to lift the 1D signal to a 2D point cloud encoding self-recurrence structure:</w:t>
      </w:r>
    </w:p>
    <w:p w14:paraId="3B73393C" w14:textId="77777777" w:rsidR="00B732AE" w:rsidRPr="00FF3FE2" w:rsidRDefault="00000000">
      <w:pPr>
        <w:spacing w:before="80" w:after="80"/>
        <w:jc w:val="center"/>
      </w:pPr>
      <w:proofErr w:type="spellStart"/>
      <w:r w:rsidRPr="00FF3FE2">
        <w:rPr>
          <w:i/>
          <w:iCs/>
          <w:color w:val="000000"/>
        </w:rPr>
        <w:t>X_κ</w:t>
      </w:r>
      <w:proofErr w:type="spellEnd"/>
      <w:r w:rsidRPr="00FF3FE2">
        <w:rPr>
          <w:i/>
          <w:iCs/>
          <w:color w:val="000000"/>
        </w:rPr>
        <w:t xml:space="preserve">  =  { (κ̃(t), κ̃(</w:t>
      </w:r>
      <w:proofErr w:type="spellStart"/>
      <w:r w:rsidRPr="00FF3FE2">
        <w:rPr>
          <w:i/>
          <w:iCs/>
          <w:color w:val="000000"/>
        </w:rPr>
        <w:t>t+τ</w:t>
      </w:r>
      <w:proofErr w:type="spellEnd"/>
      <w:r w:rsidRPr="00FF3FE2">
        <w:rPr>
          <w:i/>
          <w:iCs/>
          <w:color w:val="000000"/>
        </w:rPr>
        <w:t xml:space="preserve">)) : t = 0,...,N−τ−1 },     κ̃ = (κ − </w:t>
      </w:r>
      <w:proofErr w:type="spellStart"/>
      <w:r w:rsidRPr="00FF3FE2">
        <w:rPr>
          <w:i/>
          <w:iCs/>
          <w:color w:val="000000"/>
        </w:rPr>
        <w:t>minκ</w:t>
      </w:r>
      <w:proofErr w:type="spellEnd"/>
      <w:r w:rsidRPr="00FF3FE2">
        <w:rPr>
          <w:i/>
          <w:iCs/>
          <w:color w:val="000000"/>
        </w:rPr>
        <w:t>) / (</w:t>
      </w:r>
      <w:proofErr w:type="spellStart"/>
      <w:r w:rsidRPr="00FF3FE2">
        <w:rPr>
          <w:i/>
          <w:iCs/>
          <w:color w:val="000000"/>
        </w:rPr>
        <w:t>maxκ</w:t>
      </w:r>
      <w:proofErr w:type="spellEnd"/>
      <w:r w:rsidRPr="00FF3FE2">
        <w:rPr>
          <w:i/>
          <w:iCs/>
          <w:color w:val="000000"/>
        </w:rPr>
        <w:t xml:space="preserve"> − </w:t>
      </w:r>
      <w:proofErr w:type="spellStart"/>
      <w:r w:rsidRPr="00FF3FE2">
        <w:rPr>
          <w:i/>
          <w:iCs/>
          <w:color w:val="000000"/>
        </w:rPr>
        <w:t>minκ</w:t>
      </w:r>
      <w:proofErr w:type="spellEnd"/>
      <w:r w:rsidRPr="00FF3FE2">
        <w:rPr>
          <w:i/>
          <w:iCs/>
          <w:color w:val="000000"/>
        </w:rPr>
        <w:t xml:space="preserve"> + ε)</w:t>
      </w:r>
    </w:p>
    <w:p w14:paraId="4E678392" w14:textId="77777777" w:rsidR="00B732AE" w:rsidRPr="00FF3FE2" w:rsidRDefault="00000000">
      <w:pPr>
        <w:spacing w:before="80" w:after="80" w:line="290" w:lineRule="auto"/>
        <w:ind w:firstLine="720"/>
        <w:jc w:val="both"/>
      </w:pPr>
      <w:r w:rsidRPr="00FF3FE2">
        <w:rPr>
          <w:color w:val="000000"/>
        </w:rPr>
        <w:t xml:space="preserve">with lag τ = 5, determined empirically to </w:t>
      </w:r>
      <w:proofErr w:type="spellStart"/>
      <w:r w:rsidRPr="00FF3FE2">
        <w:rPr>
          <w:color w:val="000000"/>
        </w:rPr>
        <w:t>maximise</w:t>
      </w:r>
      <w:proofErr w:type="spellEnd"/>
      <w:r w:rsidRPr="00FF3FE2">
        <w:rPr>
          <w:color w:val="000000"/>
        </w:rPr>
        <w:t xml:space="preserve"> H₁ persistence for the KIMIA-216 curvature range. The </w:t>
      </w:r>
      <w:proofErr w:type="spellStart"/>
      <w:r w:rsidRPr="00FF3FE2">
        <w:rPr>
          <w:color w:val="000000"/>
        </w:rPr>
        <w:t>normalisation</w:t>
      </w:r>
      <w:proofErr w:type="spellEnd"/>
      <w:r w:rsidRPr="00FF3FE2">
        <w:rPr>
          <w:color w:val="000000"/>
        </w:rPr>
        <w:t xml:space="preserve"> κ̃ </w:t>
      </w:r>
      <w:r w:rsidRPr="00FF3FE2">
        <w:rPr>
          <w:rFonts w:ascii="Cambria Math" w:hAnsi="Cambria Math" w:cs="Cambria Math"/>
          <w:color w:val="000000"/>
        </w:rPr>
        <w:t>∈</w:t>
      </w:r>
      <w:r w:rsidRPr="00FF3FE2">
        <w:rPr>
          <w:color w:val="000000"/>
        </w:rPr>
        <w:t xml:space="preserve"> [0, 1] ensures scale consistency across classes.</w:t>
      </w:r>
    </w:p>
    <w:p w14:paraId="742F4A88" w14:textId="50A8EB0F" w:rsidR="00B732AE" w:rsidRPr="00FF3FE2" w:rsidRDefault="00000000">
      <w:pPr>
        <w:pStyle w:val="Heading2"/>
        <w:rPr>
          <w:rFonts w:ascii="Times New Roman" w:hAnsi="Times New Roman" w:cs="Times New Roman"/>
        </w:rPr>
      </w:pPr>
      <w:r w:rsidRPr="00FF3FE2">
        <w:rPr>
          <w:rFonts w:ascii="Times New Roman" w:hAnsi="Times New Roman" w:cs="Times New Roman"/>
        </w:rPr>
        <w:t>6.3 Vietoris–Rips Persistent Homology</w:t>
      </w:r>
    </w:p>
    <w:p w14:paraId="554B4315" w14:textId="77777777" w:rsidR="00B732AE" w:rsidRPr="00FF3FE2" w:rsidRDefault="00000000">
      <w:pPr>
        <w:spacing w:before="80" w:after="80" w:line="290" w:lineRule="auto"/>
        <w:ind w:firstLine="720"/>
        <w:jc w:val="both"/>
      </w:pPr>
      <w:r w:rsidRPr="00FF3FE2">
        <w:rPr>
          <w:color w:val="000000"/>
        </w:rPr>
        <w:t xml:space="preserve">Vietoris–Rips persistent homology is computed on </w:t>
      </w:r>
      <w:proofErr w:type="spellStart"/>
      <w:r w:rsidRPr="00FF3FE2">
        <w:rPr>
          <w:color w:val="000000"/>
        </w:rPr>
        <w:t>X_κ</w:t>
      </w:r>
      <w:proofErr w:type="spellEnd"/>
      <w:r w:rsidRPr="00FF3FE2">
        <w:rPr>
          <w:color w:val="000000"/>
        </w:rPr>
        <w:t xml:space="preserve"> using the </w:t>
      </w:r>
      <w:proofErr w:type="spellStart"/>
      <w:r w:rsidRPr="00FF3FE2">
        <w:rPr>
          <w:color w:val="000000"/>
        </w:rPr>
        <w:t>Ripser</w:t>
      </w:r>
      <w:proofErr w:type="spellEnd"/>
      <w:r w:rsidRPr="00FF3FE2">
        <w:rPr>
          <w:color w:val="000000"/>
        </w:rPr>
        <w:t xml:space="preserve"> library [22], constructing the filtration {</w:t>
      </w:r>
      <w:proofErr w:type="spellStart"/>
      <w:r w:rsidRPr="00FF3FE2">
        <w:rPr>
          <w:color w:val="000000"/>
        </w:rPr>
        <w:t>VR_ε</w:t>
      </w:r>
      <w:proofErr w:type="spellEnd"/>
      <w:r w:rsidRPr="00FF3FE2">
        <w:rPr>
          <w:color w:val="000000"/>
        </w:rPr>
        <w:t>(</w:t>
      </w:r>
      <w:proofErr w:type="spellStart"/>
      <w:r w:rsidRPr="00FF3FE2">
        <w:rPr>
          <w:color w:val="000000"/>
        </w:rPr>
        <w:t>X_κ</w:t>
      </w:r>
      <w:proofErr w:type="spellEnd"/>
      <w:r w:rsidRPr="00FF3FE2">
        <w:rPr>
          <w:color w:val="000000"/>
        </w:rPr>
        <w:t xml:space="preserve">)}_{ε≥0} by connecting all point pairs within distance ε and tracking topological feature birth and death as ε increases. The computation yields persistence diagrams </w:t>
      </w:r>
      <w:proofErr w:type="spellStart"/>
      <w:r w:rsidRPr="00FF3FE2">
        <w:rPr>
          <w:color w:val="000000"/>
        </w:rPr>
        <w:t>D_k</w:t>
      </w:r>
      <w:proofErr w:type="spellEnd"/>
      <w:r w:rsidRPr="00FF3FE2">
        <w:rPr>
          <w:color w:val="000000"/>
        </w:rPr>
        <w:t xml:space="preserve"> = {(</w:t>
      </w:r>
      <w:proofErr w:type="spellStart"/>
      <w:r w:rsidRPr="00FF3FE2">
        <w:rPr>
          <w:color w:val="000000"/>
        </w:rPr>
        <w:t>b_i</w:t>
      </w:r>
      <w:proofErr w:type="spellEnd"/>
      <w:r w:rsidRPr="00FF3FE2">
        <w:rPr>
          <w:color w:val="000000"/>
        </w:rPr>
        <w:t xml:space="preserve">, </w:t>
      </w:r>
      <w:proofErr w:type="spellStart"/>
      <w:r w:rsidRPr="00FF3FE2">
        <w:rPr>
          <w:color w:val="000000"/>
        </w:rPr>
        <w:t>d_i</w:t>
      </w:r>
      <w:proofErr w:type="spellEnd"/>
      <w:r w:rsidRPr="00FF3FE2">
        <w:rPr>
          <w:color w:val="000000"/>
        </w:rPr>
        <w:t>)} for k = 0, 1, where each pair records the birth and death filtration values of the i-</w:t>
      </w:r>
      <w:proofErr w:type="spellStart"/>
      <w:r w:rsidRPr="00FF3FE2">
        <w:rPr>
          <w:color w:val="000000"/>
        </w:rPr>
        <w:t>th</w:t>
      </w:r>
      <w:proofErr w:type="spellEnd"/>
      <w:r w:rsidRPr="00FF3FE2">
        <w:rPr>
          <w:color w:val="000000"/>
        </w:rPr>
        <w:t xml:space="preserve"> topological feature. Points distant from the diagonal (large lifetime </w:t>
      </w:r>
      <w:proofErr w:type="spellStart"/>
      <w:r w:rsidRPr="00FF3FE2">
        <w:rPr>
          <w:color w:val="000000"/>
        </w:rPr>
        <w:t>lt_i</w:t>
      </w:r>
      <w:proofErr w:type="spellEnd"/>
      <w:r w:rsidRPr="00FF3FE2">
        <w:rPr>
          <w:color w:val="000000"/>
        </w:rPr>
        <w:t xml:space="preserve"> = </w:t>
      </w:r>
      <w:proofErr w:type="spellStart"/>
      <w:r w:rsidRPr="00FF3FE2">
        <w:rPr>
          <w:color w:val="000000"/>
        </w:rPr>
        <w:t>d_i</w:t>
      </w:r>
      <w:proofErr w:type="spellEnd"/>
      <w:r w:rsidRPr="00FF3FE2">
        <w:rPr>
          <w:color w:val="000000"/>
        </w:rPr>
        <w:t xml:space="preserve"> − </w:t>
      </w:r>
      <w:proofErr w:type="spellStart"/>
      <w:r w:rsidRPr="00FF3FE2">
        <w:rPr>
          <w:color w:val="000000"/>
        </w:rPr>
        <w:t>b_i</w:t>
      </w:r>
      <w:proofErr w:type="spellEnd"/>
      <w:r w:rsidRPr="00FF3FE2">
        <w:rPr>
          <w:color w:val="000000"/>
        </w:rPr>
        <w:t>) correspond to robust topological features; near-diagonal points are noise-induced ephemeral features that the persistence stability theorem guarantees vanish with the noise.</w:t>
      </w:r>
    </w:p>
    <w:p w14:paraId="43596A40" w14:textId="620F02DF" w:rsidR="00B732AE" w:rsidRPr="00FF3FE2" w:rsidRDefault="00000000">
      <w:pPr>
        <w:pStyle w:val="Heading2"/>
        <w:rPr>
          <w:rFonts w:ascii="Times New Roman" w:hAnsi="Times New Roman" w:cs="Times New Roman"/>
        </w:rPr>
      </w:pPr>
      <w:r w:rsidRPr="00FF3FE2">
        <w:rPr>
          <w:rFonts w:ascii="Times New Roman" w:hAnsi="Times New Roman" w:cs="Times New Roman"/>
        </w:rPr>
        <w:t xml:space="preserve">6.4 Fixed-Length </w:t>
      </w:r>
      <w:r w:rsidR="00F70AF1" w:rsidRPr="00FF3FE2">
        <w:rPr>
          <w:rFonts w:ascii="Times New Roman" w:hAnsi="Times New Roman" w:cs="Times New Roman"/>
        </w:rPr>
        <w:t>Vectorization</w:t>
      </w:r>
    </w:p>
    <w:p w14:paraId="584DE91F" w14:textId="4A7F14D5" w:rsidR="00B732AE" w:rsidRPr="00FF3FE2" w:rsidRDefault="00000000">
      <w:pPr>
        <w:spacing w:before="80" w:after="80" w:line="290" w:lineRule="auto"/>
        <w:ind w:firstLine="720"/>
        <w:jc w:val="both"/>
      </w:pPr>
      <w:r w:rsidRPr="00FF3FE2">
        <w:rPr>
          <w:color w:val="000000"/>
        </w:rPr>
        <w:lastRenderedPageBreak/>
        <w:t xml:space="preserve">For each homology class k </w:t>
      </w:r>
      <w:r w:rsidRPr="00FF3FE2">
        <w:rPr>
          <w:rFonts w:ascii="Cambria Math" w:hAnsi="Cambria Math" w:cs="Cambria Math"/>
          <w:color w:val="000000"/>
        </w:rPr>
        <w:t>∈</w:t>
      </w:r>
      <w:r w:rsidRPr="00FF3FE2">
        <w:rPr>
          <w:color w:val="000000"/>
        </w:rPr>
        <w:t xml:space="preserve"> {0, 1}: (i) sorted lifetimes the top 8 lifetimes in descending order, zero-padded when fewer than 8 finite features exist; (ii) sorted births the top 8 birth values; (iii) summary statistics total persistence Σ </w:t>
      </w:r>
      <w:proofErr w:type="spellStart"/>
      <w:r w:rsidRPr="00FF3FE2">
        <w:rPr>
          <w:color w:val="000000"/>
        </w:rPr>
        <w:t>lt_i</w:t>
      </w:r>
      <w:proofErr w:type="spellEnd"/>
      <w:r w:rsidRPr="00FF3FE2">
        <w:rPr>
          <w:color w:val="000000"/>
        </w:rPr>
        <w:t xml:space="preserve">, maximum lifetime, and approximate Betti number β̂_k (count of features with </w:t>
      </w:r>
      <w:proofErr w:type="spellStart"/>
      <w:r w:rsidRPr="00FF3FE2">
        <w:rPr>
          <w:color w:val="000000"/>
        </w:rPr>
        <w:t>lt_i</w:t>
      </w:r>
      <w:proofErr w:type="spellEnd"/>
      <w:r w:rsidRPr="00FF3FE2">
        <w:rPr>
          <w:color w:val="000000"/>
        </w:rPr>
        <w:t xml:space="preserve"> &gt; 0.01). The combined topological vector contributes 37 dimensions (8 lifetimes + 8 births per </w:t>
      </w:r>
      <w:proofErr w:type="spellStart"/>
      <w:r w:rsidRPr="00FF3FE2">
        <w:rPr>
          <w:color w:val="000000"/>
        </w:rPr>
        <w:t>H_k</w:t>
      </w:r>
      <w:proofErr w:type="spellEnd"/>
      <w:r w:rsidRPr="00FF3FE2">
        <w:rPr>
          <w:color w:val="000000"/>
        </w:rPr>
        <w:t xml:space="preserve"> class × 2 classes + 5 summary statistics). By the persistence stability theorem [11], if two curvature signals differ by at most δ in L∞, the </w:t>
      </w:r>
      <w:r w:rsidR="00F70AF1" w:rsidRPr="00FF3FE2">
        <w:rPr>
          <w:color w:val="000000"/>
        </w:rPr>
        <w:t>vectorized</w:t>
      </w:r>
      <w:r w:rsidRPr="00FF3FE2">
        <w:rPr>
          <w:color w:val="000000"/>
        </w:rPr>
        <w:t xml:space="preserve"> persistence features differ by at most δ in the induced metric, providing a provable noise-robustness bound unavailable to spectral features.</w:t>
      </w:r>
    </w:p>
    <w:p w14:paraId="3FF53C3A" w14:textId="77777777" w:rsidR="00B732AE" w:rsidRPr="00FF3FE2" w:rsidRDefault="00B732AE">
      <w:pPr>
        <w:spacing w:after="60"/>
      </w:pPr>
    </w:p>
    <w:p w14:paraId="3E14617A" w14:textId="381F9204" w:rsidR="00B732AE" w:rsidRPr="00FF3FE2" w:rsidRDefault="00000000">
      <w:pPr>
        <w:pBdr>
          <w:top w:val="dashed" w:sz="6" w:space="0" w:color="2C5FA8"/>
          <w:left w:val="dashed" w:sz="6" w:space="0" w:color="2C5FA8"/>
          <w:bottom w:val="dashed" w:sz="6" w:space="0" w:color="2C5FA8"/>
          <w:right w:val="dashed" w:sz="6" w:space="0" w:color="2C5FA8"/>
        </w:pBdr>
        <w:spacing w:before="220" w:after="80"/>
        <w:jc w:val="center"/>
      </w:pPr>
      <w:r w:rsidRPr="00FF3FE2">
        <w:rPr>
          <w:b/>
          <w:bCs/>
          <w:color w:val="1A3A6B"/>
          <w:sz w:val="21"/>
          <w:szCs w:val="21"/>
        </w:rPr>
        <w:t xml:space="preserve">[ FIGURE 4 — </w:t>
      </w:r>
      <w:r w:rsidRPr="00FF3FE2">
        <w:rPr>
          <w:b/>
          <w:bCs/>
          <w:i/>
          <w:iCs/>
          <w:color w:val="1A3A6B"/>
          <w:sz w:val="21"/>
          <w:szCs w:val="21"/>
        </w:rPr>
        <w:t>Topological Persistence Diagrams — Curvature Signals (Top) and H₀/H₁ Diagrams (Bottom) for 4 Classes</w:t>
      </w:r>
      <w:r w:rsidRPr="00FF3FE2">
        <w:rPr>
          <w:color w:val="777777"/>
          <w:sz w:val="20"/>
          <w:szCs w:val="20"/>
        </w:rPr>
        <w:t xml:space="preserve"> — Paste exported Colab figure here]</w:t>
      </w:r>
    </w:p>
    <w:p w14:paraId="2EEC4815" w14:textId="77777777" w:rsidR="00B732AE" w:rsidRPr="00FF3FE2" w:rsidRDefault="00000000">
      <w:pPr>
        <w:pBdr>
          <w:left w:val="single" w:sz="10" w:space="6" w:color="1A3A6B"/>
        </w:pBdr>
        <w:spacing w:before="60" w:after="220"/>
        <w:ind w:left="240" w:right="240"/>
        <w:jc w:val="both"/>
      </w:pPr>
      <w:r w:rsidRPr="00FF3FE2">
        <w:rPr>
          <w:b/>
          <w:bCs/>
          <w:color w:val="222222"/>
          <w:sz w:val="20"/>
          <w:szCs w:val="20"/>
        </w:rPr>
        <w:t xml:space="preserve">Figure 4: </w:t>
      </w:r>
      <w:r w:rsidRPr="00FF3FE2">
        <w:rPr>
          <w:i/>
          <w:iCs/>
          <w:color w:val="333333"/>
          <w:sz w:val="20"/>
          <w:szCs w:val="20"/>
        </w:rPr>
        <w:t>Topological Persistence Augmentation. Top row: curvature signal κ(t) for four KIMIA-216 classes with shaded fill. Bottom row: persistence diagrams for H₀ (blue points) and H₁ (orange triangles) from the Vietoris–Rips filtration on the time-delay embedding of κ(t). Points distant from the diagonal represent robust topological features. The octopus and star classes exhibit qualitatively distinct H₁ structures despite similar metric profiles, illustrating discriminative topological information invisible to Fourier and Wavelet descriptors. Source: Google Colab notebook, Figure 4.</w:t>
      </w:r>
    </w:p>
    <w:p w14:paraId="39962166" w14:textId="77777777" w:rsidR="00B732AE" w:rsidRPr="00FF3FE2" w:rsidRDefault="00000000">
      <w:pPr>
        <w:pStyle w:val="Heading1"/>
        <w:pBdr>
          <w:bottom w:val="single" w:sz="8" w:space="4" w:color="1A3A6B"/>
        </w:pBdr>
        <w:rPr>
          <w:rFonts w:ascii="Times New Roman" w:hAnsi="Times New Roman" w:cs="Times New Roman"/>
        </w:rPr>
      </w:pPr>
      <w:r w:rsidRPr="00FF3FE2">
        <w:rPr>
          <w:rFonts w:ascii="Times New Roman" w:hAnsi="Times New Roman" w:cs="Times New Roman"/>
        </w:rPr>
        <w:t>7.  CONTRIBUTION C3: SPD RIEMANNIAN MANIFOLD EMBEDDING</w:t>
      </w:r>
    </w:p>
    <w:p w14:paraId="4F8C22BE" w14:textId="2E317547" w:rsidR="00B732AE" w:rsidRPr="00FF3FE2" w:rsidRDefault="00000000">
      <w:pPr>
        <w:pStyle w:val="Heading2"/>
        <w:rPr>
          <w:rFonts w:ascii="Times New Roman" w:hAnsi="Times New Roman" w:cs="Times New Roman"/>
        </w:rPr>
      </w:pPr>
      <w:r w:rsidRPr="00FF3FE2">
        <w:rPr>
          <w:rFonts w:ascii="Times New Roman" w:hAnsi="Times New Roman" w:cs="Times New Roman"/>
        </w:rPr>
        <w:t>7.1 Motivation</w:t>
      </w:r>
    </w:p>
    <w:p w14:paraId="4E1DA0F3" w14:textId="7EB70975" w:rsidR="00B732AE" w:rsidRPr="00FF3FE2" w:rsidRDefault="00000000">
      <w:pPr>
        <w:spacing w:before="80" w:after="80" w:line="290" w:lineRule="auto"/>
        <w:ind w:firstLine="720"/>
        <w:jc w:val="both"/>
      </w:pPr>
      <w:r w:rsidRPr="00FF3FE2">
        <w:rPr>
          <w:color w:val="000000"/>
        </w:rPr>
        <w:t xml:space="preserve">The standard Euclidean distance between shape descriptor vectors assumes that the feature space is flat. This assumption is violated when descriptors encode covariance structure: the space of </w:t>
      </w:r>
      <w:proofErr w:type="spellStart"/>
      <w:r w:rsidRPr="00FF3FE2">
        <w:rPr>
          <w:color w:val="000000"/>
        </w:rPr>
        <w:t>d×d</w:t>
      </w:r>
      <w:proofErr w:type="spellEnd"/>
      <w:r w:rsidRPr="00FF3FE2">
        <w:rPr>
          <w:color w:val="000000"/>
        </w:rPr>
        <w:t xml:space="preserve"> Symmetric Positive Definite matrices is a curved Riemannian manifold Sym⁺(d) with non-zero sectional curvature. Euclidean distance on this manifold produces distance distortions that become severe when compared matrices are distant in the manifold precisely the case for shapes from different classes. The Log-Euclidean framework of </w:t>
      </w:r>
      <w:proofErr w:type="spellStart"/>
      <w:r w:rsidRPr="00FF3FE2">
        <w:rPr>
          <w:color w:val="000000"/>
        </w:rPr>
        <w:t>Arsigny</w:t>
      </w:r>
      <w:proofErr w:type="spellEnd"/>
      <w:r w:rsidRPr="00FF3FE2">
        <w:rPr>
          <w:color w:val="000000"/>
        </w:rPr>
        <w:t xml:space="preserve"> et al. [12] addresses this by mapping SPD matrices to their tangent space at the identity via the matrix logarithm, where operations are computationally efficient while approximately preserving the manifold geometry. The AIRM of Pennec et al. [13] provides the exact geodesic distance.</w:t>
      </w:r>
    </w:p>
    <w:p w14:paraId="61B46085" w14:textId="4EF2C05E" w:rsidR="00B732AE" w:rsidRPr="00FF3FE2" w:rsidRDefault="00000000">
      <w:pPr>
        <w:pStyle w:val="Heading2"/>
        <w:rPr>
          <w:rFonts w:ascii="Times New Roman" w:hAnsi="Times New Roman" w:cs="Times New Roman"/>
        </w:rPr>
      </w:pPr>
      <w:r w:rsidRPr="00FF3FE2">
        <w:rPr>
          <w:rFonts w:ascii="Times New Roman" w:hAnsi="Times New Roman" w:cs="Times New Roman"/>
        </w:rPr>
        <w:t>7.2 SPD Matrix Construction</w:t>
      </w:r>
    </w:p>
    <w:p w14:paraId="5FE7AAC7" w14:textId="3BB3C03E" w:rsidR="00B732AE" w:rsidRPr="00FF3FE2" w:rsidRDefault="00000000">
      <w:pPr>
        <w:spacing w:before="80" w:after="80" w:line="290" w:lineRule="auto"/>
        <w:ind w:firstLine="720"/>
        <w:jc w:val="both"/>
      </w:pPr>
      <w:r w:rsidRPr="00FF3FE2">
        <w:rPr>
          <w:color w:val="000000"/>
        </w:rPr>
        <w:t xml:space="preserve">Given the APCFW spectral feature </w:t>
      </w:r>
      <w:r w:rsidR="00F70AF1" w:rsidRPr="00FF3FE2">
        <w:rPr>
          <w:color w:val="000000"/>
        </w:rPr>
        <w:t>sub vector</w:t>
      </w:r>
      <w:r w:rsidRPr="00FF3FE2">
        <w:rPr>
          <w:color w:val="000000"/>
        </w:rPr>
        <w:t xml:space="preserve"> f </w:t>
      </w:r>
      <w:r w:rsidRPr="00FF3FE2">
        <w:rPr>
          <w:rFonts w:ascii="Cambria Math" w:hAnsi="Cambria Math" w:cs="Cambria Math"/>
          <w:color w:val="000000"/>
        </w:rPr>
        <w:t>∈</w:t>
      </w:r>
      <w:r w:rsidRPr="00FF3FE2">
        <w:rPr>
          <w:color w:val="000000"/>
        </w:rPr>
        <w:t xml:space="preserve"> </w:t>
      </w:r>
      <w:proofErr w:type="spellStart"/>
      <w:r w:rsidRPr="00FF3FE2">
        <w:rPr>
          <w:color w:val="000000"/>
        </w:rPr>
        <w:t>ℝ^d</w:t>
      </w:r>
      <w:proofErr w:type="spellEnd"/>
      <w:r w:rsidRPr="00FF3FE2">
        <w:rPr>
          <w:color w:val="000000"/>
        </w:rPr>
        <w:t xml:space="preserve"> (Fourier magnitudes concatenated with phase-coherent wavelet energies), the </w:t>
      </w:r>
      <w:r w:rsidR="00F70AF1" w:rsidRPr="00FF3FE2">
        <w:rPr>
          <w:color w:val="000000"/>
        </w:rPr>
        <w:t>standardized</w:t>
      </w:r>
      <w:r w:rsidRPr="00FF3FE2">
        <w:rPr>
          <w:color w:val="000000"/>
        </w:rPr>
        <w:t xml:space="preserve"> </w:t>
      </w:r>
      <w:r w:rsidR="00F70AF1" w:rsidRPr="00FF3FE2">
        <w:rPr>
          <w:color w:val="000000"/>
        </w:rPr>
        <w:t>sub vector</w:t>
      </w:r>
      <w:r w:rsidRPr="00FF3FE2">
        <w:rPr>
          <w:color w:val="000000"/>
        </w:rPr>
        <w:t xml:space="preserve"> f̃ = (f_{1:12} − μ) / (σ + ε) is formed from the first 12 spectral features. The SPD matrix is:</w:t>
      </w:r>
    </w:p>
    <w:p w14:paraId="558F73AD" w14:textId="77777777" w:rsidR="00B732AE" w:rsidRPr="00FF3FE2" w:rsidRDefault="00000000">
      <w:pPr>
        <w:spacing w:before="80" w:after="80"/>
        <w:jc w:val="center"/>
      </w:pPr>
      <w:r w:rsidRPr="00FF3FE2">
        <w:rPr>
          <w:i/>
          <w:iCs/>
          <w:color w:val="000000"/>
        </w:rPr>
        <w:t>S  =  f̃ f̃ᵀ  +  ε I_{12},     ε = 10⁻⁴</w:t>
      </w:r>
    </w:p>
    <w:p w14:paraId="7B559673" w14:textId="1A1FE15C" w:rsidR="00B732AE" w:rsidRPr="00FF3FE2" w:rsidRDefault="00000000">
      <w:pPr>
        <w:spacing w:before="80" w:after="80" w:line="290" w:lineRule="auto"/>
        <w:ind w:firstLine="720"/>
        <w:jc w:val="both"/>
      </w:pPr>
      <w:r w:rsidRPr="00FF3FE2">
        <w:rPr>
          <w:color w:val="000000"/>
        </w:rPr>
        <w:t xml:space="preserve">The outer product </w:t>
      </w:r>
      <w:proofErr w:type="spellStart"/>
      <w:r w:rsidRPr="00FF3FE2">
        <w:rPr>
          <w:color w:val="000000"/>
        </w:rPr>
        <w:t>f̃f</w:t>
      </w:r>
      <w:proofErr w:type="spellEnd"/>
      <w:r w:rsidRPr="00FF3FE2">
        <w:rPr>
          <w:color w:val="000000"/>
        </w:rPr>
        <w:t xml:space="preserve">̃ᵀ captures inter-frequency covariance structure correlations between Fourier harmonics and wavelet sub-band energies encoding the shape’s spectral geometry. The </w:t>
      </w:r>
      <w:r w:rsidR="00F70AF1" w:rsidRPr="00FF3FE2">
        <w:rPr>
          <w:color w:val="000000"/>
        </w:rPr>
        <w:t>regularization</w:t>
      </w:r>
      <w:r w:rsidRPr="00FF3FE2">
        <w:rPr>
          <w:color w:val="000000"/>
        </w:rPr>
        <w:t xml:space="preserve"> </w:t>
      </w:r>
      <w:proofErr w:type="spellStart"/>
      <w:r w:rsidRPr="00FF3FE2">
        <w:rPr>
          <w:color w:val="000000"/>
        </w:rPr>
        <w:t>εI</w:t>
      </w:r>
      <w:proofErr w:type="spellEnd"/>
      <w:r w:rsidRPr="00FF3FE2">
        <w:rPr>
          <w:color w:val="000000"/>
        </w:rPr>
        <w:t xml:space="preserve"> guarantees strict positive definiteness. The SPD feature vector is formed from the upper triangular elements of log S — computed via </w:t>
      </w:r>
      <w:r w:rsidR="00F70AF1" w:rsidRPr="00FF3FE2">
        <w:rPr>
          <w:color w:val="000000"/>
        </w:rPr>
        <w:t>eigen decomposition</w:t>
      </w:r>
      <w:r w:rsidRPr="00FF3FE2">
        <w:rPr>
          <w:color w:val="000000"/>
        </w:rPr>
        <w:t xml:space="preserve"> S = QΛQᵀ, log S = Q(log Λ)Qᵀ — yielding 12(12+1)/2 = 78 dimensions.</w:t>
      </w:r>
    </w:p>
    <w:p w14:paraId="1D79BB7B" w14:textId="54154F8D" w:rsidR="00B732AE" w:rsidRPr="00FF3FE2" w:rsidRDefault="00000000">
      <w:pPr>
        <w:pStyle w:val="Heading2"/>
        <w:rPr>
          <w:rFonts w:ascii="Times New Roman" w:hAnsi="Times New Roman" w:cs="Times New Roman"/>
        </w:rPr>
      </w:pPr>
      <w:r w:rsidRPr="00FF3FE2">
        <w:rPr>
          <w:rFonts w:ascii="Times New Roman" w:hAnsi="Times New Roman" w:cs="Times New Roman"/>
        </w:rPr>
        <w:t>7.3 Riemannian Distance Metrics</w:t>
      </w:r>
    </w:p>
    <w:p w14:paraId="621A2158" w14:textId="77777777" w:rsidR="00B732AE" w:rsidRPr="00FF3FE2" w:rsidRDefault="00000000">
      <w:pPr>
        <w:spacing w:before="80" w:after="80" w:line="290" w:lineRule="auto"/>
        <w:ind w:firstLine="720"/>
        <w:jc w:val="both"/>
      </w:pPr>
      <w:r w:rsidRPr="00FF3FE2">
        <w:rPr>
          <w:color w:val="000000"/>
        </w:rPr>
        <w:t>The Log-Euclidean distance between two descriptors with SPD matrices S₁, S₂ is:</w:t>
      </w:r>
    </w:p>
    <w:p w14:paraId="1F7E07A2" w14:textId="77777777" w:rsidR="00B732AE" w:rsidRPr="00FF3FE2" w:rsidRDefault="00000000">
      <w:pPr>
        <w:spacing w:before="80" w:after="80"/>
        <w:jc w:val="center"/>
      </w:pPr>
      <w:proofErr w:type="spellStart"/>
      <w:r w:rsidRPr="00FF3FE2">
        <w:rPr>
          <w:i/>
          <w:iCs/>
          <w:color w:val="000000"/>
        </w:rPr>
        <w:t>d_LE</w:t>
      </w:r>
      <w:proofErr w:type="spellEnd"/>
      <w:r w:rsidRPr="00FF3FE2">
        <w:rPr>
          <w:i/>
          <w:iCs/>
          <w:color w:val="000000"/>
        </w:rPr>
        <w:t>(S₁, S₂)  =  ‖log S₁ − log S₂‖_F  =  √( Tr[(log S₁ − log S₂)²] )</w:t>
      </w:r>
    </w:p>
    <w:p w14:paraId="40F7A373" w14:textId="77777777" w:rsidR="00B732AE" w:rsidRPr="00FF3FE2" w:rsidRDefault="00000000">
      <w:pPr>
        <w:spacing w:before="80" w:after="80" w:line="290" w:lineRule="auto"/>
        <w:ind w:firstLine="720"/>
        <w:jc w:val="both"/>
      </w:pPr>
      <w:r w:rsidRPr="00FF3FE2">
        <w:rPr>
          <w:color w:val="000000"/>
        </w:rPr>
        <w:t>The Affine-Invariant Riemannian Metric (AIRM) provides the exact geodesic distance:</w:t>
      </w:r>
    </w:p>
    <w:p w14:paraId="77464532" w14:textId="77777777" w:rsidR="00B732AE" w:rsidRPr="00FF3FE2" w:rsidRDefault="00000000">
      <w:pPr>
        <w:spacing w:before="80" w:after="80"/>
        <w:jc w:val="center"/>
      </w:pPr>
      <w:proofErr w:type="spellStart"/>
      <w:r w:rsidRPr="00FF3FE2">
        <w:rPr>
          <w:i/>
          <w:iCs/>
          <w:color w:val="000000"/>
        </w:rPr>
        <w:t>d_AI</w:t>
      </w:r>
      <w:proofErr w:type="spellEnd"/>
      <w:r w:rsidRPr="00FF3FE2">
        <w:rPr>
          <w:i/>
          <w:iCs/>
          <w:color w:val="000000"/>
        </w:rPr>
        <w:t>(S₁, S₂)  =  ‖log(S₁^{−1/2} S₂ S₁^{−1/2})‖_F  =  √( Σᵢ log²(λᵢ) )</w:t>
      </w:r>
    </w:p>
    <w:p w14:paraId="5DD987DF" w14:textId="34555ADD" w:rsidR="00B732AE" w:rsidRPr="00FF3FE2" w:rsidRDefault="00000000">
      <w:pPr>
        <w:spacing w:before="80" w:after="80" w:line="290" w:lineRule="auto"/>
        <w:ind w:firstLine="720"/>
        <w:jc w:val="both"/>
      </w:pPr>
      <w:r w:rsidRPr="00FF3FE2">
        <w:rPr>
          <w:color w:val="000000"/>
        </w:rPr>
        <w:lastRenderedPageBreak/>
        <w:t xml:space="preserve">where </w:t>
      </w:r>
      <w:proofErr w:type="spellStart"/>
      <w:r w:rsidRPr="00FF3FE2">
        <w:rPr>
          <w:color w:val="000000"/>
        </w:rPr>
        <w:t>λ_i</w:t>
      </w:r>
      <w:proofErr w:type="spellEnd"/>
      <w:r w:rsidRPr="00FF3FE2">
        <w:rPr>
          <w:color w:val="000000"/>
        </w:rPr>
        <w:t xml:space="preserve"> are the eigenvalues of S₁^{−1/2} S₂ S₁^{−1/2}. The AIRM is invariant to the action of the general linear group GL(12): </w:t>
      </w:r>
      <w:proofErr w:type="spellStart"/>
      <w:r w:rsidRPr="00FF3FE2">
        <w:rPr>
          <w:color w:val="000000"/>
        </w:rPr>
        <w:t>d_AI</w:t>
      </w:r>
      <w:proofErr w:type="spellEnd"/>
      <w:r w:rsidRPr="00FF3FE2">
        <w:rPr>
          <w:color w:val="000000"/>
        </w:rPr>
        <w:t xml:space="preserve">(PᵀS₁P, PᵀS₂P) = </w:t>
      </w:r>
      <w:proofErr w:type="spellStart"/>
      <w:r w:rsidRPr="00FF3FE2">
        <w:rPr>
          <w:color w:val="000000"/>
        </w:rPr>
        <w:t>d_AI</w:t>
      </w:r>
      <w:proofErr w:type="spellEnd"/>
      <w:r w:rsidRPr="00FF3FE2">
        <w:rPr>
          <w:color w:val="000000"/>
        </w:rPr>
        <w:t xml:space="preserve">(S₁, S₂) for any invertible P </w:t>
      </w:r>
      <w:r w:rsidRPr="00FF3FE2">
        <w:rPr>
          <w:rFonts w:ascii="Cambria Math" w:hAnsi="Cambria Math" w:cs="Cambria Math"/>
          <w:color w:val="000000"/>
        </w:rPr>
        <w:t>∈</w:t>
      </w:r>
      <w:r w:rsidRPr="00FF3FE2">
        <w:rPr>
          <w:color w:val="000000"/>
        </w:rPr>
        <w:t xml:space="preserve"> GL(12), providing theoretical affine covariance. For SVM and k-NN classifiers operating on flattened feature vectors, the Log-Euclidean </w:t>
      </w:r>
      <w:r w:rsidR="00F70AF1" w:rsidRPr="00FF3FE2">
        <w:rPr>
          <w:color w:val="000000"/>
        </w:rPr>
        <w:t>vectorization</w:t>
      </w:r>
      <w:r w:rsidRPr="00FF3FE2">
        <w:rPr>
          <w:color w:val="000000"/>
        </w:rPr>
        <w:t xml:space="preserve"> (upper triangular of log S) with Euclidean distance provides a first-order approximation to </w:t>
      </w:r>
      <w:proofErr w:type="spellStart"/>
      <w:r w:rsidRPr="00FF3FE2">
        <w:rPr>
          <w:color w:val="000000"/>
        </w:rPr>
        <w:t>d_LE</w:t>
      </w:r>
      <w:proofErr w:type="spellEnd"/>
      <w:r w:rsidRPr="00FF3FE2">
        <w:rPr>
          <w:color w:val="000000"/>
        </w:rPr>
        <w:t>.</w:t>
      </w:r>
    </w:p>
    <w:p w14:paraId="7D3E67D3" w14:textId="77777777" w:rsidR="00B732AE" w:rsidRPr="00FF3FE2" w:rsidRDefault="00B732AE">
      <w:pPr>
        <w:spacing w:after="60"/>
      </w:pPr>
    </w:p>
    <w:p w14:paraId="5E22067B" w14:textId="523E1E0D" w:rsidR="00B732AE" w:rsidRPr="00FF3FE2" w:rsidRDefault="00000000">
      <w:pPr>
        <w:pBdr>
          <w:top w:val="dashed" w:sz="6" w:space="0" w:color="2C5FA8"/>
          <w:left w:val="dashed" w:sz="6" w:space="0" w:color="2C5FA8"/>
          <w:bottom w:val="dashed" w:sz="6" w:space="0" w:color="2C5FA8"/>
          <w:right w:val="dashed" w:sz="6" w:space="0" w:color="2C5FA8"/>
        </w:pBdr>
        <w:spacing w:before="220" w:after="80"/>
        <w:jc w:val="center"/>
      </w:pPr>
      <w:r w:rsidRPr="00FF3FE2">
        <w:rPr>
          <w:b/>
          <w:bCs/>
          <w:color w:val="1A3A6B"/>
          <w:sz w:val="21"/>
          <w:szCs w:val="21"/>
        </w:rPr>
        <w:t xml:space="preserve">[ FIGURE 5 — </w:t>
      </w:r>
      <w:r w:rsidRPr="00FF3FE2">
        <w:rPr>
          <w:b/>
          <w:bCs/>
          <w:i/>
          <w:iCs/>
          <w:color w:val="1A3A6B"/>
          <w:sz w:val="21"/>
          <w:szCs w:val="21"/>
        </w:rPr>
        <w:t>SPD Manifold Embedding — Log-Transformed Covariance Matrices (4 Classes) and 18×18 Log-Euclidean Distance Matrix</w:t>
      </w:r>
      <w:r w:rsidRPr="00FF3FE2">
        <w:rPr>
          <w:color w:val="777777"/>
          <w:sz w:val="20"/>
          <w:szCs w:val="20"/>
        </w:rPr>
        <w:t xml:space="preserve"> — Paste exported Colab figure here]</w:t>
      </w:r>
    </w:p>
    <w:p w14:paraId="5A5F8E33" w14:textId="77777777" w:rsidR="00B732AE" w:rsidRPr="00FF3FE2" w:rsidRDefault="00000000">
      <w:pPr>
        <w:pBdr>
          <w:left w:val="single" w:sz="10" w:space="6" w:color="1A3A6B"/>
        </w:pBdr>
        <w:spacing w:before="60" w:after="220"/>
        <w:ind w:left="240" w:right="240"/>
        <w:jc w:val="both"/>
      </w:pPr>
      <w:r w:rsidRPr="00FF3FE2">
        <w:rPr>
          <w:b/>
          <w:bCs/>
          <w:color w:val="222222"/>
          <w:sz w:val="20"/>
          <w:szCs w:val="20"/>
        </w:rPr>
        <w:t xml:space="preserve">Figure 5: </w:t>
      </w:r>
      <w:r w:rsidRPr="00FF3FE2">
        <w:rPr>
          <w:i/>
          <w:iCs/>
          <w:color w:val="333333"/>
          <w:sz w:val="20"/>
          <w:szCs w:val="20"/>
        </w:rPr>
        <w:t>SPD Riemannian manifold embedding. Left four panels: log-transformed SPD matrices log(</w:t>
      </w:r>
      <w:proofErr w:type="spellStart"/>
      <w:r w:rsidRPr="00FF3FE2">
        <w:rPr>
          <w:i/>
          <w:iCs/>
          <w:color w:val="333333"/>
          <w:sz w:val="20"/>
          <w:szCs w:val="20"/>
        </w:rPr>
        <w:t>S_i</w:t>
      </w:r>
      <w:proofErr w:type="spellEnd"/>
      <w:r w:rsidRPr="00FF3FE2">
        <w:rPr>
          <w:i/>
          <w:iCs/>
          <w:color w:val="333333"/>
          <w:sz w:val="20"/>
          <w:szCs w:val="20"/>
        </w:rPr>
        <w:t>) for four representative KIMIA-216 classes as 12×12 heatmaps (</w:t>
      </w:r>
      <w:proofErr w:type="spellStart"/>
      <w:r w:rsidRPr="00FF3FE2">
        <w:rPr>
          <w:i/>
          <w:iCs/>
          <w:color w:val="333333"/>
          <w:sz w:val="20"/>
          <w:szCs w:val="20"/>
        </w:rPr>
        <w:t>RdBu_r</w:t>
      </w:r>
      <w:proofErr w:type="spellEnd"/>
      <w:r w:rsidRPr="00FF3FE2">
        <w:rPr>
          <w:i/>
          <w:iCs/>
          <w:color w:val="333333"/>
          <w:sz w:val="20"/>
          <w:szCs w:val="20"/>
        </w:rPr>
        <w:t xml:space="preserve"> palette). Distinct structural patterns confirm class-discriminative inter-frequency covariance encoding. Right panel: 18×18 inter-class Log-Euclidean distance matrix. Block-diagonal structure confirms within-class compactness; large off-diagonal values for dissimilar classes confirm between-class separability on the SPD manifold. Source: Google Colab notebook, Figure 5.</w:t>
      </w:r>
    </w:p>
    <w:p w14:paraId="1EDF1B7D" w14:textId="77777777" w:rsidR="00B732AE" w:rsidRPr="00FF3FE2" w:rsidRDefault="00000000">
      <w:pPr>
        <w:pStyle w:val="Heading1"/>
        <w:pBdr>
          <w:bottom w:val="single" w:sz="8" w:space="4" w:color="1A3A6B"/>
        </w:pBdr>
        <w:rPr>
          <w:rFonts w:ascii="Times New Roman" w:hAnsi="Times New Roman" w:cs="Times New Roman"/>
        </w:rPr>
      </w:pPr>
      <w:r w:rsidRPr="00FF3FE2">
        <w:rPr>
          <w:rFonts w:ascii="Times New Roman" w:hAnsi="Times New Roman" w:cs="Times New Roman"/>
        </w:rPr>
        <w:t>8.  CONTRIBUTION C4: SPARSE MULTI-HEAD FREQUENCY ATTENTION</w:t>
      </w:r>
    </w:p>
    <w:p w14:paraId="702E3F88" w14:textId="3413A9B9" w:rsidR="00B732AE" w:rsidRPr="00FF3FE2" w:rsidRDefault="00000000">
      <w:pPr>
        <w:pStyle w:val="Heading2"/>
        <w:rPr>
          <w:rFonts w:ascii="Times New Roman" w:hAnsi="Times New Roman" w:cs="Times New Roman"/>
        </w:rPr>
      </w:pPr>
      <w:r w:rsidRPr="00FF3FE2">
        <w:rPr>
          <w:rFonts w:ascii="Times New Roman" w:hAnsi="Times New Roman" w:cs="Times New Roman"/>
        </w:rPr>
        <w:t>8.1 Motivation and Design Rationale</w:t>
      </w:r>
    </w:p>
    <w:p w14:paraId="39483C4B" w14:textId="791B40D6" w:rsidR="00B732AE" w:rsidRPr="00FF3FE2" w:rsidRDefault="00000000">
      <w:pPr>
        <w:spacing w:before="80" w:after="80" w:line="290" w:lineRule="auto"/>
        <w:ind w:firstLine="720"/>
        <w:jc w:val="both"/>
      </w:pPr>
      <w:r w:rsidRPr="00FF3FE2">
        <w:rPr>
          <w:color w:val="000000"/>
        </w:rPr>
        <w:t>The complete AMST descriptor is a 170-dimensional vector containing spectral bands of varying discriminative utility depending on the query shape’s category. For elongated shapes such as bone and fork, low-frequency Fourier harmonics (n = 1–5) dominate and carry the highest discriminative information; fine-scale wavelet sub-bands and high-frequency harmonics carry primarily noise. For topologically complex shapes such as octopus and star, fine-scale wavelet sub-bands and H₁ persistence features provide decisive discrimination. A fixed, uniform weighting discards this category-specific discriminative structure. A lightweight learned reweighting exploiting this structure can substantially improve retrieval precision at minimal computational cost without requiring end-to-end neural training.</w:t>
      </w:r>
    </w:p>
    <w:p w14:paraId="233DD4B3" w14:textId="25934090" w:rsidR="00B732AE" w:rsidRPr="00FF3FE2" w:rsidRDefault="00000000">
      <w:pPr>
        <w:pStyle w:val="Heading2"/>
        <w:rPr>
          <w:rFonts w:ascii="Times New Roman" w:hAnsi="Times New Roman" w:cs="Times New Roman"/>
        </w:rPr>
      </w:pPr>
      <w:r w:rsidRPr="00FF3FE2">
        <w:rPr>
          <w:rFonts w:ascii="Times New Roman" w:hAnsi="Times New Roman" w:cs="Times New Roman"/>
        </w:rPr>
        <w:t>8.2 Multi-Head Sparse Attention Mechanism</w:t>
      </w:r>
    </w:p>
    <w:p w14:paraId="1615AD7F" w14:textId="77777777" w:rsidR="00B732AE" w:rsidRPr="00FF3FE2" w:rsidRDefault="00000000">
      <w:pPr>
        <w:spacing w:before="80" w:after="80" w:line="290" w:lineRule="auto"/>
        <w:ind w:firstLine="720"/>
        <w:jc w:val="both"/>
      </w:pPr>
      <w:r w:rsidRPr="00FF3FE2">
        <w:rPr>
          <w:color w:val="000000"/>
        </w:rPr>
        <w:t xml:space="preserve">We introduce H = 4 attention heads operating in the AMST descriptor space. For each head h </w:t>
      </w:r>
      <w:r w:rsidRPr="00FF3FE2">
        <w:rPr>
          <w:rFonts w:ascii="Cambria Math" w:hAnsi="Cambria Math" w:cs="Cambria Math"/>
          <w:color w:val="000000"/>
        </w:rPr>
        <w:t>∈</w:t>
      </w:r>
      <w:r w:rsidRPr="00FF3FE2">
        <w:rPr>
          <w:color w:val="000000"/>
        </w:rPr>
        <w:t xml:space="preserve"> {1,...,H}, learnable query and key vectors </w:t>
      </w:r>
      <w:proofErr w:type="spellStart"/>
      <w:r w:rsidRPr="00FF3FE2">
        <w:rPr>
          <w:color w:val="000000"/>
        </w:rPr>
        <w:t>W_q^h</w:t>
      </w:r>
      <w:proofErr w:type="spellEnd"/>
      <w:r w:rsidRPr="00FF3FE2">
        <w:rPr>
          <w:color w:val="000000"/>
        </w:rPr>
        <w:t xml:space="preserve">, </w:t>
      </w:r>
      <w:proofErr w:type="spellStart"/>
      <w:r w:rsidRPr="00FF3FE2">
        <w:rPr>
          <w:color w:val="000000"/>
        </w:rPr>
        <w:t>W_k^h</w:t>
      </w:r>
      <w:proofErr w:type="spellEnd"/>
      <w:r w:rsidRPr="00FF3FE2">
        <w:rPr>
          <w:color w:val="000000"/>
        </w:rPr>
        <w:t xml:space="preserve"> </w:t>
      </w:r>
      <w:r w:rsidRPr="00FF3FE2">
        <w:rPr>
          <w:rFonts w:ascii="Cambria Math" w:hAnsi="Cambria Math" w:cs="Cambria Math"/>
          <w:color w:val="000000"/>
        </w:rPr>
        <w:t>∈</w:t>
      </w:r>
      <w:r w:rsidRPr="00FF3FE2">
        <w:rPr>
          <w:color w:val="000000"/>
        </w:rPr>
        <w:t xml:space="preserve"> </w:t>
      </w:r>
      <w:proofErr w:type="spellStart"/>
      <w:r w:rsidRPr="00FF3FE2">
        <w:rPr>
          <w:color w:val="000000"/>
        </w:rPr>
        <w:t>ℝ^d</w:t>
      </w:r>
      <w:proofErr w:type="spellEnd"/>
      <w:r w:rsidRPr="00FF3FE2">
        <w:rPr>
          <w:color w:val="000000"/>
        </w:rPr>
        <w:t xml:space="preserve"> define element-wise band importance scores </w:t>
      </w:r>
      <w:proofErr w:type="spellStart"/>
      <w:r w:rsidRPr="00FF3FE2">
        <w:rPr>
          <w:color w:val="000000"/>
        </w:rPr>
        <w:t>s_b^h</w:t>
      </w:r>
      <w:proofErr w:type="spellEnd"/>
      <w:r w:rsidRPr="00FF3FE2">
        <w:rPr>
          <w:color w:val="000000"/>
        </w:rPr>
        <w:t xml:space="preserve"> = W_{</w:t>
      </w:r>
      <w:proofErr w:type="spellStart"/>
      <w:r w:rsidRPr="00FF3FE2">
        <w:rPr>
          <w:color w:val="000000"/>
        </w:rPr>
        <w:t>q,b</w:t>
      </w:r>
      <w:proofErr w:type="spellEnd"/>
      <w:r w:rsidRPr="00FF3FE2">
        <w:rPr>
          <w:color w:val="000000"/>
        </w:rPr>
        <w:t>}^h · W_{</w:t>
      </w:r>
      <w:proofErr w:type="spellStart"/>
      <w:r w:rsidRPr="00FF3FE2">
        <w:rPr>
          <w:color w:val="000000"/>
        </w:rPr>
        <w:t>k,b</w:t>
      </w:r>
      <w:proofErr w:type="spellEnd"/>
      <w:r w:rsidRPr="00FF3FE2">
        <w:rPr>
          <w:color w:val="000000"/>
        </w:rPr>
        <w:t>}^h. The sparse gate retains the top-k bands by absolute importance |</w:t>
      </w:r>
      <w:proofErr w:type="spellStart"/>
      <w:r w:rsidRPr="00FF3FE2">
        <w:rPr>
          <w:color w:val="000000"/>
        </w:rPr>
        <w:t>s_b^h</w:t>
      </w:r>
      <w:proofErr w:type="spellEnd"/>
      <w:r w:rsidRPr="00FF3FE2">
        <w:rPr>
          <w:color w:val="000000"/>
        </w:rPr>
        <w:t xml:space="preserve">|, with k = </w:t>
      </w:r>
      <w:r w:rsidRPr="00FF3FE2">
        <w:rPr>
          <w:rFonts w:ascii="Cambria Math" w:hAnsi="Cambria Math" w:cs="Cambria Math"/>
          <w:color w:val="000000"/>
        </w:rPr>
        <w:t>⌊</w:t>
      </w:r>
      <w:r w:rsidRPr="00FF3FE2">
        <w:rPr>
          <w:color w:val="000000"/>
        </w:rPr>
        <w:t>0.6d</w:t>
      </w:r>
      <w:r w:rsidRPr="00FF3FE2">
        <w:rPr>
          <w:rFonts w:ascii="Cambria Math" w:hAnsi="Cambria Math" w:cs="Cambria Math"/>
          <w:color w:val="000000"/>
        </w:rPr>
        <w:t>⌋</w:t>
      </w:r>
      <w:r w:rsidRPr="00FF3FE2">
        <w:rPr>
          <w:color w:val="000000"/>
        </w:rPr>
        <w:t xml:space="preserve"> (60% of bands):</w:t>
      </w:r>
    </w:p>
    <w:p w14:paraId="58ADAC24" w14:textId="77777777" w:rsidR="00B732AE" w:rsidRPr="00FF3FE2" w:rsidRDefault="00000000">
      <w:pPr>
        <w:spacing w:before="80" w:after="80"/>
        <w:jc w:val="center"/>
      </w:pPr>
      <w:proofErr w:type="spellStart"/>
      <w:r w:rsidRPr="00FF3FE2">
        <w:rPr>
          <w:i/>
          <w:iCs/>
          <w:color w:val="000000"/>
        </w:rPr>
        <w:t>g_b^h</w:t>
      </w:r>
      <w:proofErr w:type="spellEnd"/>
      <w:r w:rsidRPr="00FF3FE2">
        <w:rPr>
          <w:i/>
          <w:iCs/>
          <w:color w:val="000000"/>
        </w:rPr>
        <w:t xml:space="preserve">  =  </w:t>
      </w:r>
      <w:proofErr w:type="spellStart"/>
      <w:r w:rsidRPr="00FF3FE2">
        <w:rPr>
          <w:i/>
          <w:iCs/>
          <w:color w:val="000000"/>
        </w:rPr>
        <w:t>s_b^h</w:t>
      </w:r>
      <w:proofErr w:type="spellEnd"/>
      <w:r w:rsidRPr="00FF3FE2">
        <w:rPr>
          <w:i/>
          <w:iCs/>
          <w:color w:val="000000"/>
        </w:rPr>
        <w:t xml:space="preserve"> · </w:t>
      </w:r>
      <w:r w:rsidRPr="00FF3FE2">
        <w:rPr>
          <w:rFonts w:ascii="Cambria Math" w:hAnsi="Cambria Math" w:cs="Cambria Math"/>
          <w:i/>
          <w:iCs/>
          <w:color w:val="000000"/>
        </w:rPr>
        <w:t>𝟙</w:t>
      </w:r>
      <w:r w:rsidRPr="00FF3FE2">
        <w:rPr>
          <w:i/>
          <w:iCs/>
          <w:color w:val="000000"/>
        </w:rPr>
        <w:t xml:space="preserve">[b </w:t>
      </w:r>
      <w:r w:rsidRPr="00FF3FE2">
        <w:rPr>
          <w:rFonts w:ascii="Cambria Math" w:hAnsi="Cambria Math" w:cs="Cambria Math"/>
          <w:i/>
          <w:iCs/>
          <w:color w:val="000000"/>
        </w:rPr>
        <w:t>∈</w:t>
      </w:r>
      <w:r w:rsidRPr="00FF3FE2">
        <w:rPr>
          <w:i/>
          <w:iCs/>
          <w:color w:val="000000"/>
        </w:rPr>
        <w:t xml:space="preserve"> top-k by |</w:t>
      </w:r>
      <w:proofErr w:type="spellStart"/>
      <w:r w:rsidRPr="00FF3FE2">
        <w:rPr>
          <w:i/>
          <w:iCs/>
          <w:color w:val="000000"/>
        </w:rPr>
        <w:t>s^h</w:t>
      </w:r>
      <w:proofErr w:type="spellEnd"/>
      <w:r w:rsidRPr="00FF3FE2">
        <w:rPr>
          <w:i/>
          <w:iCs/>
          <w:color w:val="000000"/>
        </w:rPr>
        <w:t>|],     α_</w:t>
      </w:r>
      <w:proofErr w:type="spellStart"/>
      <w:r w:rsidRPr="00FF3FE2">
        <w:rPr>
          <w:i/>
          <w:iCs/>
          <w:color w:val="000000"/>
        </w:rPr>
        <w:t>b^h</w:t>
      </w:r>
      <w:proofErr w:type="spellEnd"/>
      <w:r w:rsidRPr="00FF3FE2">
        <w:rPr>
          <w:i/>
          <w:iCs/>
          <w:color w:val="000000"/>
        </w:rPr>
        <w:t xml:space="preserve">  =  exp(</w:t>
      </w:r>
      <w:proofErr w:type="spellStart"/>
      <w:r w:rsidRPr="00FF3FE2">
        <w:rPr>
          <w:i/>
          <w:iCs/>
          <w:color w:val="000000"/>
        </w:rPr>
        <w:t>g_b^h</w:t>
      </w:r>
      <w:proofErr w:type="spellEnd"/>
      <w:r w:rsidRPr="00FF3FE2">
        <w:rPr>
          <w:i/>
          <w:iCs/>
          <w:color w:val="000000"/>
        </w:rPr>
        <w:t>) / Σ_{b’} exp(g_{b’}^h)</w:t>
      </w:r>
    </w:p>
    <w:p w14:paraId="19B1B41A" w14:textId="77777777" w:rsidR="00B732AE" w:rsidRPr="00FF3FE2" w:rsidRDefault="00000000">
      <w:pPr>
        <w:spacing w:before="80" w:after="80" w:line="290" w:lineRule="auto"/>
        <w:ind w:firstLine="720"/>
        <w:jc w:val="both"/>
      </w:pPr>
      <w:r w:rsidRPr="00FF3FE2">
        <w:rPr>
          <w:color w:val="000000"/>
        </w:rPr>
        <w:t xml:space="preserve">The final attention weight vector is the mean across heads: α = (1/H) </w:t>
      </w:r>
      <w:proofErr w:type="spellStart"/>
      <w:r w:rsidRPr="00FF3FE2">
        <w:rPr>
          <w:color w:val="000000"/>
        </w:rPr>
        <w:t>Σ_h</w:t>
      </w:r>
      <w:proofErr w:type="spellEnd"/>
      <w:r w:rsidRPr="00FF3FE2">
        <w:rPr>
          <w:color w:val="000000"/>
        </w:rPr>
        <w:t xml:space="preserve"> α^h, and the attended descriptor is </w:t>
      </w:r>
      <w:proofErr w:type="spellStart"/>
      <w:r w:rsidRPr="00FF3FE2">
        <w:rPr>
          <w:color w:val="000000"/>
        </w:rPr>
        <w:t>D_att</w:t>
      </w:r>
      <w:proofErr w:type="spellEnd"/>
      <w:r w:rsidRPr="00FF3FE2">
        <w:rPr>
          <w:color w:val="000000"/>
        </w:rPr>
        <w:t xml:space="preserve"> = D </w:t>
      </w:r>
      <w:r w:rsidRPr="00FF3FE2">
        <w:rPr>
          <w:rFonts w:ascii="Cambria Math" w:hAnsi="Cambria Math" w:cs="Cambria Math"/>
          <w:color w:val="000000"/>
        </w:rPr>
        <w:t>⊙</w:t>
      </w:r>
      <w:r w:rsidRPr="00FF3FE2">
        <w:rPr>
          <w:color w:val="000000"/>
        </w:rPr>
        <w:t xml:space="preserve"> α. The attention weights are learned via coordinate ascent </w:t>
      </w:r>
      <w:proofErr w:type="spellStart"/>
      <w:r w:rsidRPr="00FF3FE2">
        <w:rPr>
          <w:color w:val="000000"/>
        </w:rPr>
        <w:t>optimising</w:t>
      </w:r>
      <w:proofErr w:type="spellEnd"/>
      <w:r w:rsidRPr="00FF3FE2">
        <w:rPr>
          <w:color w:val="000000"/>
        </w:rPr>
        <w:t xml:space="preserve"> 3-fold cross-validated 1-NN accuracy, with 40 iterations and decaying step size </w:t>
      </w:r>
      <w:proofErr w:type="spellStart"/>
      <w:r w:rsidRPr="00FF3FE2">
        <w:rPr>
          <w:color w:val="000000"/>
        </w:rPr>
        <w:t>lr_t</w:t>
      </w:r>
      <w:proofErr w:type="spellEnd"/>
      <w:r w:rsidRPr="00FF3FE2">
        <w:rPr>
          <w:color w:val="000000"/>
        </w:rPr>
        <w:t xml:space="preserve"> = </w:t>
      </w:r>
      <w:proofErr w:type="spellStart"/>
      <w:r w:rsidRPr="00FF3FE2">
        <w:rPr>
          <w:color w:val="000000"/>
        </w:rPr>
        <w:t>lr</w:t>
      </w:r>
      <w:proofErr w:type="spellEnd"/>
      <w:r w:rsidRPr="00FF3FE2">
        <w:rPr>
          <w:color w:val="000000"/>
        </w:rPr>
        <w:t xml:space="preserve">₀/(t+1), </w:t>
      </w:r>
      <w:proofErr w:type="spellStart"/>
      <w:r w:rsidRPr="00FF3FE2">
        <w:rPr>
          <w:color w:val="000000"/>
        </w:rPr>
        <w:t>lr</w:t>
      </w:r>
      <w:proofErr w:type="spellEnd"/>
      <w:r w:rsidRPr="00FF3FE2">
        <w:rPr>
          <w:color w:val="000000"/>
        </w:rPr>
        <w:t xml:space="preserve">₀ = 0.05, with per-fold best-weight tracking. Total learnable parameters: 4 × 2d ≈ 1,360 scalar values for d = 170, of which ~40% are deactivated by the sparse gate. The entire learning procedure requires only the </w:t>
      </w:r>
      <w:proofErr w:type="spellStart"/>
      <w:r w:rsidRPr="00FF3FE2">
        <w:rPr>
          <w:color w:val="000000"/>
        </w:rPr>
        <w:t>unlabelled</w:t>
      </w:r>
      <w:proofErr w:type="spellEnd"/>
      <w:r w:rsidRPr="00FF3FE2">
        <w:rPr>
          <w:color w:val="000000"/>
        </w:rPr>
        <w:t xml:space="preserve"> descriptor matrix, adding negligible overhead.</w:t>
      </w:r>
    </w:p>
    <w:p w14:paraId="515706D0" w14:textId="77777777" w:rsidR="00B732AE" w:rsidRPr="00FF3FE2" w:rsidRDefault="00B732AE">
      <w:pPr>
        <w:spacing w:after="60"/>
      </w:pPr>
    </w:p>
    <w:p w14:paraId="12AD2A57" w14:textId="655CBF1E" w:rsidR="00B732AE" w:rsidRPr="00FF3FE2" w:rsidRDefault="00000000">
      <w:pPr>
        <w:pBdr>
          <w:top w:val="dashed" w:sz="6" w:space="0" w:color="2C5FA8"/>
          <w:left w:val="dashed" w:sz="6" w:space="0" w:color="2C5FA8"/>
          <w:bottom w:val="dashed" w:sz="6" w:space="0" w:color="2C5FA8"/>
          <w:right w:val="dashed" w:sz="6" w:space="0" w:color="2C5FA8"/>
        </w:pBdr>
        <w:spacing w:before="220" w:after="80"/>
        <w:jc w:val="center"/>
      </w:pPr>
      <w:r w:rsidRPr="00FF3FE2">
        <w:rPr>
          <w:b/>
          <w:bCs/>
          <w:color w:val="1A3A6B"/>
          <w:sz w:val="21"/>
          <w:szCs w:val="21"/>
        </w:rPr>
        <w:t xml:space="preserve">[ FIGURE 6 — </w:t>
      </w:r>
      <w:r w:rsidRPr="00FF3FE2">
        <w:rPr>
          <w:b/>
          <w:bCs/>
          <w:i/>
          <w:iCs/>
          <w:color w:val="1A3A6B"/>
          <w:sz w:val="21"/>
          <w:szCs w:val="21"/>
        </w:rPr>
        <w:t>Sparse Frequency Attention Weights — Learned Band Importance (Bar Chart) and Cumulative Attention CDF</w:t>
      </w:r>
      <w:r w:rsidRPr="00FF3FE2">
        <w:rPr>
          <w:color w:val="777777"/>
          <w:sz w:val="20"/>
          <w:szCs w:val="20"/>
        </w:rPr>
        <w:t xml:space="preserve"> — Paste exported Colab figure here]</w:t>
      </w:r>
    </w:p>
    <w:p w14:paraId="183DF7BE" w14:textId="7912EF8B" w:rsidR="00B732AE" w:rsidRPr="00FF3FE2" w:rsidRDefault="00000000">
      <w:pPr>
        <w:pBdr>
          <w:left w:val="single" w:sz="10" w:space="6" w:color="1A3A6B"/>
        </w:pBdr>
        <w:spacing w:before="60" w:after="220"/>
        <w:ind w:left="240" w:right="240"/>
        <w:jc w:val="both"/>
      </w:pPr>
      <w:r w:rsidRPr="00FF3FE2">
        <w:rPr>
          <w:b/>
          <w:bCs/>
          <w:color w:val="222222"/>
          <w:sz w:val="20"/>
          <w:szCs w:val="20"/>
        </w:rPr>
        <w:t xml:space="preserve">Figure 6: </w:t>
      </w:r>
      <w:r w:rsidRPr="00FF3FE2">
        <w:rPr>
          <w:i/>
          <w:iCs/>
          <w:color w:val="333333"/>
          <w:sz w:val="20"/>
          <w:szCs w:val="20"/>
        </w:rPr>
        <w:t xml:space="preserve">Learned sparse multi-head frequency attention weights. Left: attention weight α_b per spectral band, </w:t>
      </w:r>
      <w:r w:rsidR="00F70AF1" w:rsidRPr="00FF3FE2">
        <w:rPr>
          <w:i/>
          <w:iCs/>
          <w:color w:val="333333"/>
          <w:sz w:val="20"/>
          <w:szCs w:val="20"/>
        </w:rPr>
        <w:t>color</w:t>
      </w:r>
      <w:r w:rsidRPr="00FF3FE2">
        <w:rPr>
          <w:i/>
          <w:iCs/>
          <w:color w:val="333333"/>
          <w:sz w:val="20"/>
          <w:szCs w:val="20"/>
        </w:rPr>
        <w:t xml:space="preserve">-coded by importance tier (red: &gt;75th percentile; blue: 40th–75th; grey: &lt;40th). Orange dashed line: mean attention weight. Strongly non-uniform distribution confirms identification of discriminative versus redundant spectral bands. Right: cumulative attention mass CDF (bands sorted by descending importance). Red vertical line: top-60% sparse gate. Approximately 83% of total attention mass concentrated in 60% of bands confirms effective </w:t>
      </w:r>
      <w:r w:rsidR="00F70AF1" w:rsidRPr="00FF3FE2">
        <w:rPr>
          <w:i/>
          <w:iCs/>
          <w:color w:val="333333"/>
          <w:sz w:val="20"/>
          <w:szCs w:val="20"/>
        </w:rPr>
        <w:t>scarification</w:t>
      </w:r>
      <w:r w:rsidRPr="00FF3FE2">
        <w:rPr>
          <w:i/>
          <w:iCs/>
          <w:color w:val="333333"/>
          <w:sz w:val="20"/>
          <w:szCs w:val="20"/>
        </w:rPr>
        <w:t>. Source: Google Colab notebook, Figure 6.</w:t>
      </w:r>
    </w:p>
    <w:p w14:paraId="1C55E6FA" w14:textId="77777777" w:rsidR="00B732AE" w:rsidRPr="00FF3FE2" w:rsidRDefault="00000000">
      <w:pPr>
        <w:pStyle w:val="Heading1"/>
        <w:pBdr>
          <w:bottom w:val="single" w:sz="8" w:space="4" w:color="1A3A6B"/>
        </w:pBdr>
        <w:rPr>
          <w:rFonts w:ascii="Times New Roman" w:hAnsi="Times New Roman" w:cs="Times New Roman"/>
        </w:rPr>
      </w:pPr>
      <w:r w:rsidRPr="00FF3FE2">
        <w:rPr>
          <w:rFonts w:ascii="Times New Roman" w:hAnsi="Times New Roman" w:cs="Times New Roman"/>
        </w:rPr>
        <w:lastRenderedPageBreak/>
        <w:t>9.  FORMAL INVARIANCE AND STABILITY GUARANTEES</w:t>
      </w:r>
    </w:p>
    <w:p w14:paraId="268ACC14" w14:textId="77777777" w:rsidR="00B732AE" w:rsidRPr="00FF3FE2" w:rsidRDefault="00000000">
      <w:pPr>
        <w:spacing w:before="80" w:after="80" w:line="290" w:lineRule="auto"/>
        <w:ind w:firstLine="720"/>
        <w:jc w:val="both"/>
      </w:pPr>
      <w:r w:rsidRPr="00FF3FE2">
        <w:rPr>
          <w:color w:val="000000"/>
        </w:rPr>
        <w:t>This section states and proves the formal invariance and stability properties of the AMST pipeline. These are mathematical theorems derived from the algebraic and geometric properties of the pipeline components, not empirical robustness observations. Together they constitute the first joint formal guarantee of this breadth in the shape descriptor literature.</w:t>
      </w:r>
    </w:p>
    <w:p w14:paraId="35C3EB24" w14:textId="667C9783" w:rsidR="00B732AE" w:rsidRPr="00FF3FE2" w:rsidRDefault="00000000">
      <w:pPr>
        <w:pStyle w:val="Heading2"/>
        <w:rPr>
          <w:rFonts w:ascii="Times New Roman" w:hAnsi="Times New Roman" w:cs="Times New Roman"/>
        </w:rPr>
      </w:pPr>
      <w:r w:rsidRPr="00FF3FE2">
        <w:rPr>
          <w:rFonts w:ascii="Times New Roman" w:hAnsi="Times New Roman" w:cs="Times New Roman"/>
        </w:rPr>
        <w:t>9.1 Rotation, Translation, and Scale Invariance</w:t>
      </w:r>
    </w:p>
    <w:p w14:paraId="38208FAE" w14:textId="67A9E6E7" w:rsidR="00B732AE" w:rsidRPr="00FF3FE2" w:rsidRDefault="00000000">
      <w:pPr>
        <w:spacing w:before="80" w:after="80" w:line="290" w:lineRule="auto"/>
        <w:ind w:firstLine="720"/>
        <w:jc w:val="both"/>
      </w:pPr>
      <w:r w:rsidRPr="00FF3FE2">
        <w:rPr>
          <w:color w:val="000000"/>
        </w:rPr>
        <w:t xml:space="preserve">Theorem 1 (Rotation–Translation–Scale Invariance of APCFW): Let z(t) be a </w:t>
      </w:r>
      <w:r w:rsidR="00F70AF1" w:rsidRPr="00FF3FE2">
        <w:rPr>
          <w:color w:val="000000"/>
        </w:rPr>
        <w:t>normalized</w:t>
      </w:r>
      <w:r w:rsidRPr="00FF3FE2">
        <w:rPr>
          <w:color w:val="000000"/>
        </w:rPr>
        <w:t xml:space="preserve"> boundary contour. Denote its rotated version </w:t>
      </w:r>
      <w:proofErr w:type="spellStart"/>
      <w:r w:rsidRPr="00FF3FE2">
        <w:rPr>
          <w:color w:val="000000"/>
        </w:rPr>
        <w:t>R_θ</w:t>
      </w:r>
      <w:proofErr w:type="spellEnd"/>
      <w:r w:rsidRPr="00FF3FE2">
        <w:rPr>
          <w:color w:val="000000"/>
        </w:rPr>
        <w:t>(z)(t) = e^{</w:t>
      </w:r>
      <w:proofErr w:type="spellStart"/>
      <w:r w:rsidRPr="00FF3FE2">
        <w:rPr>
          <w:color w:val="000000"/>
        </w:rPr>
        <w:t>iθ</w:t>
      </w:r>
      <w:proofErr w:type="spellEnd"/>
      <w:r w:rsidRPr="00FF3FE2">
        <w:rPr>
          <w:color w:val="000000"/>
        </w:rPr>
        <w:t xml:space="preserve">}z(t) and translated version </w:t>
      </w:r>
      <w:proofErr w:type="spellStart"/>
      <w:r w:rsidRPr="00FF3FE2">
        <w:rPr>
          <w:color w:val="000000"/>
        </w:rPr>
        <w:t>T_d</w:t>
      </w:r>
      <w:proofErr w:type="spellEnd"/>
      <w:r w:rsidRPr="00FF3FE2">
        <w:rPr>
          <w:color w:val="000000"/>
        </w:rPr>
        <w:t>(z)(t) = z(t) + d. The APCFW Fourier magnitude descriptor {|Zₙ|/|Z₁|, n = 1,...,K_F} satisfies: |DFT(</w:t>
      </w:r>
      <w:proofErr w:type="spellStart"/>
      <w:r w:rsidRPr="00FF3FE2">
        <w:rPr>
          <w:color w:val="000000"/>
        </w:rPr>
        <w:t>R_θ</w:t>
      </w:r>
      <w:proofErr w:type="spellEnd"/>
      <w:r w:rsidRPr="00FF3FE2">
        <w:rPr>
          <w:color w:val="000000"/>
        </w:rPr>
        <w:t>(z))ₙ| / |DFT(</w:t>
      </w:r>
      <w:proofErr w:type="spellStart"/>
      <w:r w:rsidRPr="00FF3FE2">
        <w:rPr>
          <w:color w:val="000000"/>
        </w:rPr>
        <w:t>R_θ</w:t>
      </w:r>
      <w:proofErr w:type="spellEnd"/>
      <w:r w:rsidRPr="00FF3FE2">
        <w:rPr>
          <w:color w:val="000000"/>
        </w:rPr>
        <w:t xml:space="preserve">(z))₁| = |Zₙ|/|Z₁| for all θ </w:t>
      </w:r>
      <w:r w:rsidRPr="00FF3FE2">
        <w:rPr>
          <w:rFonts w:ascii="Cambria Math" w:hAnsi="Cambria Math" w:cs="Cambria Math"/>
          <w:color w:val="000000"/>
        </w:rPr>
        <w:t>∈</w:t>
      </w:r>
      <w:r w:rsidRPr="00FF3FE2">
        <w:rPr>
          <w:color w:val="000000"/>
        </w:rPr>
        <w:t xml:space="preserve"> [0, 2π); |DFT(</w:t>
      </w:r>
      <w:proofErr w:type="spellStart"/>
      <w:r w:rsidRPr="00FF3FE2">
        <w:rPr>
          <w:color w:val="000000"/>
        </w:rPr>
        <w:t>T_d</w:t>
      </w:r>
      <w:proofErr w:type="spellEnd"/>
      <w:r w:rsidRPr="00FF3FE2">
        <w:rPr>
          <w:color w:val="000000"/>
        </w:rPr>
        <w:t>(z))ₙ|/|DFT(</w:t>
      </w:r>
      <w:proofErr w:type="spellStart"/>
      <w:r w:rsidRPr="00FF3FE2">
        <w:rPr>
          <w:color w:val="000000"/>
        </w:rPr>
        <w:t>T_d</w:t>
      </w:r>
      <w:proofErr w:type="spellEnd"/>
      <w:r w:rsidRPr="00FF3FE2">
        <w:rPr>
          <w:color w:val="000000"/>
        </w:rPr>
        <w:t xml:space="preserve">(z))₁| = |Zₙ|/|Z₁| for all d </w:t>
      </w:r>
      <w:r w:rsidRPr="00FF3FE2">
        <w:rPr>
          <w:rFonts w:ascii="Cambria Math" w:hAnsi="Cambria Math" w:cs="Cambria Math"/>
          <w:color w:val="000000"/>
        </w:rPr>
        <w:t>∈</w:t>
      </w:r>
      <w:r w:rsidRPr="00FF3FE2">
        <w:rPr>
          <w:color w:val="000000"/>
        </w:rPr>
        <w:t xml:space="preserve"> ℂ; and |DFT(S_s(z))ₙ|/|DFT(S_s(z))₁| = |Zₙ|/|Z₁| for all s &gt; 0.</w:t>
      </w:r>
    </w:p>
    <w:p w14:paraId="5434EA9D" w14:textId="77777777" w:rsidR="00B732AE" w:rsidRPr="00FF3FE2" w:rsidRDefault="00000000">
      <w:pPr>
        <w:spacing w:before="80" w:after="80" w:line="290" w:lineRule="auto"/>
        <w:ind w:firstLine="720"/>
        <w:jc w:val="both"/>
      </w:pPr>
      <w:r w:rsidRPr="00FF3FE2">
        <w:rPr>
          <w:color w:val="000000"/>
        </w:rPr>
        <w:t>Proof: Rotation by θ multiplies z(t) by e^{</w:t>
      </w:r>
      <w:proofErr w:type="spellStart"/>
      <w:r w:rsidRPr="00FF3FE2">
        <w:rPr>
          <w:color w:val="000000"/>
        </w:rPr>
        <w:t>iθ</w:t>
      </w:r>
      <w:proofErr w:type="spellEnd"/>
      <w:r w:rsidRPr="00FF3FE2">
        <w:rPr>
          <w:color w:val="000000"/>
        </w:rPr>
        <w:t>}, so DFT(</w:t>
      </w:r>
      <w:proofErr w:type="spellStart"/>
      <w:r w:rsidRPr="00FF3FE2">
        <w:rPr>
          <w:color w:val="000000"/>
        </w:rPr>
        <w:t>R_θ</w:t>
      </w:r>
      <w:proofErr w:type="spellEnd"/>
      <w:r w:rsidRPr="00FF3FE2">
        <w:rPr>
          <w:color w:val="000000"/>
        </w:rPr>
        <w:t>(z))ₙ = e^{</w:t>
      </w:r>
      <w:proofErr w:type="spellStart"/>
      <w:r w:rsidRPr="00FF3FE2">
        <w:rPr>
          <w:color w:val="000000"/>
        </w:rPr>
        <w:t>iθ</w:t>
      </w:r>
      <w:proofErr w:type="spellEnd"/>
      <w:r w:rsidRPr="00FF3FE2">
        <w:rPr>
          <w:color w:val="000000"/>
        </w:rPr>
        <w:t>}Zₙ, and |DFT(</w:t>
      </w:r>
      <w:proofErr w:type="spellStart"/>
      <w:r w:rsidRPr="00FF3FE2">
        <w:rPr>
          <w:color w:val="000000"/>
        </w:rPr>
        <w:t>R_θ</w:t>
      </w:r>
      <w:proofErr w:type="spellEnd"/>
      <w:r w:rsidRPr="00FF3FE2">
        <w:rPr>
          <w:color w:val="000000"/>
        </w:rPr>
        <w:t>(z))ₙ|/|DFT(</w:t>
      </w:r>
      <w:proofErr w:type="spellStart"/>
      <w:r w:rsidRPr="00FF3FE2">
        <w:rPr>
          <w:color w:val="000000"/>
        </w:rPr>
        <w:t>R_θ</w:t>
      </w:r>
      <w:proofErr w:type="spellEnd"/>
      <w:r w:rsidRPr="00FF3FE2">
        <w:rPr>
          <w:color w:val="000000"/>
        </w:rPr>
        <w:t>(z))₁| = |e^{</w:t>
      </w:r>
      <w:proofErr w:type="spellStart"/>
      <w:r w:rsidRPr="00FF3FE2">
        <w:rPr>
          <w:color w:val="000000"/>
        </w:rPr>
        <w:t>iθ</w:t>
      </w:r>
      <w:proofErr w:type="spellEnd"/>
      <w:r w:rsidRPr="00FF3FE2">
        <w:rPr>
          <w:color w:val="000000"/>
        </w:rPr>
        <w:t>}Zₙ|/|e^{</w:t>
      </w:r>
      <w:proofErr w:type="spellStart"/>
      <w:r w:rsidRPr="00FF3FE2">
        <w:rPr>
          <w:color w:val="000000"/>
        </w:rPr>
        <w:t>iθ</w:t>
      </w:r>
      <w:proofErr w:type="spellEnd"/>
      <w:r w:rsidRPr="00FF3FE2">
        <w:rPr>
          <w:color w:val="000000"/>
        </w:rPr>
        <w:t xml:space="preserve">}Z₁| = |Zₙ|/|Z₁| — invariant. Translation by d modifies only Z₀ (excluded from descriptor); all Zₙ for n ≥ 1 are unchanged — invariant. Scaling by s multiplies all |Zₙ| by s, which cancels in the ratio. Wavelet energies </w:t>
      </w:r>
      <w:proofErr w:type="spellStart"/>
      <w:r w:rsidRPr="00FF3FE2">
        <w:rPr>
          <w:color w:val="000000"/>
        </w:rPr>
        <w:t>E_l</w:t>
      </w:r>
      <w:proofErr w:type="spellEnd"/>
      <w:r w:rsidRPr="00FF3FE2">
        <w:rPr>
          <w:color w:val="000000"/>
        </w:rPr>
        <w:t xml:space="preserve"> depend only on κ(t), which is invariant to rotation, translation, and uniform scaling through its arc-length derivative definition. □</w:t>
      </w:r>
    </w:p>
    <w:p w14:paraId="0D19722A" w14:textId="7C0C1830" w:rsidR="00B732AE" w:rsidRPr="00FF3FE2" w:rsidRDefault="00000000">
      <w:pPr>
        <w:pStyle w:val="Heading2"/>
        <w:rPr>
          <w:rFonts w:ascii="Times New Roman" w:hAnsi="Times New Roman" w:cs="Times New Roman"/>
        </w:rPr>
      </w:pPr>
      <w:r w:rsidRPr="00FF3FE2">
        <w:rPr>
          <w:rFonts w:ascii="Times New Roman" w:hAnsi="Times New Roman" w:cs="Times New Roman"/>
        </w:rPr>
        <w:t xml:space="preserve">9.2 Topological Stability Under </w:t>
      </w:r>
      <w:proofErr w:type="spellStart"/>
      <w:r w:rsidRPr="00FF3FE2">
        <w:rPr>
          <w:rFonts w:ascii="Times New Roman" w:hAnsi="Times New Roman" w:cs="Times New Roman"/>
        </w:rPr>
        <w:t>Hausdorff</w:t>
      </w:r>
      <w:proofErr w:type="spellEnd"/>
      <w:r w:rsidRPr="00FF3FE2">
        <w:rPr>
          <w:rFonts w:ascii="Times New Roman" w:hAnsi="Times New Roman" w:cs="Times New Roman"/>
        </w:rPr>
        <w:t xml:space="preserve"> Perturbation</w:t>
      </w:r>
    </w:p>
    <w:p w14:paraId="243D62AB" w14:textId="77777777" w:rsidR="00B732AE" w:rsidRPr="00FF3FE2" w:rsidRDefault="00000000">
      <w:pPr>
        <w:spacing w:before="80" w:after="80" w:line="290" w:lineRule="auto"/>
        <w:ind w:firstLine="720"/>
        <w:jc w:val="both"/>
      </w:pPr>
      <w:r w:rsidRPr="00FF3FE2">
        <w:rPr>
          <w:color w:val="000000"/>
        </w:rPr>
        <w:t xml:space="preserve">Theorem 2 (Persistence Stability): Let κ and κ’ be curvature signals with ‖κ − κ’‖_∞ = δ. Let </w:t>
      </w:r>
      <w:proofErr w:type="spellStart"/>
      <w:r w:rsidRPr="00FF3FE2">
        <w:rPr>
          <w:color w:val="000000"/>
        </w:rPr>
        <w:t>D_k</w:t>
      </w:r>
      <w:proofErr w:type="spellEnd"/>
      <w:r w:rsidRPr="00FF3FE2">
        <w:rPr>
          <w:color w:val="000000"/>
        </w:rPr>
        <w:t xml:space="preserve">(κ) and </w:t>
      </w:r>
      <w:proofErr w:type="spellStart"/>
      <w:r w:rsidRPr="00FF3FE2">
        <w:rPr>
          <w:color w:val="000000"/>
        </w:rPr>
        <w:t>D_k</w:t>
      </w:r>
      <w:proofErr w:type="spellEnd"/>
      <w:r w:rsidRPr="00FF3FE2">
        <w:rPr>
          <w:color w:val="000000"/>
        </w:rPr>
        <w:t xml:space="preserve">(κ’) be their </w:t>
      </w:r>
      <w:proofErr w:type="spellStart"/>
      <w:r w:rsidRPr="00FF3FE2">
        <w:rPr>
          <w:color w:val="000000"/>
        </w:rPr>
        <w:t>H_k</w:t>
      </w:r>
      <w:proofErr w:type="spellEnd"/>
      <w:r w:rsidRPr="00FF3FE2">
        <w:rPr>
          <w:color w:val="000000"/>
        </w:rPr>
        <w:t xml:space="preserve"> persistence diagrams from the Vietoris–Rips filtration on the time-delay embedding. Then: </w:t>
      </w:r>
      <w:proofErr w:type="spellStart"/>
      <w:r w:rsidRPr="00FF3FE2">
        <w:rPr>
          <w:color w:val="000000"/>
        </w:rPr>
        <w:t>d_b</w:t>
      </w:r>
      <w:proofErr w:type="spellEnd"/>
      <w:r w:rsidRPr="00FF3FE2">
        <w:rPr>
          <w:color w:val="000000"/>
        </w:rPr>
        <w:t>(</w:t>
      </w:r>
      <w:proofErr w:type="spellStart"/>
      <w:r w:rsidRPr="00FF3FE2">
        <w:rPr>
          <w:color w:val="000000"/>
        </w:rPr>
        <w:t>D_k</w:t>
      </w:r>
      <w:proofErr w:type="spellEnd"/>
      <w:r w:rsidRPr="00FF3FE2">
        <w:rPr>
          <w:color w:val="000000"/>
        </w:rPr>
        <w:t xml:space="preserve">(κ), </w:t>
      </w:r>
      <w:proofErr w:type="spellStart"/>
      <w:r w:rsidRPr="00FF3FE2">
        <w:rPr>
          <w:color w:val="000000"/>
        </w:rPr>
        <w:t>D_k</w:t>
      </w:r>
      <w:proofErr w:type="spellEnd"/>
      <w:r w:rsidRPr="00FF3FE2">
        <w:rPr>
          <w:color w:val="000000"/>
        </w:rPr>
        <w:t xml:space="preserve">(κ’)) ≤ √2 · δ, where </w:t>
      </w:r>
      <w:proofErr w:type="spellStart"/>
      <w:r w:rsidRPr="00FF3FE2">
        <w:rPr>
          <w:color w:val="000000"/>
        </w:rPr>
        <w:t>d_b</w:t>
      </w:r>
      <w:proofErr w:type="spellEnd"/>
      <w:r w:rsidRPr="00FF3FE2">
        <w:rPr>
          <w:color w:val="000000"/>
        </w:rPr>
        <w:t xml:space="preserve"> denotes the bottleneck distance.</w:t>
      </w:r>
    </w:p>
    <w:p w14:paraId="61FEF071" w14:textId="77777777" w:rsidR="00B732AE" w:rsidRPr="00FF3FE2" w:rsidRDefault="00000000">
      <w:pPr>
        <w:spacing w:before="80" w:after="80" w:line="290" w:lineRule="auto"/>
        <w:ind w:firstLine="720"/>
        <w:jc w:val="both"/>
      </w:pPr>
      <w:r w:rsidRPr="00FF3FE2">
        <w:rPr>
          <w:color w:val="000000"/>
        </w:rPr>
        <w:t xml:space="preserve">Proof sketch: The time-delay embedding </w:t>
      </w:r>
      <w:proofErr w:type="spellStart"/>
      <w:r w:rsidRPr="00FF3FE2">
        <w:rPr>
          <w:color w:val="000000"/>
        </w:rPr>
        <w:t>Φ_τ</w:t>
      </w:r>
      <w:proofErr w:type="spellEnd"/>
      <w:r w:rsidRPr="00FF3FE2">
        <w:rPr>
          <w:color w:val="000000"/>
        </w:rPr>
        <w:t xml:space="preserve"> : κ </w:t>
      </w:r>
      <w:r w:rsidRPr="00FF3FE2">
        <w:rPr>
          <w:rFonts w:ascii="Cambria Math" w:hAnsi="Cambria Math" w:cs="Cambria Math"/>
          <w:color w:val="000000"/>
        </w:rPr>
        <w:t>↦</w:t>
      </w:r>
      <w:r w:rsidRPr="00FF3FE2">
        <w:rPr>
          <w:color w:val="000000"/>
        </w:rPr>
        <w:t xml:space="preserve"> </w:t>
      </w:r>
      <w:proofErr w:type="spellStart"/>
      <w:r w:rsidRPr="00FF3FE2">
        <w:rPr>
          <w:color w:val="000000"/>
        </w:rPr>
        <w:t>X_κ</w:t>
      </w:r>
      <w:proofErr w:type="spellEnd"/>
      <w:r w:rsidRPr="00FF3FE2">
        <w:rPr>
          <w:color w:val="000000"/>
        </w:rPr>
        <w:t xml:space="preserve"> is Lipschitz from (C[0,1], ‖·‖_∞) to (ℝ^{251×2}, </w:t>
      </w:r>
      <w:proofErr w:type="spellStart"/>
      <w:r w:rsidRPr="00FF3FE2">
        <w:rPr>
          <w:color w:val="000000"/>
        </w:rPr>
        <w:t>d_H</w:t>
      </w:r>
      <w:proofErr w:type="spellEnd"/>
      <w:r w:rsidRPr="00FF3FE2">
        <w:rPr>
          <w:color w:val="000000"/>
        </w:rPr>
        <w:t xml:space="preserve">) with constant √2 (for 2D embedding). The persistence stability theorem [11] gives </w:t>
      </w:r>
      <w:proofErr w:type="spellStart"/>
      <w:r w:rsidRPr="00FF3FE2">
        <w:rPr>
          <w:color w:val="000000"/>
        </w:rPr>
        <w:t>d_b</w:t>
      </w:r>
      <w:proofErr w:type="spellEnd"/>
      <w:r w:rsidRPr="00FF3FE2">
        <w:rPr>
          <w:color w:val="000000"/>
        </w:rPr>
        <w:t>(</w:t>
      </w:r>
      <w:proofErr w:type="spellStart"/>
      <w:r w:rsidRPr="00FF3FE2">
        <w:rPr>
          <w:color w:val="000000"/>
        </w:rPr>
        <w:t>D_k</w:t>
      </w:r>
      <w:proofErr w:type="spellEnd"/>
      <w:r w:rsidRPr="00FF3FE2">
        <w:rPr>
          <w:color w:val="000000"/>
        </w:rPr>
        <w:t>(</w:t>
      </w:r>
      <w:proofErr w:type="spellStart"/>
      <w:r w:rsidRPr="00FF3FE2">
        <w:rPr>
          <w:color w:val="000000"/>
        </w:rPr>
        <w:t>X_κ</w:t>
      </w:r>
      <w:proofErr w:type="spellEnd"/>
      <w:r w:rsidRPr="00FF3FE2">
        <w:rPr>
          <w:color w:val="000000"/>
        </w:rPr>
        <w:t xml:space="preserve">), </w:t>
      </w:r>
      <w:proofErr w:type="spellStart"/>
      <w:r w:rsidRPr="00FF3FE2">
        <w:rPr>
          <w:color w:val="000000"/>
        </w:rPr>
        <w:t>D_k</w:t>
      </w:r>
      <w:proofErr w:type="spellEnd"/>
      <w:r w:rsidRPr="00FF3FE2">
        <w:rPr>
          <w:color w:val="000000"/>
        </w:rPr>
        <w:t xml:space="preserve">(X_{κ’})) ≤ </w:t>
      </w:r>
      <w:proofErr w:type="spellStart"/>
      <w:r w:rsidRPr="00FF3FE2">
        <w:rPr>
          <w:color w:val="000000"/>
        </w:rPr>
        <w:t>d_GH</w:t>
      </w:r>
      <w:proofErr w:type="spellEnd"/>
      <w:r w:rsidRPr="00FF3FE2">
        <w:rPr>
          <w:color w:val="000000"/>
        </w:rPr>
        <w:t>(</w:t>
      </w:r>
      <w:proofErr w:type="spellStart"/>
      <w:r w:rsidRPr="00FF3FE2">
        <w:rPr>
          <w:color w:val="000000"/>
        </w:rPr>
        <w:t>X_κ</w:t>
      </w:r>
      <w:proofErr w:type="spellEnd"/>
      <w:r w:rsidRPr="00FF3FE2">
        <w:rPr>
          <w:color w:val="000000"/>
        </w:rPr>
        <w:t>, X_{κ’}) ≤ √2 · ‖κ − κ’‖_∞ = √2δ. □</w:t>
      </w:r>
    </w:p>
    <w:p w14:paraId="0C5B1358" w14:textId="7708D555" w:rsidR="00B732AE" w:rsidRPr="00FF3FE2" w:rsidRDefault="00000000">
      <w:pPr>
        <w:pStyle w:val="Heading2"/>
        <w:rPr>
          <w:rFonts w:ascii="Times New Roman" w:hAnsi="Times New Roman" w:cs="Times New Roman"/>
        </w:rPr>
      </w:pPr>
      <w:r w:rsidRPr="00FF3FE2">
        <w:rPr>
          <w:rFonts w:ascii="Times New Roman" w:hAnsi="Times New Roman" w:cs="Times New Roman"/>
        </w:rPr>
        <w:t>9.3 Affine Covariance of SPD Riemannian Embedding</w:t>
      </w:r>
    </w:p>
    <w:p w14:paraId="1D01C6DA" w14:textId="2923FA59" w:rsidR="00B732AE" w:rsidRPr="00FF3FE2" w:rsidRDefault="00000000">
      <w:pPr>
        <w:spacing w:before="80" w:after="80" w:line="290" w:lineRule="auto"/>
        <w:ind w:firstLine="720"/>
        <w:jc w:val="both"/>
      </w:pPr>
      <w:r w:rsidRPr="00FF3FE2">
        <w:rPr>
          <w:color w:val="000000"/>
        </w:rPr>
        <w:t xml:space="preserve">Theorem 3 (Affine Covariance of AIRM): The Affine-Invariant Riemannian Metric </w:t>
      </w:r>
      <w:proofErr w:type="spellStart"/>
      <w:r w:rsidRPr="00FF3FE2">
        <w:rPr>
          <w:color w:val="000000"/>
        </w:rPr>
        <w:t>d_AI</w:t>
      </w:r>
      <w:proofErr w:type="spellEnd"/>
      <w:r w:rsidRPr="00FF3FE2">
        <w:rPr>
          <w:color w:val="000000"/>
        </w:rPr>
        <w:t xml:space="preserve">(S₁, S₂) satisfies </w:t>
      </w:r>
      <w:proofErr w:type="spellStart"/>
      <w:r w:rsidRPr="00FF3FE2">
        <w:rPr>
          <w:color w:val="000000"/>
        </w:rPr>
        <w:t>d_AI</w:t>
      </w:r>
      <w:proofErr w:type="spellEnd"/>
      <w:r w:rsidRPr="00FF3FE2">
        <w:rPr>
          <w:color w:val="000000"/>
        </w:rPr>
        <w:t xml:space="preserve">(PᵀS₁P, PᵀS₂P) = </w:t>
      </w:r>
      <w:proofErr w:type="spellStart"/>
      <w:r w:rsidRPr="00FF3FE2">
        <w:rPr>
          <w:color w:val="000000"/>
        </w:rPr>
        <w:t>d_AI</w:t>
      </w:r>
      <w:proofErr w:type="spellEnd"/>
      <w:r w:rsidRPr="00FF3FE2">
        <w:rPr>
          <w:color w:val="000000"/>
        </w:rPr>
        <w:t xml:space="preserve">(S₁, S₂) for any invertible P </w:t>
      </w:r>
      <w:r w:rsidRPr="00FF3FE2">
        <w:rPr>
          <w:rFonts w:ascii="Cambria Math" w:hAnsi="Cambria Math" w:cs="Cambria Math"/>
          <w:color w:val="000000"/>
        </w:rPr>
        <w:t>∈</w:t>
      </w:r>
      <w:r w:rsidRPr="00FF3FE2">
        <w:rPr>
          <w:color w:val="000000"/>
        </w:rPr>
        <w:t xml:space="preserve"> GL(d). Consequently, SPD descriptor comparison is invariant to affine </w:t>
      </w:r>
      <w:r w:rsidR="00F70AF1" w:rsidRPr="00FF3FE2">
        <w:rPr>
          <w:color w:val="000000"/>
        </w:rPr>
        <w:t>reparameterizations</w:t>
      </w:r>
      <w:r w:rsidRPr="00FF3FE2">
        <w:rPr>
          <w:color w:val="000000"/>
        </w:rPr>
        <w:t xml:space="preserve"> of the spectral feature space.</w:t>
      </w:r>
    </w:p>
    <w:p w14:paraId="68364F4B" w14:textId="77777777" w:rsidR="00B732AE" w:rsidRPr="00FF3FE2" w:rsidRDefault="00000000">
      <w:pPr>
        <w:spacing w:before="80" w:after="80" w:line="290" w:lineRule="auto"/>
        <w:ind w:firstLine="720"/>
        <w:jc w:val="both"/>
      </w:pPr>
      <w:r w:rsidRPr="00FF3FE2">
        <w:rPr>
          <w:color w:val="000000"/>
        </w:rPr>
        <w:t xml:space="preserve">Proof: </w:t>
      </w:r>
      <w:proofErr w:type="spellStart"/>
      <w:r w:rsidRPr="00FF3FE2">
        <w:rPr>
          <w:color w:val="000000"/>
        </w:rPr>
        <w:t>d_AI</w:t>
      </w:r>
      <w:proofErr w:type="spellEnd"/>
      <w:r w:rsidRPr="00FF3FE2">
        <w:rPr>
          <w:color w:val="000000"/>
        </w:rPr>
        <w:t xml:space="preserve">(PᵀS₁P, PᵀS₂P) = ‖log((PᵀS₁P)^{−1/2}(PᵀS₂P)(PᵀS₁P)^{−1/2})‖_F. Using the GL(d) invariance of the AIRM established in Pennec et al. [13], this equals ‖log(S₁^{−1/2}S₂S₁^{−1/2})‖_F = </w:t>
      </w:r>
      <w:proofErr w:type="spellStart"/>
      <w:r w:rsidRPr="00FF3FE2">
        <w:rPr>
          <w:color w:val="000000"/>
        </w:rPr>
        <w:t>d_AI</w:t>
      </w:r>
      <w:proofErr w:type="spellEnd"/>
      <w:r w:rsidRPr="00FF3FE2">
        <w:rPr>
          <w:color w:val="000000"/>
        </w:rPr>
        <w:t>(S₁, S₂). □</w:t>
      </w:r>
    </w:p>
    <w:p w14:paraId="068CCFA2" w14:textId="77777777" w:rsidR="00B732AE" w:rsidRPr="00FF3FE2" w:rsidRDefault="00000000">
      <w:pPr>
        <w:pStyle w:val="Heading1"/>
        <w:pBdr>
          <w:bottom w:val="single" w:sz="8" w:space="4" w:color="1A3A6B"/>
        </w:pBdr>
        <w:rPr>
          <w:rFonts w:ascii="Times New Roman" w:hAnsi="Times New Roman" w:cs="Times New Roman"/>
        </w:rPr>
      </w:pPr>
      <w:r w:rsidRPr="00FF3FE2">
        <w:rPr>
          <w:rFonts w:ascii="Times New Roman" w:hAnsi="Times New Roman" w:cs="Times New Roman"/>
        </w:rPr>
        <w:t>10.  EXPERIMENTAL RESULTS</w:t>
      </w:r>
    </w:p>
    <w:p w14:paraId="63063618" w14:textId="6447E4B9" w:rsidR="00B732AE" w:rsidRPr="00FF3FE2" w:rsidRDefault="00000000">
      <w:pPr>
        <w:pStyle w:val="Heading2"/>
        <w:rPr>
          <w:rFonts w:ascii="Times New Roman" w:hAnsi="Times New Roman" w:cs="Times New Roman"/>
        </w:rPr>
      </w:pPr>
      <w:r w:rsidRPr="00FF3FE2">
        <w:rPr>
          <w:rFonts w:ascii="Times New Roman" w:hAnsi="Times New Roman" w:cs="Times New Roman"/>
        </w:rPr>
        <w:t>10.1 Recognition Accuracy: Comprehensive Comparison</w:t>
      </w:r>
    </w:p>
    <w:p w14:paraId="00561210" w14:textId="24E66BBC" w:rsidR="00B732AE" w:rsidRPr="00FF3FE2" w:rsidRDefault="00000000">
      <w:pPr>
        <w:spacing w:before="80" w:after="80" w:line="290" w:lineRule="auto"/>
        <w:ind w:firstLine="720"/>
        <w:jc w:val="both"/>
      </w:pPr>
      <w:r w:rsidRPr="00FF3FE2">
        <w:rPr>
          <w:color w:val="000000"/>
        </w:rPr>
        <w:t xml:space="preserve">Table 2 presents the main recognition accuracy results for all six descriptors across three classifiers under five-fold cross-validation on KIMIA-216. AMST achieves the highest accuracy on every classifier–descriptor combination. The SVM-RBF classifier with AMST reaches 95.83 ± 0.41%, representing a +6.94% absolute improvement over Fourier-only (88.89 ± 0.98%) and a +4.12% improvement over the F+W Hybrid baseline (91.71 ± 0.88%). All AMST improvements over the F+W Hybrid are statistically significant (p &lt; 0.05, paired t-test, </w:t>
      </w:r>
      <w:r w:rsidR="00F70AF1" w:rsidRPr="00FF3FE2">
        <w:rPr>
          <w:color w:val="000000"/>
        </w:rPr>
        <w:t>fivefold</w:t>
      </w:r>
      <w:r w:rsidRPr="00FF3FE2">
        <w:rPr>
          <w:color w:val="000000"/>
        </w:rPr>
        <w:t xml:space="preserve"> measurements) for all three classifiers. The 1-NN result of 92.59 ± 0.67% is particularly significant because 1-NN depends directly on the geometry of the descriptor space without learned decision boundaries, confirming </w:t>
      </w:r>
      <w:r w:rsidRPr="00FF3FE2">
        <w:rPr>
          <w:color w:val="000000"/>
        </w:rPr>
        <w:lastRenderedPageBreak/>
        <w:t>that AMST’s Riemannian embedding produces genuinely better-</w:t>
      </w:r>
      <w:r w:rsidR="00F70AF1" w:rsidRPr="00FF3FE2">
        <w:rPr>
          <w:color w:val="000000"/>
        </w:rPr>
        <w:t>organized</w:t>
      </w:r>
      <w:r w:rsidRPr="00FF3FE2">
        <w:rPr>
          <w:color w:val="000000"/>
        </w:rPr>
        <w:t xml:space="preserve"> feature clusters rather than classifier-specific boundary </w:t>
      </w:r>
      <w:r w:rsidR="00F70AF1" w:rsidRPr="00FF3FE2">
        <w:rPr>
          <w:color w:val="000000"/>
        </w:rPr>
        <w:t>optimization</w:t>
      </w:r>
      <w:r w:rsidRPr="00FF3FE2">
        <w:rPr>
          <w:color w:val="000000"/>
        </w:rPr>
        <w:t>.</w:t>
      </w:r>
    </w:p>
    <w:p w14:paraId="00FF8D0A" w14:textId="77777777" w:rsidR="00B732AE" w:rsidRPr="00FF3FE2" w:rsidRDefault="00000000">
      <w:pPr>
        <w:spacing w:before="160" w:after="80"/>
        <w:jc w:val="center"/>
      </w:pPr>
      <w:r w:rsidRPr="00FF3FE2">
        <w:rPr>
          <w:b/>
          <w:bCs/>
          <w:color w:val="000000"/>
          <w:sz w:val="20"/>
          <w:szCs w:val="20"/>
        </w:rPr>
        <w:t>Table 2. Recognition accuracy (%) — all descriptors and classifiers, 5-fold CV, KIMIA-216. Bold = best per column. * p &lt; 0.05 vs. F+W Hybrid; ‡ p &lt; 0.05 vs. Zernike (paired t-test).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1"/>
        <w:gridCol w:w="1821"/>
        <w:gridCol w:w="1821"/>
        <w:gridCol w:w="1821"/>
        <w:gridCol w:w="2176"/>
      </w:tblGrid>
      <w:tr w:rsidR="00B732AE" w:rsidRPr="00FF3FE2" w14:paraId="3545DD2D" w14:textId="77777777">
        <w:tblPrEx>
          <w:tblCellMar>
            <w:top w:w="0" w:type="dxa"/>
            <w:bottom w:w="0" w:type="dxa"/>
          </w:tblCellMar>
        </w:tblPrEx>
        <w:tc>
          <w:tcPr>
            <w:tcW w:w="2200" w:type="dxa"/>
            <w:tcBorders>
              <w:top w:val="single" w:sz="3" w:space="0" w:color="BBBBBB"/>
              <w:left w:val="single" w:sz="3" w:space="0" w:color="BBBBBB"/>
              <w:bottom w:val="single" w:sz="3" w:space="0" w:color="BBBBBB"/>
              <w:right w:val="single" w:sz="3" w:space="0" w:color="BBBBBB"/>
            </w:tcBorders>
            <w:shd w:val="clear" w:color="auto" w:fill="1A3A6B"/>
            <w:tcMar>
              <w:top w:w="80" w:type="dxa"/>
              <w:left w:w="130" w:type="dxa"/>
              <w:bottom w:w="80" w:type="dxa"/>
              <w:right w:w="130" w:type="dxa"/>
            </w:tcMar>
            <w:vAlign w:val="center"/>
          </w:tcPr>
          <w:p w14:paraId="66D265F7" w14:textId="77777777" w:rsidR="00B732AE" w:rsidRPr="00FF3FE2" w:rsidRDefault="00000000">
            <w:pPr>
              <w:spacing w:before="40" w:after="40"/>
              <w:jc w:val="center"/>
            </w:pPr>
            <w:r w:rsidRPr="00FF3FE2">
              <w:rPr>
                <w:b/>
                <w:bCs/>
                <w:color w:val="FFFFFF"/>
                <w:sz w:val="18"/>
                <w:szCs w:val="18"/>
              </w:rPr>
              <w:t>Descriptor</w:t>
            </w:r>
          </w:p>
        </w:tc>
        <w:tc>
          <w:tcPr>
            <w:tcW w:w="1640" w:type="dxa"/>
            <w:tcBorders>
              <w:top w:val="single" w:sz="3" w:space="0" w:color="BBBBBB"/>
              <w:left w:val="single" w:sz="3" w:space="0" w:color="BBBBBB"/>
              <w:bottom w:val="single" w:sz="3" w:space="0" w:color="BBBBBB"/>
              <w:right w:val="single" w:sz="3" w:space="0" w:color="BBBBBB"/>
            </w:tcBorders>
            <w:shd w:val="clear" w:color="auto" w:fill="1A3A6B"/>
            <w:tcMar>
              <w:top w:w="80" w:type="dxa"/>
              <w:left w:w="130" w:type="dxa"/>
              <w:bottom w:w="80" w:type="dxa"/>
              <w:right w:w="130" w:type="dxa"/>
            </w:tcMar>
            <w:vAlign w:val="center"/>
          </w:tcPr>
          <w:p w14:paraId="309E98D3" w14:textId="77777777" w:rsidR="00B732AE" w:rsidRPr="00FF3FE2" w:rsidRDefault="00000000">
            <w:pPr>
              <w:spacing w:before="40" w:after="40"/>
              <w:jc w:val="center"/>
            </w:pPr>
            <w:r w:rsidRPr="00FF3FE2">
              <w:rPr>
                <w:b/>
                <w:bCs/>
                <w:color w:val="FFFFFF"/>
                <w:sz w:val="18"/>
                <w:szCs w:val="18"/>
              </w:rPr>
              <w:t>1-NN Acc. (%)</w:t>
            </w:r>
          </w:p>
        </w:tc>
        <w:tc>
          <w:tcPr>
            <w:tcW w:w="1640" w:type="dxa"/>
            <w:tcBorders>
              <w:top w:val="single" w:sz="3" w:space="0" w:color="BBBBBB"/>
              <w:left w:val="single" w:sz="3" w:space="0" w:color="BBBBBB"/>
              <w:bottom w:val="single" w:sz="3" w:space="0" w:color="BBBBBB"/>
              <w:right w:val="single" w:sz="3" w:space="0" w:color="BBBBBB"/>
            </w:tcBorders>
            <w:shd w:val="clear" w:color="auto" w:fill="1A3A6B"/>
            <w:tcMar>
              <w:top w:w="80" w:type="dxa"/>
              <w:left w:w="130" w:type="dxa"/>
              <w:bottom w:w="80" w:type="dxa"/>
              <w:right w:w="130" w:type="dxa"/>
            </w:tcMar>
            <w:vAlign w:val="center"/>
          </w:tcPr>
          <w:p w14:paraId="4F599884" w14:textId="77777777" w:rsidR="00B732AE" w:rsidRPr="00FF3FE2" w:rsidRDefault="00000000">
            <w:pPr>
              <w:spacing w:before="40" w:after="40"/>
              <w:jc w:val="center"/>
            </w:pPr>
            <w:r w:rsidRPr="00FF3FE2">
              <w:rPr>
                <w:b/>
                <w:bCs/>
                <w:color w:val="FFFFFF"/>
                <w:sz w:val="18"/>
                <w:szCs w:val="18"/>
              </w:rPr>
              <w:t>3-NN Acc. (%)</w:t>
            </w:r>
          </w:p>
        </w:tc>
        <w:tc>
          <w:tcPr>
            <w:tcW w:w="1640" w:type="dxa"/>
            <w:tcBorders>
              <w:top w:val="single" w:sz="3" w:space="0" w:color="BBBBBB"/>
              <w:left w:val="single" w:sz="3" w:space="0" w:color="BBBBBB"/>
              <w:bottom w:val="single" w:sz="3" w:space="0" w:color="BBBBBB"/>
              <w:right w:val="single" w:sz="3" w:space="0" w:color="BBBBBB"/>
            </w:tcBorders>
            <w:shd w:val="clear" w:color="auto" w:fill="1A3A6B"/>
            <w:tcMar>
              <w:top w:w="80" w:type="dxa"/>
              <w:left w:w="130" w:type="dxa"/>
              <w:bottom w:w="80" w:type="dxa"/>
              <w:right w:w="130" w:type="dxa"/>
            </w:tcMar>
            <w:vAlign w:val="center"/>
          </w:tcPr>
          <w:p w14:paraId="3B3CCCD5" w14:textId="77777777" w:rsidR="00B732AE" w:rsidRPr="00FF3FE2" w:rsidRDefault="00000000">
            <w:pPr>
              <w:spacing w:before="40" w:after="40"/>
              <w:jc w:val="center"/>
            </w:pPr>
            <w:r w:rsidRPr="00FF3FE2">
              <w:rPr>
                <w:b/>
                <w:bCs/>
                <w:color w:val="FFFFFF"/>
                <w:sz w:val="18"/>
                <w:szCs w:val="18"/>
              </w:rPr>
              <w:t>SVM-RBF Acc. (%)</w:t>
            </w:r>
          </w:p>
        </w:tc>
        <w:tc>
          <w:tcPr>
            <w:tcW w:w="1960" w:type="dxa"/>
            <w:tcBorders>
              <w:top w:val="single" w:sz="3" w:space="0" w:color="BBBBBB"/>
              <w:left w:val="single" w:sz="3" w:space="0" w:color="BBBBBB"/>
              <w:bottom w:val="single" w:sz="3" w:space="0" w:color="BBBBBB"/>
              <w:right w:val="single" w:sz="3" w:space="0" w:color="BBBBBB"/>
            </w:tcBorders>
            <w:shd w:val="clear" w:color="auto" w:fill="1A3A6B"/>
            <w:tcMar>
              <w:top w:w="80" w:type="dxa"/>
              <w:left w:w="130" w:type="dxa"/>
              <w:bottom w:w="80" w:type="dxa"/>
              <w:right w:w="130" w:type="dxa"/>
            </w:tcMar>
            <w:vAlign w:val="center"/>
          </w:tcPr>
          <w:p w14:paraId="268AC8CB" w14:textId="77777777" w:rsidR="00B732AE" w:rsidRPr="00FF3FE2" w:rsidRDefault="00000000">
            <w:pPr>
              <w:spacing w:before="40" w:after="40"/>
              <w:jc w:val="center"/>
            </w:pPr>
            <w:r w:rsidRPr="00FF3FE2">
              <w:rPr>
                <w:b/>
                <w:bCs/>
                <w:color w:val="FFFFFF"/>
                <w:sz w:val="18"/>
                <w:szCs w:val="18"/>
              </w:rPr>
              <w:t>Characteristics</w:t>
            </w:r>
          </w:p>
        </w:tc>
      </w:tr>
      <w:tr w:rsidR="00B732AE" w:rsidRPr="00FF3FE2" w14:paraId="5CDEBA11" w14:textId="77777777">
        <w:tblPrEx>
          <w:tblCellMar>
            <w:top w:w="0" w:type="dxa"/>
            <w:bottom w:w="0" w:type="dxa"/>
          </w:tblCellMar>
        </w:tblPrEx>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80" w:type="dxa"/>
              <w:left w:w="130" w:type="dxa"/>
              <w:bottom w:w="80" w:type="dxa"/>
              <w:right w:w="130" w:type="dxa"/>
            </w:tcMar>
            <w:vAlign w:val="center"/>
          </w:tcPr>
          <w:p w14:paraId="5442E17C" w14:textId="77777777" w:rsidR="00B732AE" w:rsidRPr="00FF3FE2" w:rsidRDefault="00000000">
            <w:pPr>
              <w:spacing w:before="40" w:after="40"/>
            </w:pPr>
            <w:r w:rsidRPr="00FF3FE2">
              <w:rPr>
                <w:color w:val="111111"/>
                <w:sz w:val="18"/>
                <w:szCs w:val="18"/>
              </w:rPr>
              <w:t>Fourier-only [8]</w:t>
            </w:r>
          </w:p>
        </w:tc>
        <w:tc>
          <w:tcPr>
            <w:tcW w:w="1640" w:type="dxa"/>
            <w:tcBorders>
              <w:top w:val="single" w:sz="3" w:space="0" w:color="BBBBBB"/>
              <w:left w:val="single" w:sz="3" w:space="0" w:color="BBBBBB"/>
              <w:bottom w:val="single" w:sz="3" w:space="0" w:color="BBBBBB"/>
              <w:right w:val="single" w:sz="3" w:space="0" w:color="BBBBBB"/>
            </w:tcBorders>
            <w:shd w:val="clear" w:color="auto" w:fill="F5F5F5"/>
            <w:tcMar>
              <w:top w:w="80" w:type="dxa"/>
              <w:left w:w="130" w:type="dxa"/>
              <w:bottom w:w="80" w:type="dxa"/>
              <w:right w:w="130" w:type="dxa"/>
            </w:tcMar>
            <w:vAlign w:val="center"/>
          </w:tcPr>
          <w:p w14:paraId="24D13F98" w14:textId="77777777" w:rsidR="00B732AE" w:rsidRPr="00FF3FE2" w:rsidRDefault="00000000">
            <w:pPr>
              <w:spacing w:before="40" w:after="40"/>
              <w:jc w:val="center"/>
            </w:pPr>
            <w:r w:rsidRPr="00FF3FE2">
              <w:rPr>
                <w:color w:val="111111"/>
                <w:sz w:val="18"/>
                <w:szCs w:val="18"/>
              </w:rPr>
              <w:t>82.41 ± 1.22</w:t>
            </w:r>
          </w:p>
        </w:tc>
        <w:tc>
          <w:tcPr>
            <w:tcW w:w="1640" w:type="dxa"/>
            <w:tcBorders>
              <w:top w:val="single" w:sz="3" w:space="0" w:color="BBBBBB"/>
              <w:left w:val="single" w:sz="3" w:space="0" w:color="BBBBBB"/>
              <w:bottom w:val="single" w:sz="3" w:space="0" w:color="BBBBBB"/>
              <w:right w:val="single" w:sz="3" w:space="0" w:color="BBBBBB"/>
            </w:tcBorders>
            <w:shd w:val="clear" w:color="auto" w:fill="F5F5F5"/>
            <w:tcMar>
              <w:top w:w="80" w:type="dxa"/>
              <w:left w:w="130" w:type="dxa"/>
              <w:bottom w:w="80" w:type="dxa"/>
              <w:right w:w="130" w:type="dxa"/>
            </w:tcMar>
            <w:vAlign w:val="center"/>
          </w:tcPr>
          <w:p w14:paraId="0A817321" w14:textId="77777777" w:rsidR="00B732AE" w:rsidRPr="00FF3FE2" w:rsidRDefault="00000000">
            <w:pPr>
              <w:spacing w:before="40" w:after="40"/>
              <w:jc w:val="center"/>
            </w:pPr>
            <w:r w:rsidRPr="00FF3FE2">
              <w:rPr>
                <w:color w:val="111111"/>
                <w:sz w:val="18"/>
                <w:szCs w:val="18"/>
              </w:rPr>
              <w:t>80.09 ± 1.31</w:t>
            </w:r>
          </w:p>
        </w:tc>
        <w:tc>
          <w:tcPr>
            <w:tcW w:w="1640" w:type="dxa"/>
            <w:tcBorders>
              <w:top w:val="single" w:sz="3" w:space="0" w:color="BBBBBB"/>
              <w:left w:val="single" w:sz="3" w:space="0" w:color="BBBBBB"/>
              <w:bottom w:val="single" w:sz="3" w:space="0" w:color="BBBBBB"/>
              <w:right w:val="single" w:sz="3" w:space="0" w:color="BBBBBB"/>
            </w:tcBorders>
            <w:shd w:val="clear" w:color="auto" w:fill="F5F5F5"/>
            <w:tcMar>
              <w:top w:w="80" w:type="dxa"/>
              <w:left w:w="130" w:type="dxa"/>
              <w:bottom w:w="80" w:type="dxa"/>
              <w:right w:w="130" w:type="dxa"/>
            </w:tcMar>
            <w:vAlign w:val="center"/>
          </w:tcPr>
          <w:p w14:paraId="232A625A" w14:textId="77777777" w:rsidR="00B732AE" w:rsidRPr="00FF3FE2" w:rsidRDefault="00000000">
            <w:pPr>
              <w:spacing w:before="40" w:after="40"/>
              <w:jc w:val="center"/>
            </w:pPr>
            <w:r w:rsidRPr="00FF3FE2">
              <w:rPr>
                <w:color w:val="111111"/>
                <w:sz w:val="18"/>
                <w:szCs w:val="18"/>
              </w:rPr>
              <w:t>88.89 ± 0.98</w:t>
            </w:r>
          </w:p>
        </w:tc>
        <w:tc>
          <w:tcPr>
            <w:tcW w:w="1960" w:type="dxa"/>
            <w:tcBorders>
              <w:top w:val="single" w:sz="3" w:space="0" w:color="BBBBBB"/>
              <w:left w:val="single" w:sz="3" w:space="0" w:color="BBBBBB"/>
              <w:bottom w:val="single" w:sz="3" w:space="0" w:color="BBBBBB"/>
              <w:right w:val="single" w:sz="3" w:space="0" w:color="BBBBBB"/>
            </w:tcBorders>
            <w:shd w:val="clear" w:color="auto" w:fill="F5F5F5"/>
            <w:tcMar>
              <w:top w:w="80" w:type="dxa"/>
              <w:left w:w="130" w:type="dxa"/>
              <w:bottom w:w="80" w:type="dxa"/>
              <w:right w:w="130" w:type="dxa"/>
            </w:tcMar>
            <w:vAlign w:val="center"/>
          </w:tcPr>
          <w:p w14:paraId="2C0BD45D" w14:textId="77777777" w:rsidR="00B732AE" w:rsidRPr="00FF3FE2" w:rsidRDefault="00000000">
            <w:pPr>
              <w:spacing w:before="40" w:after="40"/>
            </w:pPr>
            <w:r w:rsidRPr="00FF3FE2">
              <w:rPr>
                <w:color w:val="111111"/>
                <w:sz w:val="18"/>
                <w:szCs w:val="18"/>
              </w:rPr>
              <w:t>Global only; no local coupling</w:t>
            </w:r>
          </w:p>
        </w:tc>
      </w:tr>
      <w:tr w:rsidR="00B732AE" w:rsidRPr="00FF3FE2" w14:paraId="1C9F348F" w14:textId="77777777">
        <w:tblPrEx>
          <w:tblCellMar>
            <w:top w:w="0" w:type="dxa"/>
            <w:bottom w:w="0" w:type="dxa"/>
          </w:tblCellMar>
        </w:tblPrEx>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6795068C" w14:textId="77777777" w:rsidR="00B732AE" w:rsidRPr="00FF3FE2" w:rsidRDefault="00000000">
            <w:pPr>
              <w:spacing w:before="40" w:after="40"/>
            </w:pPr>
            <w:r w:rsidRPr="00FF3FE2">
              <w:rPr>
                <w:color w:val="111111"/>
                <w:sz w:val="18"/>
                <w:szCs w:val="18"/>
              </w:rPr>
              <w:t>Wavelet-only [16]</w:t>
            </w:r>
          </w:p>
        </w:tc>
        <w:tc>
          <w:tcPr>
            <w:tcW w:w="164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5B292A09" w14:textId="77777777" w:rsidR="00B732AE" w:rsidRPr="00FF3FE2" w:rsidRDefault="00000000">
            <w:pPr>
              <w:spacing w:before="40" w:after="40"/>
              <w:jc w:val="center"/>
            </w:pPr>
            <w:r w:rsidRPr="00FF3FE2">
              <w:rPr>
                <w:color w:val="111111"/>
                <w:sz w:val="18"/>
                <w:szCs w:val="18"/>
              </w:rPr>
              <w:t>79.17 ± 1.44</w:t>
            </w:r>
          </w:p>
        </w:tc>
        <w:tc>
          <w:tcPr>
            <w:tcW w:w="164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553E7ACD" w14:textId="77777777" w:rsidR="00B732AE" w:rsidRPr="00FF3FE2" w:rsidRDefault="00000000">
            <w:pPr>
              <w:spacing w:before="40" w:after="40"/>
              <w:jc w:val="center"/>
            </w:pPr>
            <w:r w:rsidRPr="00FF3FE2">
              <w:rPr>
                <w:color w:val="111111"/>
                <w:sz w:val="18"/>
                <w:szCs w:val="18"/>
              </w:rPr>
              <w:t>77.31 ± 1.52</w:t>
            </w:r>
          </w:p>
        </w:tc>
        <w:tc>
          <w:tcPr>
            <w:tcW w:w="164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58F9FB04" w14:textId="77777777" w:rsidR="00B732AE" w:rsidRPr="00FF3FE2" w:rsidRDefault="00000000">
            <w:pPr>
              <w:spacing w:before="40" w:after="40"/>
              <w:jc w:val="center"/>
            </w:pPr>
            <w:r w:rsidRPr="00FF3FE2">
              <w:rPr>
                <w:color w:val="111111"/>
                <w:sz w:val="18"/>
                <w:szCs w:val="18"/>
              </w:rPr>
              <w:t>85.19 ± 1.14</w:t>
            </w:r>
          </w:p>
        </w:tc>
        <w:tc>
          <w:tcPr>
            <w:tcW w:w="196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091F9B8D" w14:textId="77777777" w:rsidR="00B732AE" w:rsidRPr="00FF3FE2" w:rsidRDefault="00000000">
            <w:pPr>
              <w:spacing w:before="40" w:after="40"/>
            </w:pPr>
            <w:r w:rsidRPr="00FF3FE2">
              <w:rPr>
                <w:color w:val="111111"/>
                <w:sz w:val="18"/>
                <w:szCs w:val="18"/>
              </w:rPr>
              <w:t>Local only; no spectral context</w:t>
            </w:r>
          </w:p>
        </w:tc>
      </w:tr>
      <w:tr w:rsidR="00B732AE" w:rsidRPr="00FF3FE2" w14:paraId="219AD78E" w14:textId="77777777">
        <w:tblPrEx>
          <w:tblCellMar>
            <w:top w:w="0" w:type="dxa"/>
            <w:bottom w:w="0" w:type="dxa"/>
          </w:tblCellMar>
        </w:tblPrEx>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80" w:type="dxa"/>
              <w:left w:w="130" w:type="dxa"/>
              <w:bottom w:w="80" w:type="dxa"/>
              <w:right w:w="130" w:type="dxa"/>
            </w:tcMar>
            <w:vAlign w:val="center"/>
          </w:tcPr>
          <w:p w14:paraId="22B01E9A" w14:textId="77777777" w:rsidR="00B732AE" w:rsidRPr="00FF3FE2" w:rsidRDefault="00000000">
            <w:pPr>
              <w:spacing w:before="40" w:after="40"/>
            </w:pPr>
            <w:r w:rsidRPr="00FF3FE2">
              <w:rPr>
                <w:color w:val="111111"/>
                <w:sz w:val="18"/>
                <w:szCs w:val="18"/>
              </w:rPr>
              <w:t>F+W Hybrid (</w:t>
            </w:r>
            <w:proofErr w:type="spellStart"/>
            <w:r w:rsidRPr="00FF3FE2">
              <w:rPr>
                <w:color w:val="111111"/>
                <w:sz w:val="18"/>
                <w:szCs w:val="18"/>
              </w:rPr>
              <w:t>Concat</w:t>
            </w:r>
            <w:proofErr w:type="spellEnd"/>
            <w:r w:rsidRPr="00FF3FE2">
              <w:rPr>
                <w:color w:val="111111"/>
                <w:sz w:val="18"/>
                <w:szCs w:val="18"/>
              </w:rPr>
              <w:t>.)</w:t>
            </w:r>
          </w:p>
        </w:tc>
        <w:tc>
          <w:tcPr>
            <w:tcW w:w="1640" w:type="dxa"/>
            <w:tcBorders>
              <w:top w:val="single" w:sz="3" w:space="0" w:color="BBBBBB"/>
              <w:left w:val="single" w:sz="3" w:space="0" w:color="BBBBBB"/>
              <w:bottom w:val="single" w:sz="3" w:space="0" w:color="BBBBBB"/>
              <w:right w:val="single" w:sz="3" w:space="0" w:color="BBBBBB"/>
            </w:tcBorders>
            <w:shd w:val="clear" w:color="auto" w:fill="F5F5F5"/>
            <w:tcMar>
              <w:top w:w="80" w:type="dxa"/>
              <w:left w:w="130" w:type="dxa"/>
              <w:bottom w:w="80" w:type="dxa"/>
              <w:right w:w="130" w:type="dxa"/>
            </w:tcMar>
            <w:vAlign w:val="center"/>
          </w:tcPr>
          <w:p w14:paraId="5992CCD1" w14:textId="77777777" w:rsidR="00B732AE" w:rsidRPr="00FF3FE2" w:rsidRDefault="00000000">
            <w:pPr>
              <w:spacing w:before="40" w:after="40"/>
              <w:jc w:val="center"/>
            </w:pPr>
            <w:r w:rsidRPr="00FF3FE2">
              <w:rPr>
                <w:color w:val="111111"/>
                <w:sz w:val="18"/>
                <w:szCs w:val="18"/>
              </w:rPr>
              <w:t>85.65 ± 1.08</w:t>
            </w:r>
          </w:p>
        </w:tc>
        <w:tc>
          <w:tcPr>
            <w:tcW w:w="1640" w:type="dxa"/>
            <w:tcBorders>
              <w:top w:val="single" w:sz="3" w:space="0" w:color="BBBBBB"/>
              <w:left w:val="single" w:sz="3" w:space="0" w:color="BBBBBB"/>
              <w:bottom w:val="single" w:sz="3" w:space="0" w:color="BBBBBB"/>
              <w:right w:val="single" w:sz="3" w:space="0" w:color="BBBBBB"/>
            </w:tcBorders>
            <w:shd w:val="clear" w:color="auto" w:fill="F5F5F5"/>
            <w:tcMar>
              <w:top w:w="80" w:type="dxa"/>
              <w:left w:w="130" w:type="dxa"/>
              <w:bottom w:w="80" w:type="dxa"/>
              <w:right w:w="130" w:type="dxa"/>
            </w:tcMar>
            <w:vAlign w:val="center"/>
          </w:tcPr>
          <w:p w14:paraId="6FC843B7" w14:textId="77777777" w:rsidR="00B732AE" w:rsidRPr="00FF3FE2" w:rsidRDefault="00000000">
            <w:pPr>
              <w:spacing w:before="40" w:after="40"/>
              <w:jc w:val="center"/>
            </w:pPr>
            <w:r w:rsidRPr="00FF3FE2">
              <w:rPr>
                <w:color w:val="111111"/>
                <w:sz w:val="18"/>
                <w:szCs w:val="18"/>
              </w:rPr>
              <w:t>83.80 ± 1.17</w:t>
            </w:r>
          </w:p>
        </w:tc>
        <w:tc>
          <w:tcPr>
            <w:tcW w:w="1640" w:type="dxa"/>
            <w:tcBorders>
              <w:top w:val="single" w:sz="3" w:space="0" w:color="BBBBBB"/>
              <w:left w:val="single" w:sz="3" w:space="0" w:color="BBBBBB"/>
              <w:bottom w:val="single" w:sz="3" w:space="0" w:color="BBBBBB"/>
              <w:right w:val="single" w:sz="3" w:space="0" w:color="BBBBBB"/>
            </w:tcBorders>
            <w:shd w:val="clear" w:color="auto" w:fill="F5F5F5"/>
            <w:tcMar>
              <w:top w:w="80" w:type="dxa"/>
              <w:left w:w="130" w:type="dxa"/>
              <w:bottom w:w="80" w:type="dxa"/>
              <w:right w:w="130" w:type="dxa"/>
            </w:tcMar>
            <w:vAlign w:val="center"/>
          </w:tcPr>
          <w:p w14:paraId="70DAC2DB" w14:textId="77777777" w:rsidR="00B732AE" w:rsidRPr="00FF3FE2" w:rsidRDefault="00000000">
            <w:pPr>
              <w:spacing w:before="40" w:after="40"/>
              <w:jc w:val="center"/>
            </w:pPr>
            <w:r w:rsidRPr="00FF3FE2">
              <w:rPr>
                <w:color w:val="111111"/>
                <w:sz w:val="18"/>
                <w:szCs w:val="18"/>
              </w:rPr>
              <w:t>91.71 ± 0.88</w:t>
            </w:r>
          </w:p>
        </w:tc>
        <w:tc>
          <w:tcPr>
            <w:tcW w:w="1960" w:type="dxa"/>
            <w:tcBorders>
              <w:top w:val="single" w:sz="3" w:space="0" w:color="BBBBBB"/>
              <w:left w:val="single" w:sz="3" w:space="0" w:color="BBBBBB"/>
              <w:bottom w:val="single" w:sz="3" w:space="0" w:color="BBBBBB"/>
              <w:right w:val="single" w:sz="3" w:space="0" w:color="BBBBBB"/>
            </w:tcBorders>
            <w:shd w:val="clear" w:color="auto" w:fill="F5F5F5"/>
            <w:tcMar>
              <w:top w:w="80" w:type="dxa"/>
              <w:left w:w="130" w:type="dxa"/>
              <w:bottom w:w="80" w:type="dxa"/>
              <w:right w:w="130" w:type="dxa"/>
            </w:tcMar>
            <w:vAlign w:val="center"/>
          </w:tcPr>
          <w:p w14:paraId="137243AC" w14:textId="77777777" w:rsidR="00B732AE" w:rsidRPr="00FF3FE2" w:rsidRDefault="00000000">
            <w:pPr>
              <w:spacing w:before="40" w:after="40"/>
            </w:pPr>
            <w:r w:rsidRPr="00FF3FE2">
              <w:rPr>
                <w:color w:val="111111"/>
                <w:sz w:val="18"/>
                <w:szCs w:val="18"/>
              </w:rPr>
              <w:t>Independent; no phase coherence</w:t>
            </w:r>
          </w:p>
        </w:tc>
      </w:tr>
      <w:tr w:rsidR="00B732AE" w:rsidRPr="00FF3FE2" w14:paraId="24A95DDD" w14:textId="77777777">
        <w:tblPrEx>
          <w:tblCellMar>
            <w:top w:w="0" w:type="dxa"/>
            <w:bottom w:w="0" w:type="dxa"/>
          </w:tblCellMar>
        </w:tblPrEx>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4C4C33A8" w14:textId="77777777" w:rsidR="00B732AE" w:rsidRPr="00FF3FE2" w:rsidRDefault="00000000">
            <w:pPr>
              <w:spacing w:before="40" w:after="40"/>
            </w:pPr>
            <w:r w:rsidRPr="00FF3FE2">
              <w:rPr>
                <w:color w:val="111111"/>
                <w:sz w:val="18"/>
                <w:szCs w:val="18"/>
              </w:rPr>
              <w:t>Zernike Moments [28]</w:t>
            </w:r>
          </w:p>
        </w:tc>
        <w:tc>
          <w:tcPr>
            <w:tcW w:w="164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2266A267" w14:textId="77777777" w:rsidR="00B732AE" w:rsidRPr="00FF3FE2" w:rsidRDefault="00000000">
            <w:pPr>
              <w:spacing w:before="40" w:after="40"/>
              <w:jc w:val="center"/>
            </w:pPr>
            <w:r w:rsidRPr="00FF3FE2">
              <w:rPr>
                <w:color w:val="111111"/>
                <w:sz w:val="18"/>
                <w:szCs w:val="18"/>
              </w:rPr>
              <w:t>80.56 ± 1.39</w:t>
            </w:r>
          </w:p>
        </w:tc>
        <w:tc>
          <w:tcPr>
            <w:tcW w:w="164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5671123F" w14:textId="77777777" w:rsidR="00B732AE" w:rsidRPr="00FF3FE2" w:rsidRDefault="00000000">
            <w:pPr>
              <w:spacing w:before="40" w:after="40"/>
              <w:jc w:val="center"/>
            </w:pPr>
            <w:r w:rsidRPr="00FF3FE2">
              <w:rPr>
                <w:color w:val="111111"/>
                <w:sz w:val="18"/>
                <w:szCs w:val="18"/>
              </w:rPr>
              <w:t>78.70 ± 1.46</w:t>
            </w:r>
          </w:p>
        </w:tc>
        <w:tc>
          <w:tcPr>
            <w:tcW w:w="164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4AD5EA01" w14:textId="77777777" w:rsidR="00B732AE" w:rsidRPr="00FF3FE2" w:rsidRDefault="00000000">
            <w:pPr>
              <w:spacing w:before="40" w:after="40"/>
              <w:jc w:val="center"/>
            </w:pPr>
            <w:r w:rsidRPr="00FF3FE2">
              <w:rPr>
                <w:color w:val="111111"/>
                <w:sz w:val="18"/>
                <w:szCs w:val="18"/>
              </w:rPr>
              <w:t>87.04 ± 1.09</w:t>
            </w:r>
          </w:p>
        </w:tc>
        <w:tc>
          <w:tcPr>
            <w:tcW w:w="196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0B7F1084" w14:textId="77777777" w:rsidR="00B732AE" w:rsidRPr="00FF3FE2" w:rsidRDefault="00000000">
            <w:pPr>
              <w:spacing w:before="40" w:after="40"/>
            </w:pPr>
            <w:r w:rsidRPr="00FF3FE2">
              <w:rPr>
                <w:color w:val="111111"/>
                <w:sz w:val="18"/>
                <w:szCs w:val="18"/>
              </w:rPr>
              <w:t>Rotation invariant; no topology</w:t>
            </w:r>
          </w:p>
        </w:tc>
      </w:tr>
      <w:tr w:rsidR="00B732AE" w:rsidRPr="00FF3FE2" w14:paraId="6DE35327" w14:textId="77777777">
        <w:tblPrEx>
          <w:tblCellMar>
            <w:top w:w="0" w:type="dxa"/>
            <w:bottom w:w="0" w:type="dxa"/>
          </w:tblCellMar>
        </w:tblPrEx>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80" w:type="dxa"/>
              <w:left w:w="130" w:type="dxa"/>
              <w:bottom w:w="80" w:type="dxa"/>
              <w:right w:w="130" w:type="dxa"/>
            </w:tcMar>
            <w:vAlign w:val="center"/>
          </w:tcPr>
          <w:p w14:paraId="1082ACD2" w14:textId="77777777" w:rsidR="00B732AE" w:rsidRPr="00FF3FE2" w:rsidRDefault="00000000">
            <w:pPr>
              <w:spacing w:before="40" w:after="40"/>
            </w:pPr>
            <w:r w:rsidRPr="00FF3FE2">
              <w:rPr>
                <w:color w:val="111111"/>
                <w:sz w:val="18"/>
                <w:szCs w:val="18"/>
              </w:rPr>
              <w:t>Shape Context [29]</w:t>
            </w:r>
          </w:p>
        </w:tc>
        <w:tc>
          <w:tcPr>
            <w:tcW w:w="1640" w:type="dxa"/>
            <w:tcBorders>
              <w:top w:val="single" w:sz="3" w:space="0" w:color="BBBBBB"/>
              <w:left w:val="single" w:sz="3" w:space="0" w:color="BBBBBB"/>
              <w:bottom w:val="single" w:sz="3" w:space="0" w:color="BBBBBB"/>
              <w:right w:val="single" w:sz="3" w:space="0" w:color="BBBBBB"/>
            </w:tcBorders>
            <w:shd w:val="clear" w:color="auto" w:fill="F5F5F5"/>
            <w:tcMar>
              <w:top w:w="80" w:type="dxa"/>
              <w:left w:w="130" w:type="dxa"/>
              <w:bottom w:w="80" w:type="dxa"/>
              <w:right w:w="130" w:type="dxa"/>
            </w:tcMar>
            <w:vAlign w:val="center"/>
          </w:tcPr>
          <w:p w14:paraId="002CBD59" w14:textId="77777777" w:rsidR="00B732AE" w:rsidRPr="00FF3FE2" w:rsidRDefault="00000000">
            <w:pPr>
              <w:spacing w:before="40" w:after="40"/>
              <w:jc w:val="center"/>
            </w:pPr>
            <w:r w:rsidRPr="00FF3FE2">
              <w:rPr>
                <w:color w:val="111111"/>
                <w:sz w:val="18"/>
                <w:szCs w:val="18"/>
              </w:rPr>
              <w:t>77.78 ± 1.52</w:t>
            </w:r>
          </w:p>
        </w:tc>
        <w:tc>
          <w:tcPr>
            <w:tcW w:w="1640" w:type="dxa"/>
            <w:tcBorders>
              <w:top w:val="single" w:sz="3" w:space="0" w:color="BBBBBB"/>
              <w:left w:val="single" w:sz="3" w:space="0" w:color="BBBBBB"/>
              <w:bottom w:val="single" w:sz="3" w:space="0" w:color="BBBBBB"/>
              <w:right w:val="single" w:sz="3" w:space="0" w:color="BBBBBB"/>
            </w:tcBorders>
            <w:shd w:val="clear" w:color="auto" w:fill="F5F5F5"/>
            <w:tcMar>
              <w:top w:w="80" w:type="dxa"/>
              <w:left w:w="130" w:type="dxa"/>
              <w:bottom w:w="80" w:type="dxa"/>
              <w:right w:w="130" w:type="dxa"/>
            </w:tcMar>
            <w:vAlign w:val="center"/>
          </w:tcPr>
          <w:p w14:paraId="4F68B6A1" w14:textId="77777777" w:rsidR="00B732AE" w:rsidRPr="00FF3FE2" w:rsidRDefault="00000000">
            <w:pPr>
              <w:spacing w:before="40" w:after="40"/>
              <w:jc w:val="center"/>
            </w:pPr>
            <w:r w:rsidRPr="00FF3FE2">
              <w:rPr>
                <w:color w:val="111111"/>
                <w:sz w:val="18"/>
                <w:szCs w:val="18"/>
              </w:rPr>
              <w:t>75.93 ± 1.61</w:t>
            </w:r>
          </w:p>
        </w:tc>
        <w:tc>
          <w:tcPr>
            <w:tcW w:w="1640" w:type="dxa"/>
            <w:tcBorders>
              <w:top w:val="single" w:sz="3" w:space="0" w:color="BBBBBB"/>
              <w:left w:val="single" w:sz="3" w:space="0" w:color="BBBBBB"/>
              <w:bottom w:val="single" w:sz="3" w:space="0" w:color="BBBBBB"/>
              <w:right w:val="single" w:sz="3" w:space="0" w:color="BBBBBB"/>
            </w:tcBorders>
            <w:shd w:val="clear" w:color="auto" w:fill="F5F5F5"/>
            <w:tcMar>
              <w:top w:w="80" w:type="dxa"/>
              <w:left w:w="130" w:type="dxa"/>
              <w:bottom w:w="80" w:type="dxa"/>
              <w:right w:w="130" w:type="dxa"/>
            </w:tcMar>
            <w:vAlign w:val="center"/>
          </w:tcPr>
          <w:p w14:paraId="7F331A46" w14:textId="77777777" w:rsidR="00B732AE" w:rsidRPr="00FF3FE2" w:rsidRDefault="00000000">
            <w:pPr>
              <w:spacing w:before="40" w:after="40"/>
              <w:jc w:val="center"/>
            </w:pPr>
            <w:r w:rsidRPr="00FF3FE2">
              <w:rPr>
                <w:color w:val="111111"/>
                <w:sz w:val="18"/>
                <w:szCs w:val="18"/>
              </w:rPr>
              <w:t>84.26 ± 1.21</w:t>
            </w:r>
          </w:p>
        </w:tc>
        <w:tc>
          <w:tcPr>
            <w:tcW w:w="1960" w:type="dxa"/>
            <w:tcBorders>
              <w:top w:val="single" w:sz="3" w:space="0" w:color="BBBBBB"/>
              <w:left w:val="single" w:sz="3" w:space="0" w:color="BBBBBB"/>
              <w:bottom w:val="single" w:sz="3" w:space="0" w:color="BBBBBB"/>
              <w:right w:val="single" w:sz="3" w:space="0" w:color="BBBBBB"/>
            </w:tcBorders>
            <w:shd w:val="clear" w:color="auto" w:fill="F5F5F5"/>
            <w:tcMar>
              <w:top w:w="80" w:type="dxa"/>
              <w:left w:w="130" w:type="dxa"/>
              <w:bottom w:w="80" w:type="dxa"/>
              <w:right w:w="130" w:type="dxa"/>
            </w:tcMar>
            <w:vAlign w:val="center"/>
          </w:tcPr>
          <w:p w14:paraId="6683EB36" w14:textId="77777777" w:rsidR="00B732AE" w:rsidRPr="00FF3FE2" w:rsidRDefault="00000000">
            <w:pPr>
              <w:spacing w:before="40" w:after="40"/>
            </w:pPr>
            <w:r w:rsidRPr="00FF3FE2">
              <w:rPr>
                <w:color w:val="111111"/>
                <w:sz w:val="18"/>
                <w:szCs w:val="18"/>
              </w:rPr>
              <w:t>Spatial histograms; noise-sensitive</w:t>
            </w:r>
          </w:p>
        </w:tc>
      </w:tr>
      <w:tr w:rsidR="00B732AE" w:rsidRPr="00FF3FE2" w14:paraId="7D5AA7F7" w14:textId="77777777">
        <w:tblPrEx>
          <w:tblCellMar>
            <w:top w:w="0" w:type="dxa"/>
            <w:bottom w:w="0" w:type="dxa"/>
          </w:tblCellMar>
        </w:tblPrEx>
        <w:tc>
          <w:tcPr>
            <w:tcW w:w="2200" w:type="dxa"/>
            <w:tcBorders>
              <w:top w:val="single" w:sz="3" w:space="0" w:color="BBBBBB"/>
              <w:left w:val="single" w:sz="3" w:space="0" w:color="BBBBBB"/>
              <w:bottom w:val="single" w:sz="3" w:space="0" w:color="BBBBBB"/>
              <w:right w:val="single" w:sz="3" w:space="0" w:color="BBBBBB"/>
            </w:tcBorders>
            <w:shd w:val="clear" w:color="auto" w:fill="EAF0FF"/>
            <w:tcMar>
              <w:top w:w="80" w:type="dxa"/>
              <w:left w:w="130" w:type="dxa"/>
              <w:bottom w:w="80" w:type="dxa"/>
              <w:right w:w="130" w:type="dxa"/>
            </w:tcMar>
            <w:vAlign w:val="center"/>
          </w:tcPr>
          <w:p w14:paraId="44F9E585" w14:textId="77777777" w:rsidR="00B732AE" w:rsidRPr="00FF3FE2" w:rsidRDefault="00000000">
            <w:pPr>
              <w:spacing w:before="40" w:after="40"/>
            </w:pPr>
            <w:r w:rsidRPr="00FF3FE2">
              <w:rPr>
                <w:b/>
                <w:bCs/>
                <w:color w:val="1A3A6B"/>
                <w:sz w:val="18"/>
                <w:szCs w:val="18"/>
              </w:rPr>
              <w:t>AMST (Proposed) *‡</w:t>
            </w:r>
          </w:p>
        </w:tc>
        <w:tc>
          <w:tcPr>
            <w:tcW w:w="1640" w:type="dxa"/>
            <w:tcBorders>
              <w:top w:val="single" w:sz="3" w:space="0" w:color="BBBBBB"/>
              <w:left w:val="single" w:sz="3" w:space="0" w:color="BBBBBB"/>
              <w:bottom w:val="single" w:sz="3" w:space="0" w:color="BBBBBB"/>
              <w:right w:val="single" w:sz="3" w:space="0" w:color="BBBBBB"/>
            </w:tcBorders>
            <w:shd w:val="clear" w:color="auto" w:fill="EAF0FF"/>
            <w:tcMar>
              <w:top w:w="80" w:type="dxa"/>
              <w:left w:w="130" w:type="dxa"/>
              <w:bottom w:w="80" w:type="dxa"/>
              <w:right w:w="130" w:type="dxa"/>
            </w:tcMar>
            <w:vAlign w:val="center"/>
          </w:tcPr>
          <w:p w14:paraId="41E6FDF3" w14:textId="77777777" w:rsidR="00B732AE" w:rsidRPr="00FF3FE2" w:rsidRDefault="00000000">
            <w:pPr>
              <w:spacing w:before="40" w:after="40"/>
              <w:jc w:val="center"/>
            </w:pPr>
            <w:r w:rsidRPr="00FF3FE2">
              <w:rPr>
                <w:b/>
                <w:bCs/>
                <w:color w:val="1A3A6B"/>
                <w:sz w:val="18"/>
                <w:szCs w:val="18"/>
              </w:rPr>
              <w:t>92.59 ± 0.67</w:t>
            </w:r>
          </w:p>
        </w:tc>
        <w:tc>
          <w:tcPr>
            <w:tcW w:w="1640" w:type="dxa"/>
            <w:tcBorders>
              <w:top w:val="single" w:sz="3" w:space="0" w:color="BBBBBB"/>
              <w:left w:val="single" w:sz="3" w:space="0" w:color="BBBBBB"/>
              <w:bottom w:val="single" w:sz="3" w:space="0" w:color="BBBBBB"/>
              <w:right w:val="single" w:sz="3" w:space="0" w:color="BBBBBB"/>
            </w:tcBorders>
            <w:shd w:val="clear" w:color="auto" w:fill="EAF0FF"/>
            <w:tcMar>
              <w:top w:w="80" w:type="dxa"/>
              <w:left w:w="130" w:type="dxa"/>
              <w:bottom w:w="80" w:type="dxa"/>
              <w:right w:w="130" w:type="dxa"/>
            </w:tcMar>
            <w:vAlign w:val="center"/>
          </w:tcPr>
          <w:p w14:paraId="55A93CED" w14:textId="77777777" w:rsidR="00B732AE" w:rsidRPr="00FF3FE2" w:rsidRDefault="00000000">
            <w:pPr>
              <w:spacing w:before="40" w:after="40"/>
              <w:jc w:val="center"/>
            </w:pPr>
            <w:r w:rsidRPr="00FF3FE2">
              <w:rPr>
                <w:b/>
                <w:bCs/>
                <w:color w:val="1A3A6B"/>
                <w:sz w:val="18"/>
                <w:szCs w:val="18"/>
              </w:rPr>
              <w:t>90.74 ± 0.74</w:t>
            </w:r>
          </w:p>
        </w:tc>
        <w:tc>
          <w:tcPr>
            <w:tcW w:w="1640" w:type="dxa"/>
            <w:tcBorders>
              <w:top w:val="single" w:sz="3" w:space="0" w:color="BBBBBB"/>
              <w:left w:val="single" w:sz="3" w:space="0" w:color="BBBBBB"/>
              <w:bottom w:val="single" w:sz="3" w:space="0" w:color="BBBBBB"/>
              <w:right w:val="single" w:sz="3" w:space="0" w:color="BBBBBB"/>
            </w:tcBorders>
            <w:shd w:val="clear" w:color="auto" w:fill="EAF0FF"/>
            <w:tcMar>
              <w:top w:w="80" w:type="dxa"/>
              <w:left w:w="130" w:type="dxa"/>
              <w:bottom w:w="80" w:type="dxa"/>
              <w:right w:w="130" w:type="dxa"/>
            </w:tcMar>
            <w:vAlign w:val="center"/>
          </w:tcPr>
          <w:p w14:paraId="58932E48" w14:textId="77777777" w:rsidR="00B732AE" w:rsidRPr="00FF3FE2" w:rsidRDefault="00000000">
            <w:pPr>
              <w:spacing w:before="40" w:after="40"/>
              <w:jc w:val="center"/>
            </w:pPr>
            <w:r w:rsidRPr="00FF3FE2">
              <w:rPr>
                <w:b/>
                <w:bCs/>
                <w:color w:val="1A3A6B"/>
                <w:sz w:val="18"/>
                <w:szCs w:val="18"/>
              </w:rPr>
              <w:t>95.83 ± 0.41</w:t>
            </w:r>
          </w:p>
        </w:tc>
        <w:tc>
          <w:tcPr>
            <w:tcW w:w="1960" w:type="dxa"/>
            <w:tcBorders>
              <w:top w:val="single" w:sz="3" w:space="0" w:color="BBBBBB"/>
              <w:left w:val="single" w:sz="3" w:space="0" w:color="BBBBBB"/>
              <w:bottom w:val="single" w:sz="3" w:space="0" w:color="BBBBBB"/>
              <w:right w:val="single" w:sz="3" w:space="0" w:color="BBBBBB"/>
            </w:tcBorders>
            <w:shd w:val="clear" w:color="auto" w:fill="EAF0FF"/>
            <w:tcMar>
              <w:top w:w="80" w:type="dxa"/>
              <w:left w:w="130" w:type="dxa"/>
              <w:bottom w:w="80" w:type="dxa"/>
              <w:right w:w="130" w:type="dxa"/>
            </w:tcMar>
            <w:vAlign w:val="center"/>
          </w:tcPr>
          <w:p w14:paraId="2163665C" w14:textId="77777777" w:rsidR="00B732AE" w:rsidRPr="00FF3FE2" w:rsidRDefault="00000000">
            <w:pPr>
              <w:spacing w:before="40" w:after="40"/>
            </w:pPr>
            <w:r w:rsidRPr="00FF3FE2">
              <w:rPr>
                <w:b/>
                <w:bCs/>
                <w:color w:val="1A3A6B"/>
                <w:sz w:val="18"/>
                <w:szCs w:val="18"/>
              </w:rPr>
              <w:t>All four AMST components active</w:t>
            </w:r>
          </w:p>
        </w:tc>
      </w:tr>
    </w:tbl>
    <w:p w14:paraId="19EAB90D" w14:textId="77777777" w:rsidR="00B732AE" w:rsidRPr="00FF3FE2" w:rsidRDefault="00B732AE">
      <w:pPr>
        <w:spacing w:after="120"/>
      </w:pPr>
    </w:p>
    <w:p w14:paraId="5CC9E72F" w14:textId="77777777" w:rsidR="00B732AE" w:rsidRPr="00FF3FE2" w:rsidRDefault="00B732AE">
      <w:pPr>
        <w:spacing w:after="60"/>
      </w:pPr>
    </w:p>
    <w:p w14:paraId="48B6F082" w14:textId="15FFFAD5" w:rsidR="00B732AE" w:rsidRPr="00FF3FE2" w:rsidRDefault="00000000">
      <w:pPr>
        <w:pBdr>
          <w:top w:val="dashed" w:sz="6" w:space="0" w:color="2C5FA8"/>
          <w:left w:val="dashed" w:sz="6" w:space="0" w:color="2C5FA8"/>
          <w:bottom w:val="dashed" w:sz="6" w:space="0" w:color="2C5FA8"/>
          <w:right w:val="dashed" w:sz="6" w:space="0" w:color="2C5FA8"/>
        </w:pBdr>
        <w:spacing w:before="220" w:after="80"/>
        <w:jc w:val="center"/>
      </w:pPr>
      <w:r w:rsidRPr="00FF3FE2">
        <w:rPr>
          <w:b/>
          <w:bCs/>
          <w:color w:val="1A3A6B"/>
          <w:sz w:val="21"/>
          <w:szCs w:val="21"/>
        </w:rPr>
        <w:t xml:space="preserve">[ FIGURE 7 — </w:t>
      </w:r>
      <w:r w:rsidRPr="00FF3FE2">
        <w:rPr>
          <w:b/>
          <w:bCs/>
          <w:i/>
          <w:iCs/>
          <w:color w:val="1A3A6B"/>
          <w:sz w:val="21"/>
          <w:szCs w:val="21"/>
        </w:rPr>
        <w:t>Recognition Accuracy — Grouped Bar Chart, All 6 Descriptors × 3 Classifiers with ±1 SD Error Bars</w:t>
      </w:r>
      <w:r w:rsidRPr="00FF3FE2">
        <w:rPr>
          <w:color w:val="777777"/>
          <w:sz w:val="20"/>
          <w:szCs w:val="20"/>
        </w:rPr>
        <w:t xml:space="preserve"> — Paste exported Colab figure here]</w:t>
      </w:r>
    </w:p>
    <w:p w14:paraId="2D357D6D" w14:textId="77777777" w:rsidR="00B732AE" w:rsidRPr="00FF3FE2" w:rsidRDefault="00000000">
      <w:pPr>
        <w:pBdr>
          <w:left w:val="single" w:sz="10" w:space="6" w:color="1A3A6B"/>
        </w:pBdr>
        <w:spacing w:before="60" w:after="220"/>
        <w:ind w:left="240" w:right="240"/>
        <w:jc w:val="both"/>
      </w:pPr>
      <w:r w:rsidRPr="00FF3FE2">
        <w:rPr>
          <w:b/>
          <w:bCs/>
          <w:color w:val="222222"/>
          <w:sz w:val="20"/>
          <w:szCs w:val="20"/>
        </w:rPr>
        <w:t xml:space="preserve">Figure 7: </w:t>
      </w:r>
      <w:r w:rsidRPr="00FF3FE2">
        <w:rPr>
          <w:i/>
          <w:iCs/>
          <w:color w:val="333333"/>
          <w:sz w:val="20"/>
          <w:szCs w:val="20"/>
        </w:rPr>
        <w:t>Shape recognition accuracy (5-fold CV, KIMIA-216, three classifiers). Error bars: ±1 SD across folds. AMST (darkest bar, gold border) achieves the highest accuracy for every classifier. The consistent gap over F+W Hybrid confirms that phase-coherent coupling, topological augmentation, and Riemannian embedding each contribute recognition improvements beyond simple spectral concatenation. Source: Google Colab notebook, Figure 7.</w:t>
      </w:r>
    </w:p>
    <w:p w14:paraId="78197C09" w14:textId="18466D09" w:rsidR="00B732AE" w:rsidRPr="00FF3FE2" w:rsidRDefault="00000000">
      <w:pPr>
        <w:pStyle w:val="Heading2"/>
        <w:rPr>
          <w:rFonts w:ascii="Times New Roman" w:hAnsi="Times New Roman" w:cs="Times New Roman"/>
        </w:rPr>
      </w:pPr>
      <w:r w:rsidRPr="00FF3FE2">
        <w:rPr>
          <w:rFonts w:ascii="Times New Roman" w:hAnsi="Times New Roman" w:cs="Times New Roman"/>
        </w:rPr>
        <w:t>10.2 Confusion Matrix Analysis (AMST + SVM-RBF)</w:t>
      </w:r>
    </w:p>
    <w:p w14:paraId="04B86361" w14:textId="1C996B92" w:rsidR="00B732AE" w:rsidRPr="00FF3FE2" w:rsidRDefault="00000000">
      <w:pPr>
        <w:spacing w:before="80" w:after="80" w:line="290" w:lineRule="auto"/>
        <w:ind w:firstLine="720"/>
        <w:jc w:val="both"/>
      </w:pPr>
      <w:r w:rsidRPr="00FF3FE2">
        <w:rPr>
          <w:color w:val="000000"/>
        </w:rPr>
        <w:t xml:space="preserve">Figure 8 presents the 18×18 confusion matrix for AMST with SVM-RBF aggregated across all five folds. The matrix is strongly diagonal (95.83% trace mass). The two most frequent off-diagonal confusions are </w:t>
      </w:r>
      <w:proofErr w:type="spellStart"/>
      <w:r w:rsidRPr="00FF3FE2">
        <w:rPr>
          <w:color w:val="000000"/>
        </w:rPr>
        <w:t>camel→elephant</w:t>
      </w:r>
      <w:proofErr w:type="spellEnd"/>
      <w:r w:rsidRPr="00FF3FE2">
        <w:rPr>
          <w:color w:val="000000"/>
        </w:rPr>
        <w:t xml:space="preserve"> (3 instances across all folds) and </w:t>
      </w:r>
      <w:proofErr w:type="spellStart"/>
      <w:r w:rsidRPr="00FF3FE2">
        <w:rPr>
          <w:color w:val="000000"/>
        </w:rPr>
        <w:t>classic→car</w:t>
      </w:r>
      <w:proofErr w:type="spellEnd"/>
      <w:r w:rsidRPr="00FF3FE2">
        <w:rPr>
          <w:color w:val="000000"/>
        </w:rPr>
        <w:t xml:space="preserve"> (2 instances), corresponding to shape pairs with genuinely similar global geometric profiles. Crucially, the five topologically distinctive classes octopus, star, fork, guitar, and bone show zero or near-zero off-diagonal confusion, confirming that H₁ persistence features provide decisive disambiguation for shapes with topological complexity. The improvement over baseline confusion matrices is most pronounced for star and octopus, where Fourier-only achieves 75% and 67% per-class accuracy respectively versus AMST’s 100% for both.</w:t>
      </w:r>
    </w:p>
    <w:p w14:paraId="30C92854" w14:textId="77777777" w:rsidR="00B732AE" w:rsidRPr="00FF3FE2" w:rsidRDefault="00B732AE">
      <w:pPr>
        <w:spacing w:after="60"/>
      </w:pPr>
    </w:p>
    <w:p w14:paraId="301CD8D0" w14:textId="56026930" w:rsidR="00B732AE" w:rsidRPr="00FF3FE2" w:rsidRDefault="00000000">
      <w:pPr>
        <w:pBdr>
          <w:top w:val="dashed" w:sz="6" w:space="0" w:color="2C5FA8"/>
          <w:left w:val="dashed" w:sz="6" w:space="0" w:color="2C5FA8"/>
          <w:bottom w:val="dashed" w:sz="6" w:space="0" w:color="2C5FA8"/>
          <w:right w:val="dashed" w:sz="6" w:space="0" w:color="2C5FA8"/>
        </w:pBdr>
        <w:spacing w:before="220" w:after="80"/>
        <w:jc w:val="center"/>
      </w:pPr>
      <w:r w:rsidRPr="00FF3FE2">
        <w:rPr>
          <w:b/>
          <w:bCs/>
          <w:color w:val="1A3A6B"/>
          <w:sz w:val="21"/>
          <w:szCs w:val="21"/>
        </w:rPr>
        <w:t xml:space="preserve">[ FIGURE 8 — </w:t>
      </w:r>
      <w:r w:rsidRPr="00FF3FE2">
        <w:rPr>
          <w:b/>
          <w:bCs/>
          <w:i/>
          <w:iCs/>
          <w:color w:val="1A3A6B"/>
          <w:sz w:val="21"/>
          <w:szCs w:val="21"/>
        </w:rPr>
        <w:t>18×18 Confusion Matrix — AMST + SVM-RBF (5-Fold CV Aggregated, KIMIA-216)</w:t>
      </w:r>
      <w:r w:rsidRPr="00FF3FE2">
        <w:rPr>
          <w:color w:val="777777"/>
          <w:sz w:val="20"/>
          <w:szCs w:val="20"/>
        </w:rPr>
        <w:t xml:space="preserve">  —  Paste exported Colab figure here</w:t>
      </w:r>
      <w:r w:rsidR="00F70AF1">
        <w:rPr>
          <w:color w:val="777777"/>
          <w:sz w:val="20"/>
          <w:szCs w:val="20"/>
        </w:rPr>
        <w:t>]</w:t>
      </w:r>
    </w:p>
    <w:p w14:paraId="5DB6632D" w14:textId="77777777" w:rsidR="00B732AE" w:rsidRPr="00FF3FE2" w:rsidRDefault="00000000">
      <w:pPr>
        <w:pBdr>
          <w:left w:val="single" w:sz="10" w:space="6" w:color="1A3A6B"/>
        </w:pBdr>
        <w:spacing w:before="60" w:after="220"/>
        <w:ind w:left="240" w:right="240"/>
        <w:jc w:val="both"/>
      </w:pPr>
      <w:r w:rsidRPr="00FF3FE2">
        <w:rPr>
          <w:b/>
          <w:bCs/>
          <w:color w:val="222222"/>
          <w:sz w:val="20"/>
          <w:szCs w:val="20"/>
        </w:rPr>
        <w:t xml:space="preserve">Figure 8: </w:t>
      </w:r>
      <w:r w:rsidRPr="00FF3FE2">
        <w:rPr>
          <w:i/>
          <w:iCs/>
          <w:color w:val="333333"/>
          <w:sz w:val="20"/>
          <w:szCs w:val="20"/>
        </w:rPr>
        <w:t xml:space="preserve">Confusion matrix for AMST + SVM-RBF (5-fold CV aggregated). Rows: true class; columns: predicted class. Overall accuracy: 95.83%. Strong diagonal dominance. Primary confusions: </w:t>
      </w:r>
      <w:proofErr w:type="spellStart"/>
      <w:r w:rsidRPr="00FF3FE2">
        <w:rPr>
          <w:i/>
          <w:iCs/>
          <w:color w:val="333333"/>
          <w:sz w:val="20"/>
          <w:szCs w:val="20"/>
        </w:rPr>
        <w:t>camel↔elephant</w:t>
      </w:r>
      <w:proofErr w:type="spellEnd"/>
      <w:r w:rsidRPr="00FF3FE2">
        <w:rPr>
          <w:i/>
          <w:iCs/>
          <w:color w:val="333333"/>
          <w:sz w:val="20"/>
          <w:szCs w:val="20"/>
        </w:rPr>
        <w:t xml:space="preserve">, </w:t>
      </w:r>
      <w:proofErr w:type="spellStart"/>
      <w:r w:rsidRPr="00FF3FE2">
        <w:rPr>
          <w:i/>
          <w:iCs/>
          <w:color w:val="333333"/>
          <w:sz w:val="20"/>
          <w:szCs w:val="20"/>
        </w:rPr>
        <w:t>classic↔car</w:t>
      </w:r>
      <w:proofErr w:type="spellEnd"/>
      <w:r w:rsidRPr="00FF3FE2">
        <w:rPr>
          <w:i/>
          <w:iCs/>
          <w:color w:val="333333"/>
          <w:sz w:val="20"/>
          <w:szCs w:val="20"/>
        </w:rPr>
        <w:t xml:space="preserve"> (genuine geometric similarity). Topologically distinctive classes (octopus, star, fork) achieve perfect classification, confirming the decisive contribution of H₁ persistent homology features. Source: Google Colab notebook, Figure 8.</w:t>
      </w:r>
    </w:p>
    <w:p w14:paraId="3907975B" w14:textId="40ECF5B4" w:rsidR="00B732AE" w:rsidRPr="00FF3FE2" w:rsidRDefault="00000000">
      <w:pPr>
        <w:pStyle w:val="Heading2"/>
        <w:rPr>
          <w:rFonts w:ascii="Times New Roman" w:hAnsi="Times New Roman" w:cs="Times New Roman"/>
        </w:rPr>
      </w:pPr>
      <w:r w:rsidRPr="00FF3FE2">
        <w:rPr>
          <w:rFonts w:ascii="Times New Roman" w:hAnsi="Times New Roman" w:cs="Times New Roman"/>
        </w:rPr>
        <w:lastRenderedPageBreak/>
        <w:t>10.3 Retrieval Precision-Recall Analysis</w:t>
      </w:r>
    </w:p>
    <w:p w14:paraId="73464803" w14:textId="12A4375F" w:rsidR="00B732AE" w:rsidRPr="00FF3FE2" w:rsidRDefault="00000000">
      <w:pPr>
        <w:spacing w:before="80" w:after="80" w:line="290" w:lineRule="auto"/>
        <w:ind w:firstLine="720"/>
        <w:jc w:val="both"/>
      </w:pPr>
      <w:r w:rsidRPr="00FF3FE2">
        <w:rPr>
          <w:color w:val="000000"/>
        </w:rPr>
        <w:t>Figure 9 shows mean precision and recall at rank k (k = 1,...,40) over all 216 leave-one-out queries. AMST achieves MAP@10 = 91.27% and MAP@40 = 89.41%, outperforming all baselines at every rank. The precision advantage is most pronounced at low ranks (k ≤ 5), where AMST maintains precision above 93.5% the region most relevant for practical retrieval. This high-rank precision directly reflects the topological augmentation’s contribution: shapes from the same class that are globally similar but locally distinct remain well-separated from confusable inter-class shapes because their persistence structures differ qualitatively.</w:t>
      </w:r>
    </w:p>
    <w:p w14:paraId="6A457FA4" w14:textId="77777777" w:rsidR="00B732AE" w:rsidRPr="00FF3FE2" w:rsidRDefault="00B732AE">
      <w:pPr>
        <w:spacing w:after="60"/>
      </w:pPr>
    </w:p>
    <w:p w14:paraId="073EADCB" w14:textId="5B58ACD9" w:rsidR="00B732AE" w:rsidRPr="00FF3FE2" w:rsidRDefault="00000000">
      <w:pPr>
        <w:pBdr>
          <w:top w:val="dashed" w:sz="6" w:space="0" w:color="2C5FA8"/>
          <w:left w:val="dashed" w:sz="6" w:space="0" w:color="2C5FA8"/>
          <w:bottom w:val="dashed" w:sz="6" w:space="0" w:color="2C5FA8"/>
          <w:right w:val="dashed" w:sz="6" w:space="0" w:color="2C5FA8"/>
        </w:pBdr>
        <w:spacing w:before="220" w:after="80"/>
        <w:jc w:val="center"/>
      </w:pPr>
      <w:r w:rsidRPr="00FF3FE2">
        <w:rPr>
          <w:b/>
          <w:bCs/>
          <w:color w:val="1A3A6B"/>
          <w:sz w:val="21"/>
          <w:szCs w:val="21"/>
        </w:rPr>
        <w:t xml:space="preserve">[ FIGURE 9 — </w:t>
      </w:r>
      <w:r w:rsidRPr="00FF3FE2">
        <w:rPr>
          <w:b/>
          <w:bCs/>
          <w:i/>
          <w:iCs/>
          <w:color w:val="1A3A6B"/>
          <w:sz w:val="21"/>
          <w:szCs w:val="21"/>
        </w:rPr>
        <w:t>Retrieval Precision-Recall Curves — Mean Precision (Left) and Recall (Right) at Rank k for All 6 Descriptors</w:t>
      </w:r>
      <w:r w:rsidRPr="00FF3FE2">
        <w:rPr>
          <w:color w:val="777777"/>
          <w:sz w:val="20"/>
          <w:szCs w:val="20"/>
        </w:rPr>
        <w:t xml:space="preserve"> — Paste exported Colab figure here]</w:t>
      </w:r>
    </w:p>
    <w:p w14:paraId="0A9DF7DA" w14:textId="77777777" w:rsidR="00B732AE" w:rsidRPr="00FF3FE2" w:rsidRDefault="00000000">
      <w:pPr>
        <w:pBdr>
          <w:left w:val="single" w:sz="10" w:space="6" w:color="1A3A6B"/>
        </w:pBdr>
        <w:spacing w:before="60" w:after="220"/>
        <w:ind w:left="240" w:right="240"/>
        <w:jc w:val="both"/>
      </w:pPr>
      <w:r w:rsidRPr="00FF3FE2">
        <w:rPr>
          <w:b/>
          <w:bCs/>
          <w:color w:val="222222"/>
          <w:sz w:val="20"/>
          <w:szCs w:val="20"/>
        </w:rPr>
        <w:t xml:space="preserve">Figure 9: </w:t>
      </w:r>
      <w:r w:rsidRPr="00FF3FE2">
        <w:rPr>
          <w:i/>
          <w:iCs/>
          <w:color w:val="333333"/>
          <w:sz w:val="20"/>
          <w:szCs w:val="20"/>
        </w:rPr>
        <w:t>Shape retrieval evaluation on KIMIA-216 (leave-one-out, 216 queries). Left: mean precision at rank k. Right: mean recall at rank k. k = 1,...,40. AMST (dark solid line, diamond markers) dominates all baselines at every rank. The gap between AMST and F+W Hybrid widens at higher ranks (k &gt; 20), confirming compounding benefits from topological and Riemannian components. MAP@10 (AMST): 91.27%. Source: Google Colab notebook, Figure 9.</w:t>
      </w:r>
    </w:p>
    <w:p w14:paraId="693A1506" w14:textId="73EBE10A" w:rsidR="00B732AE" w:rsidRPr="00FF3FE2" w:rsidRDefault="00000000">
      <w:pPr>
        <w:pStyle w:val="Heading2"/>
        <w:rPr>
          <w:rFonts w:ascii="Times New Roman" w:hAnsi="Times New Roman" w:cs="Times New Roman"/>
        </w:rPr>
      </w:pPr>
      <w:r w:rsidRPr="00FF3FE2">
        <w:rPr>
          <w:rFonts w:ascii="Times New Roman" w:hAnsi="Times New Roman" w:cs="Times New Roman"/>
        </w:rPr>
        <w:t>10.4 PCA Descriptor Space Visualisation</w:t>
      </w:r>
    </w:p>
    <w:p w14:paraId="7445752C" w14:textId="160AF561" w:rsidR="00B732AE" w:rsidRPr="00FF3FE2" w:rsidRDefault="00000000">
      <w:pPr>
        <w:spacing w:before="80" w:after="80" w:line="290" w:lineRule="auto"/>
        <w:ind w:firstLine="720"/>
        <w:jc w:val="both"/>
      </w:pPr>
      <w:r w:rsidRPr="00FF3FE2">
        <w:rPr>
          <w:color w:val="000000"/>
        </w:rPr>
        <w:t>Figure 10 shows PCA 2D embeddings of all six descriptor spaces. The AMST embedding produces the clearest class cluster separation: 16 of 18 classes form visually separable regions in the two principal components, compared to 11/18 for F+W Hybrid, 9/18 for Fourier-only, and 7/18 for Shape Context. The two AMST classes with partial overlap camel–elephant and classic–car correspond to genuine shape ambiguity at 128×128 binary resolution rather than descriptor failure. The proportion of variance explained by PC1+PC2 is highest for AMST (consistently &gt;35%), reflecting the improved linear separability of the AMST descriptor space.</w:t>
      </w:r>
    </w:p>
    <w:p w14:paraId="27AD0BB4" w14:textId="77777777" w:rsidR="00B732AE" w:rsidRPr="00FF3FE2" w:rsidRDefault="00B732AE">
      <w:pPr>
        <w:spacing w:after="60"/>
      </w:pPr>
    </w:p>
    <w:p w14:paraId="34A6AF77" w14:textId="11267EA8" w:rsidR="00B732AE" w:rsidRPr="00FF3FE2" w:rsidRDefault="00000000">
      <w:pPr>
        <w:pBdr>
          <w:top w:val="dashed" w:sz="6" w:space="0" w:color="2C5FA8"/>
          <w:left w:val="dashed" w:sz="6" w:space="0" w:color="2C5FA8"/>
          <w:bottom w:val="dashed" w:sz="6" w:space="0" w:color="2C5FA8"/>
          <w:right w:val="dashed" w:sz="6" w:space="0" w:color="2C5FA8"/>
        </w:pBdr>
        <w:spacing w:before="220" w:after="80"/>
        <w:jc w:val="center"/>
      </w:pPr>
      <w:r w:rsidRPr="00FF3FE2">
        <w:rPr>
          <w:b/>
          <w:bCs/>
          <w:color w:val="1A3A6B"/>
          <w:sz w:val="21"/>
          <w:szCs w:val="21"/>
        </w:rPr>
        <w:t xml:space="preserve">[ FIGURE 10 — </w:t>
      </w:r>
      <w:r w:rsidRPr="00FF3FE2">
        <w:rPr>
          <w:b/>
          <w:bCs/>
          <w:i/>
          <w:iCs/>
          <w:color w:val="1A3A6B"/>
          <w:sz w:val="21"/>
          <w:szCs w:val="21"/>
        </w:rPr>
        <w:t xml:space="preserve">PCA 2D Descriptor Space Embedding — 2×3 Grid, All 6 Descriptors, 18 Classes </w:t>
      </w:r>
      <w:r w:rsidR="00F70AF1" w:rsidRPr="00FF3FE2">
        <w:rPr>
          <w:b/>
          <w:bCs/>
          <w:i/>
          <w:iCs/>
          <w:color w:val="1A3A6B"/>
          <w:sz w:val="21"/>
          <w:szCs w:val="21"/>
        </w:rPr>
        <w:t>Color</w:t>
      </w:r>
      <w:r w:rsidRPr="00FF3FE2">
        <w:rPr>
          <w:b/>
          <w:bCs/>
          <w:i/>
          <w:iCs/>
          <w:color w:val="1A3A6B"/>
          <w:sz w:val="21"/>
          <w:szCs w:val="21"/>
        </w:rPr>
        <w:t>-Coded</w:t>
      </w:r>
      <w:r w:rsidRPr="00FF3FE2">
        <w:rPr>
          <w:color w:val="777777"/>
          <w:sz w:val="20"/>
          <w:szCs w:val="20"/>
        </w:rPr>
        <w:t xml:space="preserve"> — Paste exported Colab figure here]</w:t>
      </w:r>
    </w:p>
    <w:p w14:paraId="79A62F1C" w14:textId="2383C362" w:rsidR="00B732AE" w:rsidRPr="00FF3FE2" w:rsidRDefault="00000000">
      <w:pPr>
        <w:pBdr>
          <w:left w:val="single" w:sz="10" w:space="6" w:color="1A3A6B"/>
        </w:pBdr>
        <w:spacing w:before="60" w:after="220"/>
        <w:ind w:left="240" w:right="240"/>
        <w:jc w:val="both"/>
      </w:pPr>
      <w:r w:rsidRPr="00FF3FE2">
        <w:rPr>
          <w:b/>
          <w:bCs/>
          <w:color w:val="222222"/>
          <w:sz w:val="20"/>
          <w:szCs w:val="20"/>
        </w:rPr>
        <w:t xml:space="preserve">Figure 10: </w:t>
      </w:r>
      <w:r w:rsidRPr="00FF3FE2">
        <w:rPr>
          <w:i/>
          <w:iCs/>
          <w:color w:val="333333"/>
          <w:sz w:val="20"/>
          <w:szCs w:val="20"/>
        </w:rPr>
        <w:t xml:space="preserve">PCA 2D embedding of descriptor feature spaces for all six descriptors (2×3 grid). Each of the 216 KIMIA-216 images is one point; </w:t>
      </w:r>
      <w:r w:rsidR="00F70AF1" w:rsidRPr="00FF3FE2">
        <w:rPr>
          <w:i/>
          <w:iCs/>
          <w:color w:val="333333"/>
          <w:sz w:val="20"/>
          <w:szCs w:val="20"/>
        </w:rPr>
        <w:t>color</w:t>
      </w:r>
      <w:r w:rsidRPr="00FF3FE2">
        <w:rPr>
          <w:i/>
          <w:iCs/>
          <w:color w:val="333333"/>
          <w:sz w:val="20"/>
          <w:szCs w:val="20"/>
        </w:rPr>
        <w:t xml:space="preserve"> encodes class membership (18 </w:t>
      </w:r>
      <w:r w:rsidR="00F70AF1" w:rsidRPr="00FF3FE2">
        <w:rPr>
          <w:i/>
          <w:iCs/>
          <w:color w:val="333333"/>
          <w:sz w:val="20"/>
          <w:szCs w:val="20"/>
        </w:rPr>
        <w:t>colors</w:t>
      </w:r>
      <w:r w:rsidRPr="00FF3FE2">
        <w:rPr>
          <w:i/>
          <w:iCs/>
          <w:color w:val="333333"/>
          <w:sz w:val="20"/>
          <w:szCs w:val="20"/>
        </w:rPr>
        <w:t>). AMST panel (</w:t>
      </w:r>
      <w:r w:rsidRPr="00FF3FE2">
        <w:rPr>
          <w:rFonts w:ascii="Segoe UI Symbol" w:hAnsi="Segoe UI Symbol" w:cs="Segoe UI Symbol"/>
          <w:i/>
          <w:iCs/>
          <w:color w:val="333333"/>
          <w:sz w:val="20"/>
          <w:szCs w:val="20"/>
        </w:rPr>
        <w:t>★</w:t>
      </w:r>
      <w:r w:rsidRPr="00FF3FE2">
        <w:rPr>
          <w:i/>
          <w:iCs/>
          <w:color w:val="333333"/>
          <w:sz w:val="20"/>
          <w:szCs w:val="20"/>
        </w:rPr>
        <w:t xml:space="preserve"> PROPOSED, gold-bordered) produces the most separated clusters with the highest PC1+PC2 variance ratio. Progressive improvement from Fourier-only → F+W Hybrid → AMST corresponds to cumulative gains from phase-coherent coupling, topological augmentation, and Riemannian embedding. Source: Google Colab notebook, Figure 10.</w:t>
      </w:r>
    </w:p>
    <w:p w14:paraId="776A3EED" w14:textId="77777777" w:rsidR="00B732AE" w:rsidRPr="00FF3FE2" w:rsidRDefault="00000000">
      <w:pPr>
        <w:pStyle w:val="Heading1"/>
        <w:pBdr>
          <w:bottom w:val="single" w:sz="8" w:space="4" w:color="1A3A6B"/>
        </w:pBdr>
        <w:rPr>
          <w:rFonts w:ascii="Times New Roman" w:hAnsi="Times New Roman" w:cs="Times New Roman"/>
        </w:rPr>
      </w:pPr>
      <w:r w:rsidRPr="00FF3FE2">
        <w:rPr>
          <w:rFonts w:ascii="Times New Roman" w:hAnsi="Times New Roman" w:cs="Times New Roman"/>
        </w:rPr>
        <w:t>11.  ABLATION STUDY</w:t>
      </w:r>
    </w:p>
    <w:p w14:paraId="41FD10BE" w14:textId="77777777" w:rsidR="00B732AE" w:rsidRPr="00FF3FE2" w:rsidRDefault="00000000">
      <w:pPr>
        <w:spacing w:before="80" w:after="80" w:line="290" w:lineRule="auto"/>
        <w:ind w:firstLine="720"/>
        <w:jc w:val="both"/>
      </w:pPr>
      <w:r w:rsidRPr="00FF3FE2">
        <w:rPr>
          <w:color w:val="000000"/>
        </w:rPr>
        <w:t>Table 3 presents a component-wise ablation confirming the individual contribution of each AMST component. Six configurations are evaluated: baseline Fourier-only → + wavelet concatenation → + APCFW (phase-coherent, C1) → + Topological Persistence (C2) → + SPD Manifold Embedding (C3) → Full AMST (C1+C2+C3+C4). The 1-NN classifier is used throughout to isolate descriptor space quality from classifier fitting. All values are mean ± standard deviation across five folds; starred gains are statistically significant at p &lt; 0.05 (paired t-test vs. preceding row).</w:t>
      </w:r>
    </w:p>
    <w:p w14:paraId="24783299" w14:textId="77777777" w:rsidR="00B732AE" w:rsidRPr="00FF3FE2" w:rsidRDefault="00000000">
      <w:pPr>
        <w:spacing w:before="160" w:after="80"/>
        <w:jc w:val="center"/>
      </w:pPr>
      <w:r w:rsidRPr="00FF3FE2">
        <w:rPr>
          <w:b/>
          <w:bCs/>
          <w:color w:val="000000"/>
          <w:sz w:val="20"/>
          <w:szCs w:val="20"/>
        </w:rPr>
        <w:t>Table 3. Component-wise ablation study. 1-NN classifier, 5-fold CV, KIMIA-216. * p &lt; 0.05 vs. preceding row (paired t-test).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1"/>
        <w:gridCol w:w="1725"/>
        <w:gridCol w:w="1306"/>
        <w:gridCol w:w="1306"/>
        <w:gridCol w:w="1183"/>
        <w:gridCol w:w="1479"/>
      </w:tblGrid>
      <w:tr w:rsidR="00B732AE" w:rsidRPr="00FF3FE2" w14:paraId="5781B6CA" w14:textId="77777777">
        <w:tblPrEx>
          <w:tblCellMar>
            <w:top w:w="0" w:type="dxa"/>
            <w:bottom w:w="0" w:type="dxa"/>
          </w:tblCellMar>
        </w:tblPrEx>
        <w:tc>
          <w:tcPr>
            <w:tcW w:w="2500" w:type="dxa"/>
            <w:tcBorders>
              <w:top w:val="single" w:sz="3" w:space="0" w:color="BBBBBB"/>
              <w:left w:val="single" w:sz="3" w:space="0" w:color="BBBBBB"/>
              <w:bottom w:val="single" w:sz="3" w:space="0" w:color="BBBBBB"/>
              <w:right w:val="single" w:sz="3" w:space="0" w:color="BBBBBB"/>
            </w:tcBorders>
            <w:shd w:val="clear" w:color="auto" w:fill="1A3A6B"/>
            <w:tcMar>
              <w:top w:w="80" w:type="dxa"/>
              <w:left w:w="130" w:type="dxa"/>
              <w:bottom w:w="80" w:type="dxa"/>
              <w:right w:w="130" w:type="dxa"/>
            </w:tcMar>
            <w:vAlign w:val="center"/>
          </w:tcPr>
          <w:p w14:paraId="3239EECD" w14:textId="77777777" w:rsidR="00B732AE" w:rsidRPr="00FF3FE2" w:rsidRDefault="00000000">
            <w:pPr>
              <w:spacing w:before="40" w:after="40"/>
              <w:jc w:val="center"/>
            </w:pPr>
            <w:r w:rsidRPr="00FF3FE2">
              <w:rPr>
                <w:b/>
                <w:bCs/>
                <w:color w:val="FFFFFF"/>
                <w:sz w:val="17"/>
                <w:szCs w:val="17"/>
              </w:rPr>
              <w:t>Configuration</w:t>
            </w:r>
          </w:p>
        </w:tc>
        <w:tc>
          <w:tcPr>
            <w:tcW w:w="1400" w:type="dxa"/>
            <w:tcBorders>
              <w:top w:val="single" w:sz="3" w:space="0" w:color="BBBBBB"/>
              <w:left w:val="single" w:sz="3" w:space="0" w:color="BBBBBB"/>
              <w:bottom w:val="single" w:sz="3" w:space="0" w:color="BBBBBB"/>
              <w:right w:val="single" w:sz="3" w:space="0" w:color="BBBBBB"/>
            </w:tcBorders>
            <w:shd w:val="clear" w:color="auto" w:fill="1A3A6B"/>
            <w:tcMar>
              <w:top w:w="80" w:type="dxa"/>
              <w:left w:w="130" w:type="dxa"/>
              <w:bottom w:w="80" w:type="dxa"/>
              <w:right w:w="130" w:type="dxa"/>
            </w:tcMar>
            <w:vAlign w:val="center"/>
          </w:tcPr>
          <w:p w14:paraId="738AF26E" w14:textId="77777777" w:rsidR="00B732AE" w:rsidRPr="00FF3FE2" w:rsidRDefault="00000000">
            <w:pPr>
              <w:spacing w:before="40" w:after="40"/>
              <w:jc w:val="center"/>
            </w:pPr>
            <w:r w:rsidRPr="00FF3FE2">
              <w:rPr>
                <w:b/>
                <w:bCs/>
                <w:color w:val="FFFFFF"/>
                <w:sz w:val="17"/>
                <w:szCs w:val="17"/>
              </w:rPr>
              <w:t>Accuracy (%)</w:t>
            </w:r>
          </w:p>
        </w:tc>
        <w:tc>
          <w:tcPr>
            <w:tcW w:w="1060" w:type="dxa"/>
            <w:tcBorders>
              <w:top w:val="single" w:sz="3" w:space="0" w:color="BBBBBB"/>
              <w:left w:val="single" w:sz="3" w:space="0" w:color="BBBBBB"/>
              <w:bottom w:val="single" w:sz="3" w:space="0" w:color="BBBBBB"/>
              <w:right w:val="single" w:sz="3" w:space="0" w:color="BBBBBB"/>
            </w:tcBorders>
            <w:shd w:val="clear" w:color="auto" w:fill="1A3A6B"/>
            <w:tcMar>
              <w:top w:w="80" w:type="dxa"/>
              <w:left w:w="130" w:type="dxa"/>
              <w:bottom w:w="80" w:type="dxa"/>
              <w:right w:w="130" w:type="dxa"/>
            </w:tcMar>
            <w:vAlign w:val="center"/>
          </w:tcPr>
          <w:p w14:paraId="34835C80" w14:textId="77777777" w:rsidR="00B732AE" w:rsidRPr="00FF3FE2" w:rsidRDefault="00000000">
            <w:pPr>
              <w:spacing w:before="40" w:after="40"/>
              <w:jc w:val="center"/>
            </w:pPr>
            <w:proofErr w:type="spellStart"/>
            <w:r w:rsidRPr="00FF3FE2">
              <w:rPr>
                <w:b/>
                <w:bCs/>
                <w:color w:val="FFFFFF"/>
                <w:sz w:val="17"/>
                <w:szCs w:val="17"/>
              </w:rPr>
              <w:t>ΔAcc</w:t>
            </w:r>
            <w:proofErr w:type="spellEnd"/>
            <w:r w:rsidRPr="00FF3FE2">
              <w:rPr>
                <w:b/>
                <w:bCs/>
                <w:color w:val="FFFFFF"/>
                <w:sz w:val="17"/>
                <w:szCs w:val="17"/>
              </w:rPr>
              <w:t xml:space="preserve"> (pp)</w:t>
            </w:r>
          </w:p>
        </w:tc>
        <w:tc>
          <w:tcPr>
            <w:tcW w:w="1060" w:type="dxa"/>
            <w:tcBorders>
              <w:top w:val="single" w:sz="3" w:space="0" w:color="BBBBBB"/>
              <w:left w:val="single" w:sz="3" w:space="0" w:color="BBBBBB"/>
              <w:bottom w:val="single" w:sz="3" w:space="0" w:color="BBBBBB"/>
              <w:right w:val="single" w:sz="3" w:space="0" w:color="BBBBBB"/>
            </w:tcBorders>
            <w:shd w:val="clear" w:color="auto" w:fill="1A3A6B"/>
            <w:tcMar>
              <w:top w:w="80" w:type="dxa"/>
              <w:left w:w="130" w:type="dxa"/>
              <w:bottom w:w="80" w:type="dxa"/>
              <w:right w:w="130" w:type="dxa"/>
            </w:tcMar>
            <w:vAlign w:val="center"/>
          </w:tcPr>
          <w:p w14:paraId="2E805BC4" w14:textId="77777777" w:rsidR="00B732AE" w:rsidRPr="00FF3FE2" w:rsidRDefault="00000000">
            <w:pPr>
              <w:spacing w:before="40" w:after="40"/>
              <w:jc w:val="center"/>
            </w:pPr>
            <w:proofErr w:type="spellStart"/>
            <w:r w:rsidRPr="00FF3FE2">
              <w:rPr>
                <w:b/>
                <w:bCs/>
                <w:color w:val="FFFFFF"/>
                <w:sz w:val="17"/>
                <w:szCs w:val="17"/>
              </w:rPr>
              <w:t>ΔDice</w:t>
            </w:r>
            <w:proofErr w:type="spellEnd"/>
          </w:p>
        </w:tc>
        <w:tc>
          <w:tcPr>
            <w:tcW w:w="960" w:type="dxa"/>
            <w:tcBorders>
              <w:top w:val="single" w:sz="3" w:space="0" w:color="BBBBBB"/>
              <w:left w:val="single" w:sz="3" w:space="0" w:color="BBBBBB"/>
              <w:bottom w:val="single" w:sz="3" w:space="0" w:color="BBBBBB"/>
              <w:right w:val="single" w:sz="3" w:space="0" w:color="BBBBBB"/>
            </w:tcBorders>
            <w:shd w:val="clear" w:color="auto" w:fill="1A3A6B"/>
            <w:tcMar>
              <w:top w:w="80" w:type="dxa"/>
              <w:left w:w="130" w:type="dxa"/>
              <w:bottom w:w="80" w:type="dxa"/>
              <w:right w:w="130" w:type="dxa"/>
            </w:tcMar>
            <w:vAlign w:val="center"/>
          </w:tcPr>
          <w:p w14:paraId="0D4D29B3" w14:textId="77777777" w:rsidR="00B732AE" w:rsidRPr="00FF3FE2" w:rsidRDefault="00000000">
            <w:pPr>
              <w:spacing w:before="40" w:after="40"/>
              <w:jc w:val="center"/>
            </w:pPr>
            <w:r w:rsidRPr="00FF3FE2">
              <w:rPr>
                <w:b/>
                <w:bCs/>
                <w:color w:val="FFFFFF"/>
                <w:sz w:val="17"/>
                <w:szCs w:val="17"/>
              </w:rPr>
              <w:t>p-value</w:t>
            </w:r>
          </w:p>
        </w:tc>
        <w:tc>
          <w:tcPr>
            <w:tcW w:w="1200" w:type="dxa"/>
            <w:tcBorders>
              <w:top w:val="single" w:sz="3" w:space="0" w:color="BBBBBB"/>
              <w:left w:val="single" w:sz="3" w:space="0" w:color="BBBBBB"/>
              <w:bottom w:val="single" w:sz="3" w:space="0" w:color="BBBBBB"/>
              <w:right w:val="single" w:sz="3" w:space="0" w:color="BBBBBB"/>
            </w:tcBorders>
            <w:shd w:val="clear" w:color="auto" w:fill="1A3A6B"/>
            <w:tcMar>
              <w:top w:w="80" w:type="dxa"/>
              <w:left w:w="130" w:type="dxa"/>
              <w:bottom w:w="80" w:type="dxa"/>
              <w:right w:w="130" w:type="dxa"/>
            </w:tcMar>
            <w:vAlign w:val="center"/>
          </w:tcPr>
          <w:p w14:paraId="6445740B" w14:textId="77777777" w:rsidR="00B732AE" w:rsidRPr="00FF3FE2" w:rsidRDefault="00000000">
            <w:pPr>
              <w:spacing w:before="40" w:after="40"/>
              <w:jc w:val="center"/>
            </w:pPr>
            <w:proofErr w:type="spellStart"/>
            <w:r w:rsidRPr="00FF3FE2">
              <w:rPr>
                <w:b/>
                <w:bCs/>
                <w:color w:val="FFFFFF"/>
                <w:sz w:val="17"/>
                <w:szCs w:val="17"/>
              </w:rPr>
              <w:t>Cumul</w:t>
            </w:r>
            <w:proofErr w:type="spellEnd"/>
            <w:r w:rsidRPr="00FF3FE2">
              <w:rPr>
                <w:b/>
                <w:bCs/>
                <w:color w:val="FFFFFF"/>
                <w:sz w:val="17"/>
                <w:szCs w:val="17"/>
              </w:rPr>
              <w:t xml:space="preserve">. </w:t>
            </w:r>
            <w:proofErr w:type="spellStart"/>
            <w:r w:rsidRPr="00FF3FE2">
              <w:rPr>
                <w:b/>
                <w:bCs/>
                <w:color w:val="FFFFFF"/>
                <w:sz w:val="17"/>
                <w:szCs w:val="17"/>
              </w:rPr>
              <w:t>ΔAcc</w:t>
            </w:r>
            <w:proofErr w:type="spellEnd"/>
          </w:p>
        </w:tc>
      </w:tr>
      <w:tr w:rsidR="00B732AE" w:rsidRPr="00FF3FE2" w14:paraId="689F8D81" w14:textId="77777777">
        <w:tblPrEx>
          <w:tblCellMar>
            <w:top w:w="0" w:type="dxa"/>
            <w:bottom w:w="0" w:type="dxa"/>
          </w:tblCellMar>
        </w:tblPrEx>
        <w:tc>
          <w:tcPr>
            <w:tcW w:w="2500" w:type="dxa"/>
            <w:tcBorders>
              <w:top w:val="single" w:sz="3" w:space="0" w:color="BBBBBB"/>
              <w:left w:val="single" w:sz="3" w:space="0" w:color="BBBBBB"/>
              <w:bottom w:val="single" w:sz="3" w:space="0" w:color="BBBBBB"/>
              <w:right w:val="single" w:sz="3" w:space="0" w:color="BBBBBB"/>
            </w:tcBorders>
            <w:shd w:val="clear" w:color="auto" w:fill="F5F5F5"/>
            <w:tcMar>
              <w:top w:w="80" w:type="dxa"/>
              <w:left w:w="130" w:type="dxa"/>
              <w:bottom w:w="80" w:type="dxa"/>
              <w:right w:w="130" w:type="dxa"/>
            </w:tcMar>
            <w:vAlign w:val="center"/>
          </w:tcPr>
          <w:p w14:paraId="264E59B2" w14:textId="77777777" w:rsidR="00B732AE" w:rsidRPr="00FF3FE2" w:rsidRDefault="00000000">
            <w:pPr>
              <w:spacing w:before="40" w:after="40"/>
            </w:pPr>
            <w:r w:rsidRPr="00FF3FE2">
              <w:rPr>
                <w:color w:val="111111"/>
                <w:sz w:val="17"/>
                <w:szCs w:val="17"/>
              </w:rPr>
              <w:t>Fourier-only baseline</w:t>
            </w:r>
          </w:p>
        </w:tc>
        <w:tc>
          <w:tcPr>
            <w:tcW w:w="1400" w:type="dxa"/>
            <w:tcBorders>
              <w:top w:val="single" w:sz="3" w:space="0" w:color="BBBBBB"/>
              <w:left w:val="single" w:sz="3" w:space="0" w:color="BBBBBB"/>
              <w:bottom w:val="single" w:sz="3" w:space="0" w:color="BBBBBB"/>
              <w:right w:val="single" w:sz="3" w:space="0" w:color="BBBBBB"/>
            </w:tcBorders>
            <w:shd w:val="clear" w:color="auto" w:fill="F5F5F5"/>
            <w:tcMar>
              <w:top w:w="80" w:type="dxa"/>
              <w:left w:w="130" w:type="dxa"/>
              <w:bottom w:w="80" w:type="dxa"/>
              <w:right w:w="130" w:type="dxa"/>
            </w:tcMar>
            <w:vAlign w:val="center"/>
          </w:tcPr>
          <w:p w14:paraId="26D3D43D" w14:textId="77777777" w:rsidR="00B732AE" w:rsidRPr="00FF3FE2" w:rsidRDefault="00000000">
            <w:pPr>
              <w:spacing w:before="40" w:after="40"/>
              <w:jc w:val="center"/>
            </w:pPr>
            <w:r w:rsidRPr="00FF3FE2">
              <w:rPr>
                <w:color w:val="111111"/>
                <w:sz w:val="17"/>
                <w:szCs w:val="17"/>
              </w:rPr>
              <w:t>82.41 ± 1.22</w:t>
            </w:r>
          </w:p>
        </w:tc>
        <w:tc>
          <w:tcPr>
            <w:tcW w:w="1060" w:type="dxa"/>
            <w:tcBorders>
              <w:top w:val="single" w:sz="3" w:space="0" w:color="BBBBBB"/>
              <w:left w:val="single" w:sz="3" w:space="0" w:color="BBBBBB"/>
              <w:bottom w:val="single" w:sz="3" w:space="0" w:color="BBBBBB"/>
              <w:right w:val="single" w:sz="3" w:space="0" w:color="BBBBBB"/>
            </w:tcBorders>
            <w:shd w:val="clear" w:color="auto" w:fill="F5F5F5"/>
            <w:tcMar>
              <w:top w:w="80" w:type="dxa"/>
              <w:left w:w="130" w:type="dxa"/>
              <w:bottom w:w="80" w:type="dxa"/>
              <w:right w:w="130" w:type="dxa"/>
            </w:tcMar>
            <w:vAlign w:val="center"/>
          </w:tcPr>
          <w:p w14:paraId="2781E215" w14:textId="77777777" w:rsidR="00B732AE" w:rsidRPr="00FF3FE2" w:rsidRDefault="00000000">
            <w:pPr>
              <w:spacing w:before="40" w:after="40"/>
              <w:jc w:val="center"/>
            </w:pPr>
            <w:r w:rsidRPr="00FF3FE2">
              <w:rPr>
                <w:color w:val="111111"/>
                <w:sz w:val="17"/>
                <w:szCs w:val="17"/>
              </w:rPr>
              <w:t>—</w:t>
            </w:r>
          </w:p>
        </w:tc>
        <w:tc>
          <w:tcPr>
            <w:tcW w:w="1060" w:type="dxa"/>
            <w:tcBorders>
              <w:top w:val="single" w:sz="3" w:space="0" w:color="BBBBBB"/>
              <w:left w:val="single" w:sz="3" w:space="0" w:color="BBBBBB"/>
              <w:bottom w:val="single" w:sz="3" w:space="0" w:color="BBBBBB"/>
              <w:right w:val="single" w:sz="3" w:space="0" w:color="BBBBBB"/>
            </w:tcBorders>
            <w:shd w:val="clear" w:color="auto" w:fill="F5F5F5"/>
            <w:tcMar>
              <w:top w:w="80" w:type="dxa"/>
              <w:left w:w="130" w:type="dxa"/>
              <w:bottom w:w="80" w:type="dxa"/>
              <w:right w:w="130" w:type="dxa"/>
            </w:tcMar>
            <w:vAlign w:val="center"/>
          </w:tcPr>
          <w:p w14:paraId="3CCB02C4" w14:textId="77777777" w:rsidR="00B732AE" w:rsidRPr="00FF3FE2" w:rsidRDefault="00000000">
            <w:pPr>
              <w:spacing w:before="40" w:after="40"/>
              <w:jc w:val="center"/>
            </w:pPr>
            <w:r w:rsidRPr="00FF3FE2">
              <w:rPr>
                <w:color w:val="111111"/>
                <w:sz w:val="17"/>
                <w:szCs w:val="17"/>
              </w:rPr>
              <w:t>—</w:t>
            </w:r>
          </w:p>
        </w:tc>
        <w:tc>
          <w:tcPr>
            <w:tcW w:w="960" w:type="dxa"/>
            <w:tcBorders>
              <w:top w:val="single" w:sz="3" w:space="0" w:color="BBBBBB"/>
              <w:left w:val="single" w:sz="3" w:space="0" w:color="BBBBBB"/>
              <w:bottom w:val="single" w:sz="3" w:space="0" w:color="BBBBBB"/>
              <w:right w:val="single" w:sz="3" w:space="0" w:color="BBBBBB"/>
            </w:tcBorders>
            <w:shd w:val="clear" w:color="auto" w:fill="F5F5F5"/>
            <w:tcMar>
              <w:top w:w="80" w:type="dxa"/>
              <w:left w:w="130" w:type="dxa"/>
              <w:bottom w:w="80" w:type="dxa"/>
              <w:right w:w="130" w:type="dxa"/>
            </w:tcMar>
            <w:vAlign w:val="center"/>
          </w:tcPr>
          <w:p w14:paraId="5335E973" w14:textId="77777777" w:rsidR="00B732AE" w:rsidRPr="00FF3FE2" w:rsidRDefault="00000000">
            <w:pPr>
              <w:spacing w:before="40" w:after="40"/>
              <w:jc w:val="center"/>
            </w:pPr>
            <w:r w:rsidRPr="00FF3FE2">
              <w:rPr>
                <w:color w:val="111111"/>
                <w:sz w:val="17"/>
                <w:szCs w:val="17"/>
              </w:rPr>
              <w:t>—</w:t>
            </w:r>
          </w:p>
        </w:tc>
        <w:tc>
          <w:tcPr>
            <w:tcW w:w="1200" w:type="dxa"/>
            <w:tcBorders>
              <w:top w:val="single" w:sz="3" w:space="0" w:color="BBBBBB"/>
              <w:left w:val="single" w:sz="3" w:space="0" w:color="BBBBBB"/>
              <w:bottom w:val="single" w:sz="3" w:space="0" w:color="BBBBBB"/>
              <w:right w:val="single" w:sz="3" w:space="0" w:color="BBBBBB"/>
            </w:tcBorders>
            <w:shd w:val="clear" w:color="auto" w:fill="F5F5F5"/>
            <w:tcMar>
              <w:top w:w="80" w:type="dxa"/>
              <w:left w:w="130" w:type="dxa"/>
              <w:bottom w:w="80" w:type="dxa"/>
              <w:right w:w="130" w:type="dxa"/>
            </w:tcMar>
            <w:vAlign w:val="center"/>
          </w:tcPr>
          <w:p w14:paraId="5649CF38" w14:textId="77777777" w:rsidR="00B732AE" w:rsidRPr="00FF3FE2" w:rsidRDefault="00000000">
            <w:pPr>
              <w:spacing w:before="40" w:after="40"/>
              <w:jc w:val="center"/>
            </w:pPr>
            <w:r w:rsidRPr="00FF3FE2">
              <w:rPr>
                <w:color w:val="111111"/>
                <w:sz w:val="17"/>
                <w:szCs w:val="17"/>
              </w:rPr>
              <w:t>—</w:t>
            </w:r>
          </w:p>
        </w:tc>
      </w:tr>
      <w:tr w:rsidR="00B732AE" w:rsidRPr="00FF3FE2" w14:paraId="16974C32" w14:textId="77777777">
        <w:tblPrEx>
          <w:tblCellMar>
            <w:top w:w="0" w:type="dxa"/>
            <w:bottom w:w="0" w:type="dxa"/>
          </w:tblCellMar>
        </w:tblPrEx>
        <w:tc>
          <w:tcPr>
            <w:tcW w:w="250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4C0478DC" w14:textId="77777777" w:rsidR="00B732AE" w:rsidRPr="00FF3FE2" w:rsidRDefault="00000000">
            <w:pPr>
              <w:spacing w:before="40" w:after="40"/>
            </w:pPr>
            <w:r w:rsidRPr="00FF3FE2">
              <w:rPr>
                <w:color w:val="111111"/>
                <w:sz w:val="17"/>
                <w:szCs w:val="17"/>
              </w:rPr>
              <w:lastRenderedPageBreak/>
              <w:t xml:space="preserve">+ Wavelet </w:t>
            </w:r>
            <w:proofErr w:type="spellStart"/>
            <w:r w:rsidRPr="00FF3FE2">
              <w:rPr>
                <w:color w:val="111111"/>
                <w:sz w:val="17"/>
                <w:szCs w:val="17"/>
              </w:rPr>
              <w:t>concat</w:t>
            </w:r>
            <w:proofErr w:type="spellEnd"/>
            <w:r w:rsidRPr="00FF3FE2">
              <w:rPr>
                <w:color w:val="111111"/>
                <w:sz w:val="17"/>
                <w:szCs w:val="17"/>
              </w:rPr>
              <w:t>. (independent)*</w:t>
            </w:r>
          </w:p>
        </w:tc>
        <w:tc>
          <w:tcPr>
            <w:tcW w:w="140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629D7872" w14:textId="77777777" w:rsidR="00B732AE" w:rsidRPr="00FF3FE2" w:rsidRDefault="00000000">
            <w:pPr>
              <w:spacing w:before="40" w:after="40"/>
              <w:jc w:val="center"/>
            </w:pPr>
            <w:r w:rsidRPr="00FF3FE2">
              <w:rPr>
                <w:color w:val="111111"/>
                <w:sz w:val="17"/>
                <w:szCs w:val="17"/>
              </w:rPr>
              <w:t>85.65 ± 1.08</w:t>
            </w:r>
          </w:p>
        </w:tc>
        <w:tc>
          <w:tcPr>
            <w:tcW w:w="106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4E22962A" w14:textId="77777777" w:rsidR="00B732AE" w:rsidRPr="00FF3FE2" w:rsidRDefault="00000000">
            <w:pPr>
              <w:spacing w:before="40" w:after="40"/>
              <w:jc w:val="center"/>
            </w:pPr>
            <w:r w:rsidRPr="00FF3FE2">
              <w:rPr>
                <w:color w:val="111111"/>
                <w:sz w:val="17"/>
                <w:szCs w:val="17"/>
              </w:rPr>
              <w:t>+3.24</w:t>
            </w:r>
          </w:p>
        </w:tc>
        <w:tc>
          <w:tcPr>
            <w:tcW w:w="106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1FE7A08D" w14:textId="77777777" w:rsidR="00B732AE" w:rsidRPr="00FF3FE2" w:rsidRDefault="00000000">
            <w:pPr>
              <w:spacing w:before="40" w:after="40"/>
              <w:jc w:val="center"/>
            </w:pPr>
            <w:r w:rsidRPr="00FF3FE2">
              <w:rPr>
                <w:color w:val="111111"/>
                <w:sz w:val="17"/>
                <w:szCs w:val="17"/>
              </w:rPr>
              <w:t>—</w:t>
            </w:r>
          </w:p>
        </w:tc>
        <w:tc>
          <w:tcPr>
            <w:tcW w:w="96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14070C27" w14:textId="77777777" w:rsidR="00B732AE" w:rsidRPr="00FF3FE2" w:rsidRDefault="00000000">
            <w:pPr>
              <w:spacing w:before="40" w:after="40"/>
              <w:jc w:val="center"/>
            </w:pPr>
            <w:r w:rsidRPr="00FF3FE2">
              <w:rPr>
                <w:color w:val="111111"/>
                <w:sz w:val="17"/>
                <w:szCs w:val="17"/>
              </w:rPr>
              <w:t>0.031</w:t>
            </w:r>
          </w:p>
        </w:tc>
        <w:tc>
          <w:tcPr>
            <w:tcW w:w="120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6D6A0038" w14:textId="77777777" w:rsidR="00B732AE" w:rsidRPr="00FF3FE2" w:rsidRDefault="00000000">
            <w:pPr>
              <w:spacing w:before="40" w:after="40"/>
              <w:jc w:val="center"/>
            </w:pPr>
            <w:r w:rsidRPr="00FF3FE2">
              <w:rPr>
                <w:color w:val="111111"/>
                <w:sz w:val="17"/>
                <w:szCs w:val="17"/>
              </w:rPr>
              <w:t>+3.24</w:t>
            </w:r>
          </w:p>
        </w:tc>
      </w:tr>
      <w:tr w:rsidR="00B732AE" w:rsidRPr="00FF3FE2" w14:paraId="49A59957" w14:textId="77777777">
        <w:tblPrEx>
          <w:tblCellMar>
            <w:top w:w="0" w:type="dxa"/>
            <w:bottom w:w="0" w:type="dxa"/>
          </w:tblCellMar>
        </w:tblPrEx>
        <w:tc>
          <w:tcPr>
            <w:tcW w:w="2500" w:type="dxa"/>
            <w:tcBorders>
              <w:top w:val="single" w:sz="3" w:space="0" w:color="BBBBBB"/>
              <w:left w:val="single" w:sz="3" w:space="0" w:color="BBBBBB"/>
              <w:bottom w:val="single" w:sz="3" w:space="0" w:color="BBBBBB"/>
              <w:right w:val="single" w:sz="3" w:space="0" w:color="BBBBBB"/>
            </w:tcBorders>
            <w:shd w:val="clear" w:color="auto" w:fill="F5F5F5"/>
            <w:tcMar>
              <w:top w:w="80" w:type="dxa"/>
              <w:left w:w="130" w:type="dxa"/>
              <w:bottom w:w="80" w:type="dxa"/>
              <w:right w:w="130" w:type="dxa"/>
            </w:tcMar>
            <w:vAlign w:val="center"/>
          </w:tcPr>
          <w:p w14:paraId="4552EAB6" w14:textId="77777777" w:rsidR="00B732AE" w:rsidRPr="00FF3FE2" w:rsidRDefault="00000000">
            <w:pPr>
              <w:spacing w:before="40" w:after="40"/>
            </w:pPr>
            <w:r w:rsidRPr="00FF3FE2">
              <w:rPr>
                <w:color w:val="111111"/>
                <w:sz w:val="17"/>
                <w:szCs w:val="17"/>
              </w:rPr>
              <w:t>+ C1: APCFW (phase-coherent)*</w:t>
            </w:r>
          </w:p>
        </w:tc>
        <w:tc>
          <w:tcPr>
            <w:tcW w:w="1400" w:type="dxa"/>
            <w:tcBorders>
              <w:top w:val="single" w:sz="3" w:space="0" w:color="BBBBBB"/>
              <w:left w:val="single" w:sz="3" w:space="0" w:color="BBBBBB"/>
              <w:bottom w:val="single" w:sz="3" w:space="0" w:color="BBBBBB"/>
              <w:right w:val="single" w:sz="3" w:space="0" w:color="BBBBBB"/>
            </w:tcBorders>
            <w:shd w:val="clear" w:color="auto" w:fill="F5F5F5"/>
            <w:tcMar>
              <w:top w:w="80" w:type="dxa"/>
              <w:left w:w="130" w:type="dxa"/>
              <w:bottom w:w="80" w:type="dxa"/>
              <w:right w:w="130" w:type="dxa"/>
            </w:tcMar>
            <w:vAlign w:val="center"/>
          </w:tcPr>
          <w:p w14:paraId="19032C13" w14:textId="77777777" w:rsidR="00B732AE" w:rsidRPr="00FF3FE2" w:rsidRDefault="00000000">
            <w:pPr>
              <w:spacing w:before="40" w:after="40"/>
              <w:jc w:val="center"/>
            </w:pPr>
            <w:r w:rsidRPr="00FF3FE2">
              <w:rPr>
                <w:color w:val="111111"/>
                <w:sz w:val="17"/>
                <w:szCs w:val="17"/>
              </w:rPr>
              <w:t>89.35 ± 0.88</w:t>
            </w:r>
          </w:p>
        </w:tc>
        <w:tc>
          <w:tcPr>
            <w:tcW w:w="1060" w:type="dxa"/>
            <w:tcBorders>
              <w:top w:val="single" w:sz="3" w:space="0" w:color="BBBBBB"/>
              <w:left w:val="single" w:sz="3" w:space="0" w:color="BBBBBB"/>
              <w:bottom w:val="single" w:sz="3" w:space="0" w:color="BBBBBB"/>
              <w:right w:val="single" w:sz="3" w:space="0" w:color="BBBBBB"/>
            </w:tcBorders>
            <w:shd w:val="clear" w:color="auto" w:fill="F5F5F5"/>
            <w:tcMar>
              <w:top w:w="80" w:type="dxa"/>
              <w:left w:w="130" w:type="dxa"/>
              <w:bottom w:w="80" w:type="dxa"/>
              <w:right w:w="130" w:type="dxa"/>
            </w:tcMar>
            <w:vAlign w:val="center"/>
          </w:tcPr>
          <w:p w14:paraId="29BE9438" w14:textId="77777777" w:rsidR="00B732AE" w:rsidRPr="00FF3FE2" w:rsidRDefault="00000000">
            <w:pPr>
              <w:spacing w:before="40" w:after="40"/>
              <w:jc w:val="center"/>
            </w:pPr>
            <w:r w:rsidRPr="00FF3FE2">
              <w:rPr>
                <w:color w:val="111111"/>
                <w:sz w:val="17"/>
                <w:szCs w:val="17"/>
              </w:rPr>
              <w:t>+3.70</w:t>
            </w:r>
          </w:p>
        </w:tc>
        <w:tc>
          <w:tcPr>
            <w:tcW w:w="1060" w:type="dxa"/>
            <w:tcBorders>
              <w:top w:val="single" w:sz="3" w:space="0" w:color="BBBBBB"/>
              <w:left w:val="single" w:sz="3" w:space="0" w:color="BBBBBB"/>
              <w:bottom w:val="single" w:sz="3" w:space="0" w:color="BBBBBB"/>
              <w:right w:val="single" w:sz="3" w:space="0" w:color="BBBBBB"/>
            </w:tcBorders>
            <w:shd w:val="clear" w:color="auto" w:fill="F5F5F5"/>
            <w:tcMar>
              <w:top w:w="80" w:type="dxa"/>
              <w:left w:w="130" w:type="dxa"/>
              <w:bottom w:w="80" w:type="dxa"/>
              <w:right w:w="130" w:type="dxa"/>
            </w:tcMar>
            <w:vAlign w:val="center"/>
          </w:tcPr>
          <w:p w14:paraId="0F48EE7B" w14:textId="77777777" w:rsidR="00B732AE" w:rsidRPr="00FF3FE2" w:rsidRDefault="00000000">
            <w:pPr>
              <w:spacing w:before="40" w:after="40"/>
              <w:jc w:val="center"/>
            </w:pPr>
            <w:r w:rsidRPr="00FF3FE2">
              <w:rPr>
                <w:color w:val="111111"/>
                <w:sz w:val="17"/>
                <w:szCs w:val="17"/>
              </w:rPr>
              <w:t>—</w:t>
            </w:r>
          </w:p>
        </w:tc>
        <w:tc>
          <w:tcPr>
            <w:tcW w:w="960" w:type="dxa"/>
            <w:tcBorders>
              <w:top w:val="single" w:sz="3" w:space="0" w:color="BBBBBB"/>
              <w:left w:val="single" w:sz="3" w:space="0" w:color="BBBBBB"/>
              <w:bottom w:val="single" w:sz="3" w:space="0" w:color="BBBBBB"/>
              <w:right w:val="single" w:sz="3" w:space="0" w:color="BBBBBB"/>
            </w:tcBorders>
            <w:shd w:val="clear" w:color="auto" w:fill="F5F5F5"/>
            <w:tcMar>
              <w:top w:w="80" w:type="dxa"/>
              <w:left w:w="130" w:type="dxa"/>
              <w:bottom w:w="80" w:type="dxa"/>
              <w:right w:w="130" w:type="dxa"/>
            </w:tcMar>
            <w:vAlign w:val="center"/>
          </w:tcPr>
          <w:p w14:paraId="7BF198C1" w14:textId="77777777" w:rsidR="00B732AE" w:rsidRPr="00FF3FE2" w:rsidRDefault="00000000">
            <w:pPr>
              <w:spacing w:before="40" w:after="40"/>
              <w:jc w:val="center"/>
            </w:pPr>
            <w:r w:rsidRPr="00FF3FE2">
              <w:rPr>
                <w:color w:val="111111"/>
                <w:sz w:val="17"/>
                <w:szCs w:val="17"/>
              </w:rPr>
              <w:t>0.014</w:t>
            </w:r>
          </w:p>
        </w:tc>
        <w:tc>
          <w:tcPr>
            <w:tcW w:w="1200" w:type="dxa"/>
            <w:tcBorders>
              <w:top w:val="single" w:sz="3" w:space="0" w:color="BBBBBB"/>
              <w:left w:val="single" w:sz="3" w:space="0" w:color="BBBBBB"/>
              <w:bottom w:val="single" w:sz="3" w:space="0" w:color="BBBBBB"/>
              <w:right w:val="single" w:sz="3" w:space="0" w:color="BBBBBB"/>
            </w:tcBorders>
            <w:shd w:val="clear" w:color="auto" w:fill="F5F5F5"/>
            <w:tcMar>
              <w:top w:w="80" w:type="dxa"/>
              <w:left w:w="130" w:type="dxa"/>
              <w:bottom w:w="80" w:type="dxa"/>
              <w:right w:w="130" w:type="dxa"/>
            </w:tcMar>
            <w:vAlign w:val="center"/>
          </w:tcPr>
          <w:p w14:paraId="7E7E2D87" w14:textId="77777777" w:rsidR="00B732AE" w:rsidRPr="00FF3FE2" w:rsidRDefault="00000000">
            <w:pPr>
              <w:spacing w:before="40" w:after="40"/>
              <w:jc w:val="center"/>
            </w:pPr>
            <w:r w:rsidRPr="00FF3FE2">
              <w:rPr>
                <w:color w:val="111111"/>
                <w:sz w:val="17"/>
                <w:szCs w:val="17"/>
              </w:rPr>
              <w:t>+6.94</w:t>
            </w:r>
          </w:p>
        </w:tc>
      </w:tr>
      <w:tr w:rsidR="00B732AE" w:rsidRPr="00FF3FE2" w14:paraId="2C45253D" w14:textId="77777777">
        <w:tblPrEx>
          <w:tblCellMar>
            <w:top w:w="0" w:type="dxa"/>
            <w:bottom w:w="0" w:type="dxa"/>
          </w:tblCellMar>
        </w:tblPrEx>
        <w:tc>
          <w:tcPr>
            <w:tcW w:w="250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70F87DD6" w14:textId="77777777" w:rsidR="00B732AE" w:rsidRPr="00FF3FE2" w:rsidRDefault="00000000">
            <w:pPr>
              <w:spacing w:before="40" w:after="40"/>
            </w:pPr>
            <w:r w:rsidRPr="00FF3FE2">
              <w:rPr>
                <w:color w:val="111111"/>
                <w:sz w:val="17"/>
                <w:szCs w:val="17"/>
              </w:rPr>
              <w:t>+ C2: Topological Persistence*</w:t>
            </w:r>
          </w:p>
        </w:tc>
        <w:tc>
          <w:tcPr>
            <w:tcW w:w="140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080075C7" w14:textId="77777777" w:rsidR="00B732AE" w:rsidRPr="00FF3FE2" w:rsidRDefault="00000000">
            <w:pPr>
              <w:spacing w:before="40" w:after="40"/>
              <w:jc w:val="center"/>
            </w:pPr>
            <w:r w:rsidRPr="00FF3FE2">
              <w:rPr>
                <w:color w:val="111111"/>
                <w:sz w:val="17"/>
                <w:szCs w:val="17"/>
              </w:rPr>
              <w:t>91.20 ± 0.74</w:t>
            </w:r>
          </w:p>
        </w:tc>
        <w:tc>
          <w:tcPr>
            <w:tcW w:w="106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14B310AA" w14:textId="77777777" w:rsidR="00B732AE" w:rsidRPr="00FF3FE2" w:rsidRDefault="00000000">
            <w:pPr>
              <w:spacing w:before="40" w:after="40"/>
              <w:jc w:val="center"/>
            </w:pPr>
            <w:r w:rsidRPr="00FF3FE2">
              <w:rPr>
                <w:color w:val="111111"/>
                <w:sz w:val="17"/>
                <w:szCs w:val="17"/>
              </w:rPr>
              <w:t>+1.85</w:t>
            </w:r>
          </w:p>
        </w:tc>
        <w:tc>
          <w:tcPr>
            <w:tcW w:w="106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3492F42B" w14:textId="77777777" w:rsidR="00B732AE" w:rsidRPr="00FF3FE2" w:rsidRDefault="00000000">
            <w:pPr>
              <w:spacing w:before="40" w:after="40"/>
              <w:jc w:val="center"/>
            </w:pPr>
            <w:r w:rsidRPr="00FF3FE2">
              <w:rPr>
                <w:color w:val="111111"/>
                <w:sz w:val="17"/>
                <w:szCs w:val="17"/>
              </w:rPr>
              <w:t>—</w:t>
            </w:r>
          </w:p>
        </w:tc>
        <w:tc>
          <w:tcPr>
            <w:tcW w:w="96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04ADE81F" w14:textId="77777777" w:rsidR="00B732AE" w:rsidRPr="00FF3FE2" w:rsidRDefault="00000000">
            <w:pPr>
              <w:spacing w:before="40" w:after="40"/>
              <w:jc w:val="center"/>
            </w:pPr>
            <w:r w:rsidRPr="00FF3FE2">
              <w:rPr>
                <w:color w:val="111111"/>
                <w:sz w:val="17"/>
                <w:szCs w:val="17"/>
              </w:rPr>
              <w:t>0.028</w:t>
            </w:r>
          </w:p>
        </w:tc>
        <w:tc>
          <w:tcPr>
            <w:tcW w:w="120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1EAEA037" w14:textId="77777777" w:rsidR="00B732AE" w:rsidRPr="00FF3FE2" w:rsidRDefault="00000000">
            <w:pPr>
              <w:spacing w:before="40" w:after="40"/>
              <w:jc w:val="center"/>
            </w:pPr>
            <w:r w:rsidRPr="00FF3FE2">
              <w:rPr>
                <w:color w:val="111111"/>
                <w:sz w:val="17"/>
                <w:szCs w:val="17"/>
              </w:rPr>
              <w:t>+8.79</w:t>
            </w:r>
          </w:p>
        </w:tc>
      </w:tr>
      <w:tr w:rsidR="00B732AE" w:rsidRPr="00FF3FE2" w14:paraId="3248E213" w14:textId="77777777">
        <w:tblPrEx>
          <w:tblCellMar>
            <w:top w:w="0" w:type="dxa"/>
            <w:bottom w:w="0" w:type="dxa"/>
          </w:tblCellMar>
        </w:tblPrEx>
        <w:tc>
          <w:tcPr>
            <w:tcW w:w="2500" w:type="dxa"/>
            <w:tcBorders>
              <w:top w:val="single" w:sz="3" w:space="0" w:color="BBBBBB"/>
              <w:left w:val="single" w:sz="3" w:space="0" w:color="BBBBBB"/>
              <w:bottom w:val="single" w:sz="3" w:space="0" w:color="BBBBBB"/>
              <w:right w:val="single" w:sz="3" w:space="0" w:color="BBBBBB"/>
            </w:tcBorders>
            <w:shd w:val="clear" w:color="auto" w:fill="F5F5F5"/>
            <w:tcMar>
              <w:top w:w="80" w:type="dxa"/>
              <w:left w:w="130" w:type="dxa"/>
              <w:bottom w:w="80" w:type="dxa"/>
              <w:right w:w="130" w:type="dxa"/>
            </w:tcMar>
            <w:vAlign w:val="center"/>
          </w:tcPr>
          <w:p w14:paraId="73B26508" w14:textId="77777777" w:rsidR="00B732AE" w:rsidRPr="00FF3FE2" w:rsidRDefault="00000000">
            <w:pPr>
              <w:spacing w:before="40" w:after="40"/>
            </w:pPr>
            <w:r w:rsidRPr="00FF3FE2">
              <w:rPr>
                <w:color w:val="111111"/>
                <w:sz w:val="17"/>
                <w:szCs w:val="17"/>
              </w:rPr>
              <w:t>+ C3: SPD Manifold Embed.*</w:t>
            </w:r>
          </w:p>
        </w:tc>
        <w:tc>
          <w:tcPr>
            <w:tcW w:w="1400" w:type="dxa"/>
            <w:tcBorders>
              <w:top w:val="single" w:sz="3" w:space="0" w:color="BBBBBB"/>
              <w:left w:val="single" w:sz="3" w:space="0" w:color="BBBBBB"/>
              <w:bottom w:val="single" w:sz="3" w:space="0" w:color="BBBBBB"/>
              <w:right w:val="single" w:sz="3" w:space="0" w:color="BBBBBB"/>
            </w:tcBorders>
            <w:shd w:val="clear" w:color="auto" w:fill="F5F5F5"/>
            <w:tcMar>
              <w:top w:w="80" w:type="dxa"/>
              <w:left w:w="130" w:type="dxa"/>
              <w:bottom w:w="80" w:type="dxa"/>
              <w:right w:w="130" w:type="dxa"/>
            </w:tcMar>
            <w:vAlign w:val="center"/>
          </w:tcPr>
          <w:p w14:paraId="1DDAD5E0" w14:textId="77777777" w:rsidR="00B732AE" w:rsidRPr="00FF3FE2" w:rsidRDefault="00000000">
            <w:pPr>
              <w:spacing w:before="40" w:after="40"/>
              <w:jc w:val="center"/>
            </w:pPr>
            <w:r w:rsidRPr="00FF3FE2">
              <w:rPr>
                <w:color w:val="111111"/>
                <w:sz w:val="17"/>
                <w:szCs w:val="17"/>
              </w:rPr>
              <w:t>91.94 ± 0.69</w:t>
            </w:r>
          </w:p>
        </w:tc>
        <w:tc>
          <w:tcPr>
            <w:tcW w:w="1060" w:type="dxa"/>
            <w:tcBorders>
              <w:top w:val="single" w:sz="3" w:space="0" w:color="BBBBBB"/>
              <w:left w:val="single" w:sz="3" w:space="0" w:color="BBBBBB"/>
              <w:bottom w:val="single" w:sz="3" w:space="0" w:color="BBBBBB"/>
              <w:right w:val="single" w:sz="3" w:space="0" w:color="BBBBBB"/>
            </w:tcBorders>
            <w:shd w:val="clear" w:color="auto" w:fill="F5F5F5"/>
            <w:tcMar>
              <w:top w:w="80" w:type="dxa"/>
              <w:left w:w="130" w:type="dxa"/>
              <w:bottom w:w="80" w:type="dxa"/>
              <w:right w:w="130" w:type="dxa"/>
            </w:tcMar>
            <w:vAlign w:val="center"/>
          </w:tcPr>
          <w:p w14:paraId="6F4BB07D" w14:textId="77777777" w:rsidR="00B732AE" w:rsidRPr="00FF3FE2" w:rsidRDefault="00000000">
            <w:pPr>
              <w:spacing w:before="40" w:after="40"/>
              <w:jc w:val="center"/>
            </w:pPr>
            <w:r w:rsidRPr="00FF3FE2">
              <w:rPr>
                <w:color w:val="111111"/>
                <w:sz w:val="17"/>
                <w:szCs w:val="17"/>
              </w:rPr>
              <w:t>+0.74</w:t>
            </w:r>
          </w:p>
        </w:tc>
        <w:tc>
          <w:tcPr>
            <w:tcW w:w="1060" w:type="dxa"/>
            <w:tcBorders>
              <w:top w:val="single" w:sz="3" w:space="0" w:color="BBBBBB"/>
              <w:left w:val="single" w:sz="3" w:space="0" w:color="BBBBBB"/>
              <w:bottom w:val="single" w:sz="3" w:space="0" w:color="BBBBBB"/>
              <w:right w:val="single" w:sz="3" w:space="0" w:color="BBBBBB"/>
            </w:tcBorders>
            <w:shd w:val="clear" w:color="auto" w:fill="F5F5F5"/>
            <w:tcMar>
              <w:top w:w="80" w:type="dxa"/>
              <w:left w:w="130" w:type="dxa"/>
              <w:bottom w:w="80" w:type="dxa"/>
              <w:right w:w="130" w:type="dxa"/>
            </w:tcMar>
            <w:vAlign w:val="center"/>
          </w:tcPr>
          <w:p w14:paraId="45BE9B81" w14:textId="77777777" w:rsidR="00B732AE" w:rsidRPr="00FF3FE2" w:rsidRDefault="00000000">
            <w:pPr>
              <w:spacing w:before="40" w:after="40"/>
              <w:jc w:val="center"/>
            </w:pPr>
            <w:r w:rsidRPr="00FF3FE2">
              <w:rPr>
                <w:color w:val="111111"/>
                <w:sz w:val="17"/>
                <w:szCs w:val="17"/>
              </w:rPr>
              <w:t>—</w:t>
            </w:r>
          </w:p>
        </w:tc>
        <w:tc>
          <w:tcPr>
            <w:tcW w:w="960" w:type="dxa"/>
            <w:tcBorders>
              <w:top w:val="single" w:sz="3" w:space="0" w:color="BBBBBB"/>
              <w:left w:val="single" w:sz="3" w:space="0" w:color="BBBBBB"/>
              <w:bottom w:val="single" w:sz="3" w:space="0" w:color="BBBBBB"/>
              <w:right w:val="single" w:sz="3" w:space="0" w:color="BBBBBB"/>
            </w:tcBorders>
            <w:shd w:val="clear" w:color="auto" w:fill="F5F5F5"/>
            <w:tcMar>
              <w:top w:w="80" w:type="dxa"/>
              <w:left w:w="130" w:type="dxa"/>
              <w:bottom w:w="80" w:type="dxa"/>
              <w:right w:w="130" w:type="dxa"/>
            </w:tcMar>
            <w:vAlign w:val="center"/>
          </w:tcPr>
          <w:p w14:paraId="3C607383" w14:textId="77777777" w:rsidR="00B732AE" w:rsidRPr="00FF3FE2" w:rsidRDefault="00000000">
            <w:pPr>
              <w:spacing w:before="40" w:after="40"/>
              <w:jc w:val="center"/>
            </w:pPr>
            <w:r w:rsidRPr="00FF3FE2">
              <w:rPr>
                <w:color w:val="111111"/>
                <w:sz w:val="17"/>
                <w:szCs w:val="17"/>
              </w:rPr>
              <w:t>0.047</w:t>
            </w:r>
          </w:p>
        </w:tc>
        <w:tc>
          <w:tcPr>
            <w:tcW w:w="1200" w:type="dxa"/>
            <w:tcBorders>
              <w:top w:val="single" w:sz="3" w:space="0" w:color="BBBBBB"/>
              <w:left w:val="single" w:sz="3" w:space="0" w:color="BBBBBB"/>
              <w:bottom w:val="single" w:sz="3" w:space="0" w:color="BBBBBB"/>
              <w:right w:val="single" w:sz="3" w:space="0" w:color="BBBBBB"/>
            </w:tcBorders>
            <w:shd w:val="clear" w:color="auto" w:fill="F5F5F5"/>
            <w:tcMar>
              <w:top w:w="80" w:type="dxa"/>
              <w:left w:w="130" w:type="dxa"/>
              <w:bottom w:w="80" w:type="dxa"/>
              <w:right w:w="130" w:type="dxa"/>
            </w:tcMar>
            <w:vAlign w:val="center"/>
          </w:tcPr>
          <w:p w14:paraId="5B3C45A6" w14:textId="77777777" w:rsidR="00B732AE" w:rsidRPr="00FF3FE2" w:rsidRDefault="00000000">
            <w:pPr>
              <w:spacing w:before="40" w:after="40"/>
              <w:jc w:val="center"/>
            </w:pPr>
            <w:r w:rsidRPr="00FF3FE2">
              <w:rPr>
                <w:color w:val="111111"/>
                <w:sz w:val="17"/>
                <w:szCs w:val="17"/>
              </w:rPr>
              <w:t>+9.53</w:t>
            </w:r>
          </w:p>
        </w:tc>
      </w:tr>
      <w:tr w:rsidR="00B732AE" w:rsidRPr="00FF3FE2" w14:paraId="28D5F4EA" w14:textId="77777777">
        <w:tblPrEx>
          <w:tblCellMar>
            <w:top w:w="0" w:type="dxa"/>
            <w:bottom w:w="0" w:type="dxa"/>
          </w:tblCellMar>
        </w:tblPrEx>
        <w:tc>
          <w:tcPr>
            <w:tcW w:w="2500" w:type="dxa"/>
            <w:tcBorders>
              <w:top w:val="single" w:sz="3" w:space="0" w:color="BBBBBB"/>
              <w:left w:val="single" w:sz="3" w:space="0" w:color="BBBBBB"/>
              <w:bottom w:val="single" w:sz="3" w:space="0" w:color="BBBBBB"/>
              <w:right w:val="single" w:sz="3" w:space="0" w:color="BBBBBB"/>
            </w:tcBorders>
            <w:shd w:val="clear" w:color="auto" w:fill="EAF0FF"/>
            <w:tcMar>
              <w:top w:w="80" w:type="dxa"/>
              <w:left w:w="130" w:type="dxa"/>
              <w:bottom w:w="80" w:type="dxa"/>
              <w:right w:w="130" w:type="dxa"/>
            </w:tcMar>
            <w:vAlign w:val="center"/>
          </w:tcPr>
          <w:p w14:paraId="3115B48A" w14:textId="77777777" w:rsidR="00B732AE" w:rsidRPr="00FF3FE2" w:rsidRDefault="00000000">
            <w:pPr>
              <w:spacing w:before="40" w:after="40"/>
            </w:pPr>
            <w:r w:rsidRPr="00FF3FE2">
              <w:rPr>
                <w:b/>
                <w:bCs/>
                <w:color w:val="1A3A6B"/>
                <w:sz w:val="17"/>
                <w:szCs w:val="17"/>
              </w:rPr>
              <w:t>Full AMST (C1+C2+C3+C4)*</w:t>
            </w:r>
          </w:p>
        </w:tc>
        <w:tc>
          <w:tcPr>
            <w:tcW w:w="1400" w:type="dxa"/>
            <w:tcBorders>
              <w:top w:val="single" w:sz="3" w:space="0" w:color="BBBBBB"/>
              <w:left w:val="single" w:sz="3" w:space="0" w:color="BBBBBB"/>
              <w:bottom w:val="single" w:sz="3" w:space="0" w:color="BBBBBB"/>
              <w:right w:val="single" w:sz="3" w:space="0" w:color="BBBBBB"/>
            </w:tcBorders>
            <w:shd w:val="clear" w:color="auto" w:fill="EAF0FF"/>
            <w:tcMar>
              <w:top w:w="80" w:type="dxa"/>
              <w:left w:w="130" w:type="dxa"/>
              <w:bottom w:w="80" w:type="dxa"/>
              <w:right w:w="130" w:type="dxa"/>
            </w:tcMar>
            <w:vAlign w:val="center"/>
          </w:tcPr>
          <w:p w14:paraId="28BBF078" w14:textId="77777777" w:rsidR="00B732AE" w:rsidRPr="00FF3FE2" w:rsidRDefault="00000000">
            <w:pPr>
              <w:spacing w:before="40" w:after="40"/>
              <w:jc w:val="center"/>
            </w:pPr>
            <w:r w:rsidRPr="00FF3FE2">
              <w:rPr>
                <w:b/>
                <w:bCs/>
                <w:color w:val="1A3A6B"/>
                <w:sz w:val="17"/>
                <w:szCs w:val="17"/>
              </w:rPr>
              <w:t>92.59 ± 0.67</w:t>
            </w:r>
          </w:p>
        </w:tc>
        <w:tc>
          <w:tcPr>
            <w:tcW w:w="1060" w:type="dxa"/>
            <w:tcBorders>
              <w:top w:val="single" w:sz="3" w:space="0" w:color="BBBBBB"/>
              <w:left w:val="single" w:sz="3" w:space="0" w:color="BBBBBB"/>
              <w:bottom w:val="single" w:sz="3" w:space="0" w:color="BBBBBB"/>
              <w:right w:val="single" w:sz="3" w:space="0" w:color="BBBBBB"/>
            </w:tcBorders>
            <w:shd w:val="clear" w:color="auto" w:fill="EAF0FF"/>
            <w:tcMar>
              <w:top w:w="80" w:type="dxa"/>
              <w:left w:w="130" w:type="dxa"/>
              <w:bottom w:w="80" w:type="dxa"/>
              <w:right w:w="130" w:type="dxa"/>
            </w:tcMar>
            <w:vAlign w:val="center"/>
          </w:tcPr>
          <w:p w14:paraId="4D04F95E" w14:textId="77777777" w:rsidR="00B732AE" w:rsidRPr="00FF3FE2" w:rsidRDefault="00000000">
            <w:pPr>
              <w:spacing w:before="40" w:after="40"/>
              <w:jc w:val="center"/>
            </w:pPr>
            <w:r w:rsidRPr="00FF3FE2">
              <w:rPr>
                <w:b/>
                <w:bCs/>
                <w:color w:val="1A3A6B"/>
                <w:sz w:val="17"/>
                <w:szCs w:val="17"/>
              </w:rPr>
              <w:t>+0.65</w:t>
            </w:r>
          </w:p>
        </w:tc>
        <w:tc>
          <w:tcPr>
            <w:tcW w:w="1060" w:type="dxa"/>
            <w:tcBorders>
              <w:top w:val="single" w:sz="3" w:space="0" w:color="BBBBBB"/>
              <w:left w:val="single" w:sz="3" w:space="0" w:color="BBBBBB"/>
              <w:bottom w:val="single" w:sz="3" w:space="0" w:color="BBBBBB"/>
              <w:right w:val="single" w:sz="3" w:space="0" w:color="BBBBBB"/>
            </w:tcBorders>
            <w:shd w:val="clear" w:color="auto" w:fill="EAF0FF"/>
            <w:tcMar>
              <w:top w:w="80" w:type="dxa"/>
              <w:left w:w="130" w:type="dxa"/>
              <w:bottom w:w="80" w:type="dxa"/>
              <w:right w:w="130" w:type="dxa"/>
            </w:tcMar>
            <w:vAlign w:val="center"/>
          </w:tcPr>
          <w:p w14:paraId="52DF79D1" w14:textId="77777777" w:rsidR="00B732AE" w:rsidRPr="00FF3FE2" w:rsidRDefault="00000000">
            <w:pPr>
              <w:spacing w:before="40" w:after="40"/>
              <w:jc w:val="center"/>
            </w:pPr>
            <w:r w:rsidRPr="00FF3FE2">
              <w:rPr>
                <w:b/>
                <w:bCs/>
                <w:color w:val="1A3A6B"/>
                <w:sz w:val="17"/>
                <w:szCs w:val="17"/>
              </w:rPr>
              <w:t>—</w:t>
            </w:r>
          </w:p>
        </w:tc>
        <w:tc>
          <w:tcPr>
            <w:tcW w:w="960" w:type="dxa"/>
            <w:tcBorders>
              <w:top w:val="single" w:sz="3" w:space="0" w:color="BBBBBB"/>
              <w:left w:val="single" w:sz="3" w:space="0" w:color="BBBBBB"/>
              <w:bottom w:val="single" w:sz="3" w:space="0" w:color="BBBBBB"/>
              <w:right w:val="single" w:sz="3" w:space="0" w:color="BBBBBB"/>
            </w:tcBorders>
            <w:shd w:val="clear" w:color="auto" w:fill="EAF0FF"/>
            <w:tcMar>
              <w:top w:w="80" w:type="dxa"/>
              <w:left w:w="130" w:type="dxa"/>
              <w:bottom w:w="80" w:type="dxa"/>
              <w:right w:w="130" w:type="dxa"/>
            </w:tcMar>
            <w:vAlign w:val="center"/>
          </w:tcPr>
          <w:p w14:paraId="62512BA1" w14:textId="77777777" w:rsidR="00B732AE" w:rsidRPr="00FF3FE2" w:rsidRDefault="00000000">
            <w:pPr>
              <w:spacing w:before="40" w:after="40"/>
              <w:jc w:val="center"/>
            </w:pPr>
            <w:r w:rsidRPr="00FF3FE2">
              <w:rPr>
                <w:b/>
                <w:bCs/>
                <w:color w:val="1A3A6B"/>
                <w:sz w:val="17"/>
                <w:szCs w:val="17"/>
              </w:rPr>
              <w:t>0.038</w:t>
            </w:r>
          </w:p>
        </w:tc>
        <w:tc>
          <w:tcPr>
            <w:tcW w:w="1200" w:type="dxa"/>
            <w:tcBorders>
              <w:top w:val="single" w:sz="3" w:space="0" w:color="BBBBBB"/>
              <w:left w:val="single" w:sz="3" w:space="0" w:color="BBBBBB"/>
              <w:bottom w:val="single" w:sz="3" w:space="0" w:color="BBBBBB"/>
              <w:right w:val="single" w:sz="3" w:space="0" w:color="BBBBBB"/>
            </w:tcBorders>
            <w:shd w:val="clear" w:color="auto" w:fill="EAF0FF"/>
            <w:tcMar>
              <w:top w:w="80" w:type="dxa"/>
              <w:left w:w="130" w:type="dxa"/>
              <w:bottom w:w="80" w:type="dxa"/>
              <w:right w:w="130" w:type="dxa"/>
            </w:tcMar>
            <w:vAlign w:val="center"/>
          </w:tcPr>
          <w:p w14:paraId="5F039E1F" w14:textId="77777777" w:rsidR="00B732AE" w:rsidRPr="00FF3FE2" w:rsidRDefault="00000000">
            <w:pPr>
              <w:spacing w:before="40" w:after="40"/>
              <w:jc w:val="center"/>
            </w:pPr>
            <w:r w:rsidRPr="00FF3FE2">
              <w:rPr>
                <w:b/>
                <w:bCs/>
                <w:color w:val="1A3A6B"/>
                <w:sz w:val="17"/>
                <w:szCs w:val="17"/>
              </w:rPr>
              <w:t>+10.18</w:t>
            </w:r>
          </w:p>
        </w:tc>
      </w:tr>
    </w:tbl>
    <w:p w14:paraId="33216CD5" w14:textId="77777777" w:rsidR="00B732AE" w:rsidRPr="00FF3FE2" w:rsidRDefault="00B732AE">
      <w:pPr>
        <w:spacing w:after="120"/>
      </w:pPr>
    </w:p>
    <w:p w14:paraId="2458E738" w14:textId="6DDF9F7A" w:rsidR="00B732AE" w:rsidRPr="00FF3FE2" w:rsidRDefault="00000000">
      <w:pPr>
        <w:spacing w:before="80" w:after="80" w:line="290" w:lineRule="auto"/>
        <w:ind w:firstLine="720"/>
        <w:jc w:val="both"/>
      </w:pPr>
      <w:r w:rsidRPr="00FF3FE2">
        <w:rPr>
          <w:color w:val="000000"/>
        </w:rPr>
        <w:t>Every incremental component gain is statistically significant (p &lt; 0.05). The largest single gain is the transition from independent wavelet concatenation to phase-coherent APCFW (+3.70%, p = 0.014), confirming that spectral coupling not merely the addition of wavelet features is the primary driver of improvement. Topological persistence contributes +1.85% (p = 0.028), concentrated in topologically distinctive classes (mean +8.3% per-class) versus globally simple classes (+0.4%). The SPD embedding (+0.74%) and sparse attention (+0.65%) deliver individually modest but consistently significant gains robust across all five folds.</w:t>
      </w:r>
    </w:p>
    <w:p w14:paraId="01AB1FE5" w14:textId="77777777" w:rsidR="00B732AE" w:rsidRPr="00FF3FE2" w:rsidRDefault="00B732AE">
      <w:pPr>
        <w:spacing w:after="60"/>
      </w:pPr>
    </w:p>
    <w:p w14:paraId="1CF351C9" w14:textId="2B0F5695" w:rsidR="00B732AE" w:rsidRPr="00FF3FE2" w:rsidRDefault="00000000">
      <w:pPr>
        <w:pBdr>
          <w:top w:val="dashed" w:sz="6" w:space="0" w:color="2C5FA8"/>
          <w:left w:val="dashed" w:sz="6" w:space="0" w:color="2C5FA8"/>
          <w:bottom w:val="dashed" w:sz="6" w:space="0" w:color="2C5FA8"/>
          <w:right w:val="dashed" w:sz="6" w:space="0" w:color="2C5FA8"/>
        </w:pBdr>
        <w:spacing w:before="220" w:after="80"/>
        <w:jc w:val="center"/>
      </w:pPr>
      <w:r w:rsidRPr="00FF3FE2">
        <w:rPr>
          <w:b/>
          <w:bCs/>
          <w:color w:val="1A3A6B"/>
          <w:sz w:val="21"/>
          <w:szCs w:val="21"/>
        </w:rPr>
        <w:t xml:space="preserve">[ FIGURE 12 — </w:t>
      </w:r>
      <w:r w:rsidRPr="00FF3FE2">
        <w:rPr>
          <w:b/>
          <w:bCs/>
          <w:i/>
          <w:iCs/>
          <w:color w:val="1A3A6B"/>
          <w:sz w:val="21"/>
          <w:szCs w:val="21"/>
        </w:rPr>
        <w:t>Ablation Study — Accuracy per Configuration with Statistical Significance Markers</w:t>
      </w:r>
      <w:r w:rsidRPr="00FF3FE2">
        <w:rPr>
          <w:color w:val="777777"/>
          <w:sz w:val="20"/>
          <w:szCs w:val="20"/>
        </w:rPr>
        <w:t xml:space="preserve"> — Paste exported Colab figure here]</w:t>
      </w:r>
    </w:p>
    <w:p w14:paraId="3D954B56" w14:textId="77777777" w:rsidR="00B732AE" w:rsidRPr="00FF3FE2" w:rsidRDefault="00000000">
      <w:pPr>
        <w:pBdr>
          <w:left w:val="single" w:sz="10" w:space="6" w:color="1A3A6B"/>
        </w:pBdr>
        <w:spacing w:before="60" w:after="220"/>
        <w:ind w:left="240" w:right="240"/>
        <w:jc w:val="both"/>
      </w:pPr>
      <w:r w:rsidRPr="00FF3FE2">
        <w:rPr>
          <w:b/>
          <w:bCs/>
          <w:color w:val="222222"/>
          <w:sz w:val="20"/>
          <w:szCs w:val="20"/>
        </w:rPr>
        <w:t xml:space="preserve">Figure 12: </w:t>
      </w:r>
      <w:r w:rsidRPr="00FF3FE2">
        <w:rPr>
          <w:i/>
          <w:iCs/>
          <w:color w:val="333333"/>
          <w:sz w:val="20"/>
          <w:szCs w:val="20"/>
        </w:rPr>
        <w:t>Ablation study results (1-NN classifier, KIMIA-216, 5-fold CV). Horizontal bars: mean cross-validated accuracy; error bars: ±1 SD. Gold dashed line: Full AMST accuracy. Asterisks (*) mark statistically significant incremental gains (p &lt; 0.05, paired t-test). Monotonically increasing accuracy from baseline to Full AMST, with every gain confirmed, demonstrates genuine discriminative value from each component. Source: Google Colab notebook, Figure 12.</w:t>
      </w:r>
    </w:p>
    <w:p w14:paraId="2377FF61" w14:textId="77777777" w:rsidR="00B732AE" w:rsidRPr="00FF3FE2" w:rsidRDefault="00000000">
      <w:pPr>
        <w:pStyle w:val="Heading1"/>
        <w:pBdr>
          <w:bottom w:val="single" w:sz="8" w:space="4" w:color="1A3A6B"/>
        </w:pBdr>
        <w:rPr>
          <w:rFonts w:ascii="Times New Roman" w:hAnsi="Times New Roman" w:cs="Times New Roman"/>
        </w:rPr>
      </w:pPr>
      <w:r w:rsidRPr="00FF3FE2">
        <w:rPr>
          <w:rFonts w:ascii="Times New Roman" w:hAnsi="Times New Roman" w:cs="Times New Roman"/>
        </w:rPr>
        <w:t>12.  ROBUSTNESS ANALYSIS</w:t>
      </w:r>
    </w:p>
    <w:p w14:paraId="4D8CFD9C" w14:textId="06794BE7" w:rsidR="00B732AE" w:rsidRPr="00FF3FE2" w:rsidRDefault="00000000">
      <w:pPr>
        <w:pStyle w:val="Heading2"/>
        <w:rPr>
          <w:rFonts w:ascii="Times New Roman" w:hAnsi="Times New Roman" w:cs="Times New Roman"/>
        </w:rPr>
      </w:pPr>
      <w:r w:rsidRPr="00FF3FE2">
        <w:rPr>
          <w:rFonts w:ascii="Times New Roman" w:hAnsi="Times New Roman" w:cs="Times New Roman"/>
        </w:rPr>
        <w:t>12.1 Gaussian Noise Robustness</w:t>
      </w:r>
    </w:p>
    <w:p w14:paraId="34EA2D8D" w14:textId="6A010A1B" w:rsidR="00B732AE" w:rsidRPr="00FF3FE2" w:rsidRDefault="00000000">
      <w:pPr>
        <w:spacing w:before="80" w:after="80" w:line="290" w:lineRule="auto"/>
        <w:ind w:firstLine="720"/>
        <w:jc w:val="both"/>
      </w:pPr>
      <w:r w:rsidRPr="00FF3FE2">
        <w:rPr>
          <w:color w:val="000000"/>
        </w:rPr>
        <w:t xml:space="preserve">Figure 11 shows 1-NN accuracy as a function of additive Gaussian noise standard deviation σ </w:t>
      </w:r>
      <w:r w:rsidRPr="00FF3FE2">
        <w:rPr>
          <w:rFonts w:ascii="Cambria Math" w:hAnsi="Cambria Math" w:cs="Cambria Math"/>
          <w:color w:val="000000"/>
        </w:rPr>
        <w:t>∈</w:t>
      </w:r>
      <w:r w:rsidRPr="00FF3FE2">
        <w:rPr>
          <w:color w:val="000000"/>
        </w:rPr>
        <w:t xml:space="preserve"> {0, 10, 20, 40, 60, 80} applied to binary images before contour extraction. At σ = 40 a noise level displacing approximately 15% of contour points by more than 3 pixels AMST retains 84.26% accuracy versus 63.89% for Fourier-only and 67.59% for Wavelet-only. This +20.4% advantage directly reflects the persistence stability theorem proven in Section 9.2: persistence diagrams change by at most √2δ in bottleneck distance when the curvature signal changes by δ in sup-norm. The SPD Riemannian metric contributes additional robustness by evaluating descriptor similarity in the curved manifold geometry rather than noise-amplifying Euclidean space.</w:t>
      </w:r>
    </w:p>
    <w:p w14:paraId="16E258EF" w14:textId="44ED9788" w:rsidR="00B732AE" w:rsidRPr="00FF3FE2" w:rsidRDefault="00000000">
      <w:pPr>
        <w:pStyle w:val="Heading2"/>
        <w:rPr>
          <w:rFonts w:ascii="Times New Roman" w:hAnsi="Times New Roman" w:cs="Times New Roman"/>
        </w:rPr>
      </w:pPr>
      <w:r w:rsidRPr="00FF3FE2">
        <w:rPr>
          <w:rFonts w:ascii="Times New Roman" w:hAnsi="Times New Roman" w:cs="Times New Roman"/>
        </w:rPr>
        <w:t>12.2 Occlusion Robustness</w:t>
      </w:r>
    </w:p>
    <w:p w14:paraId="047A9315" w14:textId="6043BBB8" w:rsidR="00B732AE" w:rsidRPr="00FF3FE2" w:rsidRDefault="00000000">
      <w:pPr>
        <w:spacing w:before="80" w:after="80" w:line="290" w:lineRule="auto"/>
        <w:ind w:firstLine="720"/>
        <w:jc w:val="both"/>
      </w:pPr>
      <w:r w:rsidRPr="00FF3FE2">
        <w:rPr>
          <w:color w:val="000000"/>
        </w:rPr>
        <w:t>At 30% central occlusion removing the central third of the shape image AMST achieves 81.30% accuracy versus 67.22% (Fourier-only) and 71.43% (Wavelet-only). Two complementary mechanisms account for this advantage. First, APCFW phase-coherent wavelet features capture peripheral boundary structure whose frequency content remains coherent with the global Fourier profile even when the central region is removed. Second, topological features derived from the visible boundary portion remain partially informative for shapes with distinctive peripheral topological structure (</w:t>
      </w:r>
      <w:r w:rsidR="00F70AF1" w:rsidRPr="00FF3FE2">
        <w:rPr>
          <w:color w:val="000000"/>
        </w:rPr>
        <w:t>octopus’</w:t>
      </w:r>
      <w:r w:rsidRPr="00FF3FE2">
        <w:rPr>
          <w:color w:val="000000"/>
        </w:rPr>
        <w:t xml:space="preserve"> arms, hammer head, fork tines), because the H₁ persistence of the visible curvature signal retains discriminative information about the shape’s topological complexity under partial observation.</w:t>
      </w:r>
    </w:p>
    <w:p w14:paraId="6D694054" w14:textId="77777777" w:rsidR="00B732AE" w:rsidRPr="00FF3FE2" w:rsidRDefault="00B732AE">
      <w:pPr>
        <w:spacing w:after="60"/>
      </w:pPr>
    </w:p>
    <w:p w14:paraId="79D5BD17" w14:textId="6D475833" w:rsidR="00B732AE" w:rsidRPr="00FF3FE2" w:rsidRDefault="00000000">
      <w:pPr>
        <w:pBdr>
          <w:top w:val="dashed" w:sz="6" w:space="0" w:color="2C5FA8"/>
          <w:left w:val="dashed" w:sz="6" w:space="0" w:color="2C5FA8"/>
          <w:bottom w:val="dashed" w:sz="6" w:space="0" w:color="2C5FA8"/>
          <w:right w:val="dashed" w:sz="6" w:space="0" w:color="2C5FA8"/>
        </w:pBdr>
        <w:spacing w:before="220" w:after="80"/>
        <w:jc w:val="center"/>
      </w:pPr>
      <w:r w:rsidRPr="00FF3FE2">
        <w:rPr>
          <w:b/>
          <w:bCs/>
          <w:color w:val="1A3A6B"/>
          <w:sz w:val="21"/>
          <w:szCs w:val="21"/>
        </w:rPr>
        <w:lastRenderedPageBreak/>
        <w:t xml:space="preserve">[ FIGURE 11 — </w:t>
      </w:r>
      <w:r w:rsidRPr="00FF3FE2">
        <w:rPr>
          <w:b/>
          <w:bCs/>
          <w:i/>
          <w:iCs/>
          <w:color w:val="1A3A6B"/>
          <w:sz w:val="21"/>
          <w:szCs w:val="21"/>
        </w:rPr>
        <w:t>Robustness Analysis — Accuracy vs. Gaussian Noise σ (Left) and Occlusion Fraction % (Right)</w:t>
      </w:r>
      <w:r w:rsidRPr="00FF3FE2">
        <w:rPr>
          <w:color w:val="777777"/>
          <w:sz w:val="20"/>
          <w:szCs w:val="20"/>
        </w:rPr>
        <w:t xml:space="preserve"> — Paste exported Colab figure here]</w:t>
      </w:r>
    </w:p>
    <w:p w14:paraId="17C40ED3" w14:textId="668A9372" w:rsidR="00B732AE" w:rsidRPr="00FF3FE2" w:rsidRDefault="00000000">
      <w:pPr>
        <w:pBdr>
          <w:left w:val="single" w:sz="10" w:space="6" w:color="1A3A6B"/>
        </w:pBdr>
        <w:spacing w:before="60" w:after="220"/>
        <w:ind w:left="240" w:right="240"/>
        <w:jc w:val="both"/>
      </w:pPr>
      <w:r w:rsidRPr="00FF3FE2">
        <w:rPr>
          <w:b/>
          <w:bCs/>
          <w:color w:val="222222"/>
          <w:sz w:val="20"/>
          <w:szCs w:val="20"/>
        </w:rPr>
        <w:t xml:space="preserve">Figure 11: </w:t>
      </w:r>
      <w:r w:rsidRPr="00FF3FE2">
        <w:rPr>
          <w:i/>
          <w:iCs/>
          <w:color w:val="333333"/>
          <w:sz w:val="20"/>
          <w:szCs w:val="20"/>
        </w:rPr>
        <w:t xml:space="preserve">Robustness analysis under Gaussian noise (left, σ </w:t>
      </w:r>
      <w:r w:rsidRPr="00FF3FE2">
        <w:rPr>
          <w:rFonts w:ascii="Cambria Math" w:hAnsi="Cambria Math" w:cs="Cambria Math"/>
          <w:i/>
          <w:iCs/>
          <w:color w:val="333333"/>
          <w:sz w:val="20"/>
          <w:szCs w:val="20"/>
        </w:rPr>
        <w:t>∈</w:t>
      </w:r>
      <w:r w:rsidRPr="00FF3FE2">
        <w:rPr>
          <w:i/>
          <w:iCs/>
          <w:color w:val="333333"/>
          <w:sz w:val="20"/>
          <w:szCs w:val="20"/>
        </w:rPr>
        <w:t xml:space="preserve"> {0,10,20,40,60,80}) and central occlusion (right, area fraction </w:t>
      </w:r>
      <w:r w:rsidRPr="00FF3FE2">
        <w:rPr>
          <w:rFonts w:ascii="Cambria Math" w:hAnsi="Cambria Math" w:cs="Cambria Math"/>
          <w:i/>
          <w:iCs/>
          <w:color w:val="333333"/>
          <w:sz w:val="20"/>
          <w:szCs w:val="20"/>
        </w:rPr>
        <w:t>∈</w:t>
      </w:r>
      <w:r w:rsidRPr="00FF3FE2">
        <w:rPr>
          <w:i/>
          <w:iCs/>
          <w:color w:val="333333"/>
          <w:sz w:val="20"/>
          <w:szCs w:val="20"/>
        </w:rPr>
        <w:t xml:space="preserve"> {0%,10%,20%,30%,40%,50%}). AMST (dark red, diamond markers) maintains substantially higher 1-NN accuracy than all baselines. The robustness advantage is greatest at σ </w:t>
      </w:r>
      <w:r w:rsidRPr="00FF3FE2">
        <w:rPr>
          <w:rFonts w:ascii="Cambria Math" w:hAnsi="Cambria Math" w:cs="Cambria Math"/>
          <w:i/>
          <w:iCs/>
          <w:color w:val="333333"/>
          <w:sz w:val="20"/>
          <w:szCs w:val="20"/>
        </w:rPr>
        <w:t>∈</w:t>
      </w:r>
      <w:r w:rsidRPr="00FF3FE2">
        <w:rPr>
          <w:i/>
          <w:iCs/>
          <w:color w:val="333333"/>
          <w:sz w:val="20"/>
          <w:szCs w:val="20"/>
        </w:rPr>
        <w:t xml:space="preserve"> [40,60] and occlusion </w:t>
      </w:r>
      <w:r w:rsidRPr="00FF3FE2">
        <w:rPr>
          <w:rFonts w:ascii="Cambria Math" w:hAnsi="Cambria Math" w:cs="Cambria Math"/>
          <w:i/>
          <w:iCs/>
          <w:color w:val="333333"/>
          <w:sz w:val="20"/>
          <w:szCs w:val="20"/>
        </w:rPr>
        <w:t>∈</w:t>
      </w:r>
      <w:r w:rsidRPr="00FF3FE2">
        <w:rPr>
          <w:i/>
          <w:iCs/>
          <w:color w:val="333333"/>
          <w:sz w:val="20"/>
          <w:szCs w:val="20"/>
        </w:rPr>
        <w:t xml:space="preserve"> [20%,40%] the practically relevant operating regimes for noisy imaging. Theoretical stability bounds from Section 9 directly predict the qualitative shape of the AMST degradation curve. Source: Google Colab notebook, Figure 11.</w:t>
      </w:r>
    </w:p>
    <w:p w14:paraId="577964AE" w14:textId="77777777" w:rsidR="00B732AE" w:rsidRPr="00FF3FE2" w:rsidRDefault="00000000">
      <w:pPr>
        <w:pStyle w:val="Heading1"/>
        <w:pBdr>
          <w:bottom w:val="single" w:sz="8" w:space="4" w:color="1A3A6B"/>
        </w:pBdr>
        <w:rPr>
          <w:rFonts w:ascii="Times New Roman" w:hAnsi="Times New Roman" w:cs="Times New Roman"/>
        </w:rPr>
      </w:pPr>
      <w:r w:rsidRPr="00FF3FE2">
        <w:rPr>
          <w:rFonts w:ascii="Times New Roman" w:hAnsi="Times New Roman" w:cs="Times New Roman"/>
        </w:rPr>
        <w:t>13.  MULTIDIMENSIONAL PERFORMANCE SUMMARY</w:t>
      </w:r>
    </w:p>
    <w:p w14:paraId="6718519B" w14:textId="0E974888" w:rsidR="00B732AE" w:rsidRPr="00FF3FE2" w:rsidRDefault="00000000">
      <w:pPr>
        <w:spacing w:before="80" w:after="80" w:line="290" w:lineRule="auto"/>
        <w:ind w:firstLine="720"/>
        <w:jc w:val="both"/>
      </w:pPr>
      <w:r w:rsidRPr="00FF3FE2">
        <w:rPr>
          <w:color w:val="000000"/>
        </w:rPr>
        <w:t xml:space="preserve">Figure 13 presents a multidimensional radar chart </w:t>
      </w:r>
      <w:r w:rsidR="00F70AF1" w:rsidRPr="00FF3FE2">
        <w:rPr>
          <w:color w:val="000000"/>
        </w:rPr>
        <w:t>summarizing</w:t>
      </w:r>
      <w:r w:rsidRPr="00FF3FE2">
        <w:rPr>
          <w:color w:val="000000"/>
        </w:rPr>
        <w:t xml:space="preserve"> AMST performance versus all baselines across five </w:t>
      </w:r>
      <w:r w:rsidR="00F70AF1" w:rsidRPr="00FF3FE2">
        <w:rPr>
          <w:color w:val="000000"/>
        </w:rPr>
        <w:t>normalized</w:t>
      </w:r>
      <w:r w:rsidRPr="00FF3FE2">
        <w:rPr>
          <w:color w:val="000000"/>
        </w:rPr>
        <w:t xml:space="preserve"> performance dimensions: 1-NN Accuracy, SVM-RBF Accuracy, AP@10 Retrieval, Noise Robustness (σ=40), and Occlusion Robustness (30%). Each axis is </w:t>
      </w:r>
      <w:r w:rsidR="00F70AF1" w:rsidRPr="00FF3FE2">
        <w:rPr>
          <w:color w:val="000000"/>
        </w:rPr>
        <w:t>normalized</w:t>
      </w:r>
      <w:r w:rsidRPr="00FF3FE2">
        <w:rPr>
          <w:color w:val="000000"/>
        </w:rPr>
        <w:t xml:space="preserve"> to [0,1] relative to the range across all methods. AMST forms the outermost polygon on all five axes simultaneously the only method to do so confirming that its superiority is balanced across different aspects of shape recognition rather than being concentrated in a single dimension. All baselines are dominated on at least two axes.</w:t>
      </w:r>
    </w:p>
    <w:p w14:paraId="2AFFA4D1" w14:textId="77777777" w:rsidR="00B732AE" w:rsidRPr="00FF3FE2" w:rsidRDefault="00B732AE">
      <w:pPr>
        <w:spacing w:after="60"/>
      </w:pPr>
    </w:p>
    <w:p w14:paraId="2C62A2EB" w14:textId="4AD29423" w:rsidR="00B732AE" w:rsidRPr="00FF3FE2" w:rsidRDefault="00000000">
      <w:pPr>
        <w:pBdr>
          <w:top w:val="dashed" w:sz="6" w:space="0" w:color="2C5FA8"/>
          <w:left w:val="dashed" w:sz="6" w:space="0" w:color="2C5FA8"/>
          <w:bottom w:val="dashed" w:sz="6" w:space="0" w:color="2C5FA8"/>
          <w:right w:val="dashed" w:sz="6" w:space="0" w:color="2C5FA8"/>
        </w:pBdr>
        <w:spacing w:before="220" w:after="80"/>
        <w:jc w:val="center"/>
      </w:pPr>
      <w:r w:rsidRPr="00FF3FE2">
        <w:rPr>
          <w:b/>
          <w:bCs/>
          <w:color w:val="1A3A6B"/>
          <w:sz w:val="21"/>
          <w:szCs w:val="21"/>
        </w:rPr>
        <w:t xml:space="preserve">[ FIGURE 13 — </w:t>
      </w:r>
      <w:r w:rsidRPr="00FF3FE2">
        <w:rPr>
          <w:b/>
          <w:bCs/>
          <w:i/>
          <w:iCs/>
          <w:color w:val="1A3A6B"/>
          <w:sz w:val="21"/>
          <w:szCs w:val="21"/>
        </w:rPr>
        <w:t xml:space="preserve">Radar Chart — AMST vs. All Baselines Across 5 </w:t>
      </w:r>
      <w:r w:rsidR="00F70AF1" w:rsidRPr="00FF3FE2">
        <w:rPr>
          <w:b/>
          <w:bCs/>
          <w:i/>
          <w:iCs/>
          <w:color w:val="1A3A6B"/>
          <w:sz w:val="21"/>
          <w:szCs w:val="21"/>
        </w:rPr>
        <w:t>Normalized</w:t>
      </w:r>
      <w:r w:rsidRPr="00FF3FE2">
        <w:rPr>
          <w:b/>
          <w:bCs/>
          <w:i/>
          <w:iCs/>
          <w:color w:val="1A3A6B"/>
          <w:sz w:val="21"/>
          <w:szCs w:val="21"/>
        </w:rPr>
        <w:t xml:space="preserve"> Performance Dimensions</w:t>
      </w:r>
      <w:r w:rsidRPr="00FF3FE2">
        <w:rPr>
          <w:color w:val="777777"/>
          <w:sz w:val="20"/>
          <w:szCs w:val="20"/>
        </w:rPr>
        <w:t xml:space="preserve"> — Paste exported Colab figure here]</w:t>
      </w:r>
    </w:p>
    <w:p w14:paraId="5F10E5AA" w14:textId="4423D6A5" w:rsidR="00B732AE" w:rsidRPr="00FF3FE2" w:rsidRDefault="00000000">
      <w:pPr>
        <w:pBdr>
          <w:left w:val="single" w:sz="10" w:space="6" w:color="1A3A6B"/>
        </w:pBdr>
        <w:spacing w:before="60" w:after="220"/>
        <w:ind w:left="240" w:right="240"/>
        <w:jc w:val="both"/>
      </w:pPr>
      <w:r w:rsidRPr="00FF3FE2">
        <w:rPr>
          <w:b/>
          <w:bCs/>
          <w:color w:val="222222"/>
          <w:sz w:val="20"/>
          <w:szCs w:val="20"/>
        </w:rPr>
        <w:t xml:space="preserve">Figure 13: </w:t>
      </w:r>
      <w:r w:rsidRPr="00FF3FE2">
        <w:rPr>
          <w:i/>
          <w:iCs/>
          <w:color w:val="333333"/>
          <w:sz w:val="20"/>
          <w:szCs w:val="20"/>
        </w:rPr>
        <w:t xml:space="preserve">Multidimensional comparison radar chart. Five axes: 1-NN Accuracy, SVM-RBF Accuracy, AP@10 Retrieval, Noise Robustness (σ=40), Occlusion Robustness (30%). All axes </w:t>
      </w:r>
      <w:r w:rsidR="00F70AF1" w:rsidRPr="00FF3FE2">
        <w:rPr>
          <w:i/>
          <w:iCs/>
          <w:color w:val="333333"/>
          <w:sz w:val="20"/>
          <w:szCs w:val="20"/>
        </w:rPr>
        <w:t>normalized</w:t>
      </w:r>
      <w:r w:rsidRPr="00FF3FE2">
        <w:rPr>
          <w:i/>
          <w:iCs/>
          <w:color w:val="333333"/>
          <w:sz w:val="20"/>
          <w:szCs w:val="20"/>
        </w:rPr>
        <w:t xml:space="preserve"> to [0,1] across all methods. AMST (dark solid filled polygon) forms the outermost envelope on all five axes simultaneously. No baseline achieves comparable coverage; all are dominated on at least two axes. The approximately convex AMST polygon confirms balanced superiority rather than single-dimension concentration. Source: Google Colab notebook, Figure 13.</w:t>
      </w:r>
    </w:p>
    <w:p w14:paraId="264791DC" w14:textId="77777777" w:rsidR="00B732AE" w:rsidRPr="00FF3FE2" w:rsidRDefault="00000000">
      <w:pPr>
        <w:pStyle w:val="Heading1"/>
        <w:pBdr>
          <w:bottom w:val="single" w:sz="8" w:space="4" w:color="1A3A6B"/>
        </w:pBdr>
        <w:rPr>
          <w:rFonts w:ascii="Times New Roman" w:hAnsi="Times New Roman" w:cs="Times New Roman"/>
        </w:rPr>
      </w:pPr>
      <w:r w:rsidRPr="00FF3FE2">
        <w:rPr>
          <w:rFonts w:ascii="Times New Roman" w:hAnsi="Times New Roman" w:cs="Times New Roman"/>
        </w:rPr>
        <w:t>14.  DISCUSSION</w:t>
      </w:r>
    </w:p>
    <w:p w14:paraId="22B37C5E" w14:textId="2DEE4C03" w:rsidR="00B732AE" w:rsidRPr="00FF3FE2" w:rsidRDefault="00000000">
      <w:pPr>
        <w:pStyle w:val="Heading2"/>
        <w:rPr>
          <w:rFonts w:ascii="Times New Roman" w:hAnsi="Times New Roman" w:cs="Times New Roman"/>
        </w:rPr>
      </w:pPr>
      <w:r w:rsidRPr="00FF3FE2">
        <w:rPr>
          <w:rFonts w:ascii="Times New Roman" w:hAnsi="Times New Roman" w:cs="Times New Roman"/>
        </w:rPr>
        <w:t>14.1 Why Phase Coherence Delivers the Largest Gain</w:t>
      </w:r>
    </w:p>
    <w:p w14:paraId="5AB6D4A6" w14:textId="616BC391" w:rsidR="00B732AE" w:rsidRPr="00FF3FE2" w:rsidRDefault="00000000">
      <w:pPr>
        <w:spacing w:before="80" w:after="80" w:line="290" w:lineRule="auto"/>
        <w:ind w:firstLine="720"/>
        <w:jc w:val="both"/>
      </w:pPr>
      <w:r w:rsidRPr="00FF3FE2">
        <w:rPr>
          <w:color w:val="000000"/>
        </w:rPr>
        <w:t xml:space="preserve">The ablation study reveals that the transition from independent wavelet concatenation to phase-coherent APCFW coupling (+3.70%) delivers the largest single gain in the AMST pipeline, exceeding the contributions of topological persistence (+1.85%), SPD embedding (+0.74%), and sparse attention (+0.65%) individually. The theoretical explanation is precise: the mother wavelet matched to the dominant frequency regime of the boundary signal achieves maximum energy concentration for that signal class, reducing within-class descriptor variance and increasing between-class separation simultaneously. This benefit </w:t>
      </w:r>
      <w:r w:rsidR="00F70AF1" w:rsidRPr="00FF3FE2">
        <w:rPr>
          <w:color w:val="000000"/>
        </w:rPr>
        <w:t>generalizes</w:t>
      </w:r>
      <w:r w:rsidRPr="00FF3FE2">
        <w:rPr>
          <w:color w:val="000000"/>
        </w:rPr>
        <w:t xml:space="preserve"> beyond KIMIA-216 to any shape dataset with heterogeneous frequency characteristics across classes which is the norm in real-world shape databases spanning biological and manufactured objects. Datasets with highly homogeneous categories may show smaller APCFW gains because wavelet selection converges to the same choice for all classes.</w:t>
      </w:r>
    </w:p>
    <w:p w14:paraId="3308CE7B" w14:textId="7E3A6B5D" w:rsidR="00B732AE" w:rsidRPr="00FF3FE2" w:rsidRDefault="00000000">
      <w:pPr>
        <w:pStyle w:val="Heading2"/>
        <w:rPr>
          <w:rFonts w:ascii="Times New Roman" w:hAnsi="Times New Roman" w:cs="Times New Roman"/>
        </w:rPr>
      </w:pPr>
      <w:r w:rsidRPr="00FF3FE2">
        <w:rPr>
          <w:rFonts w:ascii="Times New Roman" w:hAnsi="Times New Roman" w:cs="Times New Roman"/>
        </w:rPr>
        <w:t>14.2 Topological Features Are Decisive for Structurally Complex Classes</w:t>
      </w:r>
    </w:p>
    <w:p w14:paraId="73E606EB" w14:textId="348682BB" w:rsidR="00B732AE" w:rsidRPr="00FF3FE2" w:rsidRDefault="00000000">
      <w:pPr>
        <w:spacing w:before="80" w:after="80" w:line="290" w:lineRule="auto"/>
        <w:ind w:firstLine="720"/>
        <w:jc w:val="both"/>
      </w:pPr>
      <w:r w:rsidRPr="00FF3FE2">
        <w:rPr>
          <w:color w:val="000000"/>
        </w:rPr>
        <w:t xml:space="preserve">While the aggregate accuracy gain from topological persistence (+1.85%) is modest, class-stratified analysis reveals a striking pattern. For the five topologically distinctive classes octopus, star, fork, guitar, and bone adding H₀+H₁ persistence features to the APCFW descriptor improves per-class 1-NN accuracy by an average of +8.3 percentage points. For the six globally simple, approximately convex classes, the improvement is +0.4 percentage points. This concentration precisely validates the theoretical prediction: persistent homology provides decisive discriminative information when shapes differ in topological complexity but are metrically ambiguous to spectral descriptors. In practical shape databases containing gears, biological specimens with internal structure, or </w:t>
      </w:r>
      <w:r w:rsidRPr="00FF3FE2">
        <w:rPr>
          <w:color w:val="000000"/>
        </w:rPr>
        <w:lastRenderedPageBreak/>
        <w:t>manufactured parts with holes and handles, the topological augmentation’s contribution would be proportionally larger than on KIMIA-216.</w:t>
      </w:r>
    </w:p>
    <w:p w14:paraId="5AA45516" w14:textId="594C158E" w:rsidR="00B732AE" w:rsidRPr="00FF3FE2" w:rsidRDefault="00000000">
      <w:pPr>
        <w:pStyle w:val="Heading2"/>
        <w:rPr>
          <w:rFonts w:ascii="Times New Roman" w:hAnsi="Times New Roman" w:cs="Times New Roman"/>
        </w:rPr>
      </w:pPr>
      <w:r w:rsidRPr="00FF3FE2">
        <w:rPr>
          <w:rFonts w:ascii="Times New Roman" w:hAnsi="Times New Roman" w:cs="Times New Roman"/>
        </w:rPr>
        <w:t>14.3 Computational Cost Analysis</w:t>
      </w:r>
    </w:p>
    <w:p w14:paraId="6D612699" w14:textId="109CC5F1" w:rsidR="00B732AE" w:rsidRPr="00FF3FE2" w:rsidRDefault="00000000">
      <w:pPr>
        <w:spacing w:before="80" w:after="80" w:line="290" w:lineRule="auto"/>
        <w:ind w:firstLine="720"/>
        <w:jc w:val="both"/>
      </w:pPr>
      <w:r w:rsidRPr="00FF3FE2">
        <w:rPr>
          <w:color w:val="000000"/>
        </w:rPr>
        <w:t xml:space="preserve">The dominant computational cost is persistent homology via </w:t>
      </w:r>
      <w:proofErr w:type="spellStart"/>
      <w:r w:rsidRPr="00FF3FE2">
        <w:rPr>
          <w:color w:val="000000"/>
        </w:rPr>
        <w:t>Ripser</w:t>
      </w:r>
      <w:proofErr w:type="spellEnd"/>
      <w:r w:rsidRPr="00FF3FE2">
        <w:rPr>
          <w:color w:val="000000"/>
        </w:rPr>
        <w:t xml:space="preserve">, requiring approximately 0.31 seconds per </w:t>
      </w:r>
      <w:proofErr w:type="spellStart"/>
      <w:r w:rsidRPr="00FF3FE2">
        <w:rPr>
          <w:color w:val="000000"/>
        </w:rPr>
        <w:t>shape</w:t>
      </w:r>
      <w:proofErr w:type="spellEnd"/>
      <w:r w:rsidRPr="00FF3FE2">
        <w:rPr>
          <w:color w:val="000000"/>
        </w:rPr>
        <w:t xml:space="preserve"> on a single CPU core for the 251-point time-delay embedded point cloud. The full AMST descriptor extraction requires approximately 0.8 seconds per </w:t>
      </w:r>
      <w:proofErr w:type="spellStart"/>
      <w:r w:rsidRPr="00FF3FE2">
        <w:rPr>
          <w:color w:val="000000"/>
        </w:rPr>
        <w:t>shape</w:t>
      </w:r>
      <w:proofErr w:type="spellEnd"/>
      <w:r w:rsidRPr="00FF3FE2">
        <w:rPr>
          <w:color w:val="000000"/>
        </w:rPr>
        <w:t xml:space="preserve">, compared to ~0.02 seconds for Fourier-only and ~0.08 seconds for Shape Context. For KIMIA-216 (216 images), full feature extraction completes in approximately 2.9 minutes a one-time offline cost inconsequential for retrieval. For large-scale databases (&gt;100,000 images), approximate persistent homology algorithms via the </w:t>
      </w:r>
      <w:proofErr w:type="spellStart"/>
      <w:r w:rsidRPr="00FF3FE2">
        <w:rPr>
          <w:color w:val="000000"/>
        </w:rPr>
        <w:t>Gudhi</w:t>
      </w:r>
      <w:proofErr w:type="spellEnd"/>
      <w:r w:rsidRPr="00FF3FE2">
        <w:rPr>
          <w:color w:val="000000"/>
        </w:rPr>
        <w:t xml:space="preserve"> library [42] or GPU-accelerated </w:t>
      </w:r>
      <w:proofErr w:type="spellStart"/>
      <w:r w:rsidRPr="00FF3FE2">
        <w:rPr>
          <w:color w:val="000000"/>
        </w:rPr>
        <w:t>Ripser</w:t>
      </w:r>
      <w:proofErr w:type="spellEnd"/>
      <w:r w:rsidRPr="00FF3FE2">
        <w:rPr>
          <w:color w:val="000000"/>
        </w:rPr>
        <w:t xml:space="preserve"> variants would reduce per-shape cost to &lt;0.05 seconds. The APCFW and SPD components scale as O(N log N) (FFT) and O(d³) (matrix logarithm </w:t>
      </w:r>
      <w:proofErr w:type="spellStart"/>
      <w:r w:rsidRPr="00FF3FE2">
        <w:rPr>
          <w:color w:val="000000"/>
        </w:rPr>
        <w:t>for d</w:t>
      </w:r>
      <w:proofErr w:type="spellEnd"/>
      <w:r w:rsidRPr="00FF3FE2">
        <w:rPr>
          <w:color w:val="000000"/>
        </w:rPr>
        <w:t>×d SPD), which are negligible relative to the topological computation.</w:t>
      </w:r>
    </w:p>
    <w:p w14:paraId="4312B437" w14:textId="69625B81" w:rsidR="00B732AE" w:rsidRPr="00FF3FE2" w:rsidRDefault="00000000">
      <w:pPr>
        <w:pStyle w:val="Heading2"/>
        <w:rPr>
          <w:rFonts w:ascii="Times New Roman" w:hAnsi="Times New Roman" w:cs="Times New Roman"/>
        </w:rPr>
      </w:pPr>
      <w:r w:rsidRPr="00FF3FE2">
        <w:rPr>
          <w:rFonts w:ascii="Times New Roman" w:hAnsi="Times New Roman" w:cs="Times New Roman"/>
        </w:rPr>
        <w:t>14.4 Limitations and Scope</w:t>
      </w:r>
    </w:p>
    <w:p w14:paraId="3F988CE7" w14:textId="6AD3B60D" w:rsidR="00B732AE" w:rsidRPr="00FF3FE2" w:rsidRDefault="00000000">
      <w:pPr>
        <w:spacing w:before="80" w:after="80" w:line="290" w:lineRule="auto"/>
        <w:ind w:firstLine="720"/>
        <w:jc w:val="both"/>
      </w:pPr>
      <w:r w:rsidRPr="00FF3FE2">
        <w:rPr>
          <w:color w:val="000000"/>
        </w:rPr>
        <w:t xml:space="preserve">Four limitations of the current AMST framework merit acknowledgment. First, AMST operates on pre-extracted binary boundary contours and depends on the quality of prior segmentation; images with poorly defined or multiply-connected boundaries require front-end processing not evaluated here. Second, the SPD embedding uses a fixed 12×12 matrix dimension; adaptive dimension selection could improve performance for descriptors of different effective dimensionality. Third, sparse attention is learned via coordinate ascent with no global convergence guarantee; a differentiable surrogate objective enabling gradient-based </w:t>
      </w:r>
      <w:r w:rsidR="001B04A8" w:rsidRPr="00FF3FE2">
        <w:rPr>
          <w:color w:val="000000"/>
        </w:rPr>
        <w:t>optimization</w:t>
      </w:r>
      <w:r w:rsidRPr="00FF3FE2">
        <w:rPr>
          <w:color w:val="000000"/>
        </w:rPr>
        <w:t xml:space="preserve"> would be more principled. Fourth, evaluation is limited to KIMIA-216; validation on MPEG-7 CE-Shape-1 (1,400 images, 70 classes), ETH-80 (3,280 images, 8 object categories with 3D pose variation), and ModelNet40 (3D point clouds) is required to establish broader </w:t>
      </w:r>
      <w:r w:rsidR="001B04A8" w:rsidRPr="00FF3FE2">
        <w:rPr>
          <w:color w:val="000000"/>
        </w:rPr>
        <w:t>generalizability</w:t>
      </w:r>
      <w:r w:rsidRPr="00FF3FE2">
        <w:rPr>
          <w:color w:val="000000"/>
        </w:rPr>
        <w:t>.</w:t>
      </w:r>
    </w:p>
    <w:p w14:paraId="5A625B79" w14:textId="56FC0768" w:rsidR="00B732AE" w:rsidRPr="00FF3FE2" w:rsidRDefault="00000000">
      <w:pPr>
        <w:pStyle w:val="Heading1"/>
        <w:pBdr>
          <w:bottom w:val="single" w:sz="8" w:space="4" w:color="1A3A6B"/>
        </w:pBdr>
        <w:rPr>
          <w:rFonts w:ascii="Times New Roman" w:hAnsi="Times New Roman" w:cs="Times New Roman"/>
        </w:rPr>
      </w:pPr>
      <w:r w:rsidRPr="00FF3FE2">
        <w:rPr>
          <w:rFonts w:ascii="Times New Roman" w:hAnsi="Times New Roman" w:cs="Times New Roman"/>
        </w:rPr>
        <w:t>15. CONCLUSION</w:t>
      </w:r>
    </w:p>
    <w:p w14:paraId="0A5C1DD5" w14:textId="1006EBC7" w:rsidR="00B732AE" w:rsidRPr="00FF3FE2" w:rsidRDefault="00000000">
      <w:pPr>
        <w:spacing w:before="80" w:after="80" w:line="290" w:lineRule="auto"/>
        <w:ind w:firstLine="720"/>
        <w:jc w:val="both"/>
      </w:pPr>
      <w:r w:rsidRPr="00FF3FE2">
        <w:rPr>
          <w:color w:val="000000"/>
        </w:rPr>
        <w:t>This paper introduced the Adaptive Multiscale Spectro-Topological (AMST) shape descriptor a unified, theoretically grounded framework for 2D binary shape recognition that addresses four fundamental structural limitations of existing spectral and geometric descriptors within a single jointly designed pipeline. The four mutually reinforcing contributions Adaptive Phase-Coherent Fourier–Wavelet Fusion (C1), Topological Persistence Augmentation (C2), SPD Riemannian Manifold Embedding (C3), and Sparse Multi-Head Frequency Attention (C4) form a coherent representational chain where each stage exploits the enrichment provided by its predecessors.</w:t>
      </w:r>
    </w:p>
    <w:p w14:paraId="0AF124F0" w14:textId="50286126" w:rsidR="00B732AE" w:rsidRPr="00FF3FE2" w:rsidRDefault="00000000">
      <w:pPr>
        <w:spacing w:before="80" w:after="80" w:line="290" w:lineRule="auto"/>
        <w:ind w:firstLine="720"/>
        <w:jc w:val="both"/>
      </w:pPr>
      <w:r w:rsidRPr="00FF3FE2">
        <w:rPr>
          <w:color w:val="000000"/>
        </w:rPr>
        <w:t>On KIMIA-216 under five-fold cross-validation, AMST achieves 92.59 ± 0.67% 1-NN accuracy, 95.83 ± 0.41% SVM-RBF accuracy, and MAP@10 = 91.27%, outperforming all five baseline descriptors on every evaluation axis with statistical significance (p &lt; 0.05). Ablation confirms that every component delivers a statistically significant incremental gain. Robustness experiments demonstrate AMST retaining 84.26% accuracy at Gaussian noise σ = 40 and 81.30% at 30% occlusion advantages directly predicted by the formal stability guarantees proven in Section 9.</w:t>
      </w:r>
    </w:p>
    <w:p w14:paraId="6022B346" w14:textId="77777777" w:rsidR="00B732AE" w:rsidRPr="00FF3FE2" w:rsidRDefault="00000000">
      <w:pPr>
        <w:spacing w:before="80" w:after="80" w:line="290" w:lineRule="auto"/>
        <w:ind w:firstLine="720"/>
        <w:jc w:val="both"/>
      </w:pPr>
      <w:r w:rsidRPr="00FF3FE2">
        <w:rPr>
          <w:color w:val="000000"/>
        </w:rPr>
        <w:t xml:space="preserve">The primary theoretical contribution is the first joint formal guarantee of rotation–translation–scale invariance, </w:t>
      </w:r>
      <w:proofErr w:type="spellStart"/>
      <w:r w:rsidRPr="00FF3FE2">
        <w:rPr>
          <w:color w:val="000000"/>
        </w:rPr>
        <w:t>Hausdorff</w:t>
      </w:r>
      <w:proofErr w:type="spellEnd"/>
      <w:r w:rsidRPr="00FF3FE2">
        <w:rPr>
          <w:color w:val="000000"/>
        </w:rPr>
        <w:t xml:space="preserve">-noise topological stability, and affine covariance within a single shape descriptor framework. These guarantees directly predict the robustness advantages observed experimentally and provide a principled foundation for extension to more challenging shape recognition scenarios. Priority directions for future work are: validation on MPEG-7 CE-Shape-1, ETH-80, and ModelNet40; extension to 3D shape analysis through volumetric </w:t>
      </w:r>
      <w:r w:rsidRPr="00FF3FE2">
        <w:rPr>
          <w:color w:val="000000"/>
        </w:rPr>
        <w:lastRenderedPageBreak/>
        <w:t>curvature filtrations; integration with learned descriptors via late-fusion exploiting AMST’s guaranteed out-of-distribution robustness; and GPU-efficient implementation for large-scale retrieval deployment.</w:t>
      </w:r>
    </w:p>
    <w:p w14:paraId="2E446517" w14:textId="77777777" w:rsidR="00B732AE" w:rsidRPr="00FF3FE2" w:rsidRDefault="00000000">
      <w:pPr>
        <w:pStyle w:val="Heading1"/>
        <w:pBdr>
          <w:bottom w:val="single" w:sz="8" w:space="4" w:color="1A3A6B"/>
        </w:pBdr>
        <w:rPr>
          <w:rFonts w:ascii="Times New Roman" w:hAnsi="Times New Roman" w:cs="Times New Roman"/>
        </w:rPr>
      </w:pPr>
      <w:r w:rsidRPr="00FF3FE2">
        <w:rPr>
          <w:rFonts w:ascii="Times New Roman" w:hAnsi="Times New Roman" w:cs="Times New Roman"/>
        </w:rPr>
        <w:t>APPENDIX: COMPLETE IMPLEMENTATION PARAMETERS</w:t>
      </w:r>
    </w:p>
    <w:p w14:paraId="10E6E2F9" w14:textId="77777777" w:rsidR="00B732AE" w:rsidRPr="00FF3FE2" w:rsidRDefault="00000000">
      <w:pPr>
        <w:spacing w:before="160" w:after="80"/>
        <w:jc w:val="center"/>
      </w:pPr>
      <w:r w:rsidRPr="00FF3FE2">
        <w:rPr>
          <w:b/>
          <w:bCs/>
          <w:color w:val="000000"/>
          <w:sz w:val="20"/>
          <w:szCs w:val="20"/>
        </w:rPr>
        <w:t>Table 4. Full implementation and hyperparameter specification for the AMST pipeline.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6280"/>
      </w:tblGrid>
      <w:tr w:rsidR="00B732AE" w:rsidRPr="00FF3FE2" w14:paraId="265F969C" w14:textId="77777777">
        <w:tblPrEx>
          <w:tblCellMar>
            <w:top w:w="0" w:type="dxa"/>
            <w:bottom w:w="0" w:type="dxa"/>
          </w:tblCellMar>
        </w:tblPrEx>
        <w:tc>
          <w:tcPr>
            <w:tcW w:w="3800" w:type="dxa"/>
            <w:tcBorders>
              <w:top w:val="single" w:sz="3" w:space="0" w:color="BBBBBB"/>
              <w:left w:val="single" w:sz="3" w:space="0" w:color="BBBBBB"/>
              <w:bottom w:val="single" w:sz="3" w:space="0" w:color="BBBBBB"/>
              <w:right w:val="single" w:sz="3" w:space="0" w:color="BBBBBB"/>
            </w:tcBorders>
            <w:shd w:val="clear" w:color="auto" w:fill="1A3A6B"/>
            <w:tcMar>
              <w:top w:w="80" w:type="dxa"/>
              <w:left w:w="130" w:type="dxa"/>
              <w:bottom w:w="80" w:type="dxa"/>
              <w:right w:w="130" w:type="dxa"/>
            </w:tcMar>
            <w:vAlign w:val="center"/>
          </w:tcPr>
          <w:p w14:paraId="049E261B" w14:textId="77777777" w:rsidR="00B732AE" w:rsidRPr="00FF3FE2" w:rsidRDefault="00000000">
            <w:pPr>
              <w:spacing w:before="40" w:after="40"/>
              <w:jc w:val="center"/>
            </w:pPr>
            <w:r w:rsidRPr="00FF3FE2">
              <w:rPr>
                <w:b/>
                <w:bCs/>
                <w:color w:val="FFFFFF"/>
                <w:sz w:val="18"/>
                <w:szCs w:val="18"/>
              </w:rPr>
              <w:t>Parameter / Component</w:t>
            </w:r>
          </w:p>
        </w:tc>
        <w:tc>
          <w:tcPr>
            <w:tcW w:w="6280" w:type="dxa"/>
            <w:tcBorders>
              <w:top w:val="single" w:sz="3" w:space="0" w:color="BBBBBB"/>
              <w:left w:val="single" w:sz="3" w:space="0" w:color="BBBBBB"/>
              <w:bottom w:val="single" w:sz="3" w:space="0" w:color="BBBBBB"/>
              <w:right w:val="single" w:sz="3" w:space="0" w:color="BBBBBB"/>
            </w:tcBorders>
            <w:shd w:val="clear" w:color="auto" w:fill="1A3A6B"/>
            <w:tcMar>
              <w:top w:w="80" w:type="dxa"/>
              <w:left w:w="130" w:type="dxa"/>
              <w:bottom w:w="80" w:type="dxa"/>
              <w:right w:w="130" w:type="dxa"/>
            </w:tcMar>
            <w:vAlign w:val="center"/>
          </w:tcPr>
          <w:p w14:paraId="42287D66" w14:textId="77777777" w:rsidR="00B732AE" w:rsidRPr="00FF3FE2" w:rsidRDefault="00000000">
            <w:pPr>
              <w:spacing w:before="40" w:after="40"/>
              <w:jc w:val="center"/>
            </w:pPr>
            <w:r w:rsidRPr="00FF3FE2">
              <w:rPr>
                <w:b/>
                <w:bCs/>
                <w:color w:val="FFFFFF"/>
                <w:sz w:val="18"/>
                <w:szCs w:val="18"/>
              </w:rPr>
              <w:t>Full Specification</w:t>
            </w:r>
          </w:p>
        </w:tc>
      </w:tr>
      <w:tr w:rsidR="00B732AE" w:rsidRPr="00FF3FE2" w14:paraId="1CB5AC12" w14:textId="77777777">
        <w:tblPrEx>
          <w:tblCellMar>
            <w:top w:w="0" w:type="dxa"/>
            <w:bottom w:w="0" w:type="dxa"/>
          </w:tblCellMar>
        </w:tblPrEx>
        <w:tc>
          <w:tcPr>
            <w:tcW w:w="3800" w:type="dxa"/>
            <w:tcBorders>
              <w:top w:val="single" w:sz="3" w:space="0" w:color="BBBBBB"/>
              <w:left w:val="single" w:sz="3" w:space="0" w:color="BBBBBB"/>
              <w:bottom w:val="single" w:sz="3" w:space="0" w:color="BBBBBB"/>
              <w:right w:val="single" w:sz="3" w:space="0" w:color="BBBBBB"/>
            </w:tcBorders>
            <w:shd w:val="clear" w:color="auto" w:fill="F5F5F5"/>
            <w:tcMar>
              <w:top w:w="80" w:type="dxa"/>
              <w:left w:w="130" w:type="dxa"/>
              <w:bottom w:w="80" w:type="dxa"/>
              <w:right w:w="130" w:type="dxa"/>
            </w:tcMar>
            <w:vAlign w:val="center"/>
          </w:tcPr>
          <w:p w14:paraId="3C21AF5F" w14:textId="77777777" w:rsidR="00B732AE" w:rsidRPr="00FF3FE2" w:rsidRDefault="00000000">
            <w:pPr>
              <w:spacing w:before="40" w:after="40"/>
            </w:pPr>
            <w:r w:rsidRPr="00FF3FE2">
              <w:rPr>
                <w:color w:val="111111"/>
                <w:sz w:val="17"/>
                <w:szCs w:val="17"/>
              </w:rPr>
              <w:t>Contour resampling (N)</w:t>
            </w:r>
          </w:p>
        </w:tc>
        <w:tc>
          <w:tcPr>
            <w:tcW w:w="6280" w:type="dxa"/>
            <w:tcBorders>
              <w:top w:val="single" w:sz="3" w:space="0" w:color="BBBBBB"/>
              <w:left w:val="single" w:sz="3" w:space="0" w:color="BBBBBB"/>
              <w:bottom w:val="single" w:sz="3" w:space="0" w:color="BBBBBB"/>
              <w:right w:val="single" w:sz="3" w:space="0" w:color="BBBBBB"/>
            </w:tcBorders>
            <w:shd w:val="clear" w:color="auto" w:fill="F5F5F5"/>
            <w:tcMar>
              <w:top w:w="80" w:type="dxa"/>
              <w:left w:w="130" w:type="dxa"/>
              <w:bottom w:w="80" w:type="dxa"/>
              <w:right w:w="130" w:type="dxa"/>
            </w:tcMar>
            <w:vAlign w:val="center"/>
          </w:tcPr>
          <w:p w14:paraId="73519B09" w14:textId="53560B43" w:rsidR="00B732AE" w:rsidRPr="00FF3FE2" w:rsidRDefault="00000000">
            <w:pPr>
              <w:spacing w:before="40" w:after="40"/>
            </w:pPr>
            <w:r w:rsidRPr="00FF3FE2">
              <w:rPr>
                <w:color w:val="111111"/>
                <w:sz w:val="17"/>
                <w:szCs w:val="17"/>
              </w:rPr>
              <w:t xml:space="preserve">256 points, uniform arc-length </w:t>
            </w:r>
            <w:r w:rsidR="001B04A8" w:rsidRPr="00FF3FE2">
              <w:rPr>
                <w:color w:val="111111"/>
                <w:sz w:val="17"/>
                <w:szCs w:val="17"/>
              </w:rPr>
              <w:t>parameterization</w:t>
            </w:r>
            <w:r w:rsidRPr="00FF3FE2">
              <w:rPr>
                <w:color w:val="111111"/>
                <w:sz w:val="17"/>
                <w:szCs w:val="17"/>
              </w:rPr>
              <w:t>, piecewise linear interpolation</w:t>
            </w:r>
          </w:p>
        </w:tc>
      </w:tr>
      <w:tr w:rsidR="00B732AE" w:rsidRPr="00FF3FE2" w14:paraId="65A88196" w14:textId="77777777">
        <w:tblPrEx>
          <w:tblCellMar>
            <w:top w:w="0" w:type="dxa"/>
            <w:bottom w:w="0" w:type="dxa"/>
          </w:tblCellMar>
        </w:tblPrEx>
        <w:tc>
          <w:tcPr>
            <w:tcW w:w="380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0096F580" w14:textId="77777777" w:rsidR="00B732AE" w:rsidRPr="00FF3FE2" w:rsidRDefault="00000000">
            <w:pPr>
              <w:spacing w:before="40" w:after="40"/>
            </w:pPr>
            <w:r w:rsidRPr="00FF3FE2">
              <w:rPr>
                <w:color w:val="111111"/>
                <w:sz w:val="17"/>
                <w:szCs w:val="17"/>
              </w:rPr>
              <w:t>Fourier harmonics (K_F)</w:t>
            </w:r>
          </w:p>
        </w:tc>
        <w:tc>
          <w:tcPr>
            <w:tcW w:w="628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3A54E380" w14:textId="77777777" w:rsidR="00B732AE" w:rsidRPr="00FF3FE2" w:rsidRDefault="00000000">
            <w:pPr>
              <w:spacing w:before="40" w:after="40"/>
            </w:pPr>
            <w:r w:rsidRPr="00FF3FE2">
              <w:rPr>
                <w:color w:val="111111"/>
                <w:sz w:val="17"/>
                <w:szCs w:val="17"/>
              </w:rPr>
              <w:t>32 complex harmonics; DC excluded; 31-dim magnitude + 8-dim phase descriptor</w:t>
            </w:r>
          </w:p>
        </w:tc>
      </w:tr>
      <w:tr w:rsidR="00B732AE" w:rsidRPr="00FF3FE2" w14:paraId="49AF5FA7" w14:textId="77777777">
        <w:tblPrEx>
          <w:tblCellMar>
            <w:top w:w="0" w:type="dxa"/>
            <w:bottom w:w="0" w:type="dxa"/>
          </w:tblCellMar>
        </w:tblPrEx>
        <w:tc>
          <w:tcPr>
            <w:tcW w:w="3800" w:type="dxa"/>
            <w:tcBorders>
              <w:top w:val="single" w:sz="3" w:space="0" w:color="BBBBBB"/>
              <w:left w:val="single" w:sz="3" w:space="0" w:color="BBBBBB"/>
              <w:bottom w:val="single" w:sz="3" w:space="0" w:color="BBBBBB"/>
              <w:right w:val="single" w:sz="3" w:space="0" w:color="BBBBBB"/>
            </w:tcBorders>
            <w:shd w:val="clear" w:color="auto" w:fill="F5F5F5"/>
            <w:tcMar>
              <w:top w:w="80" w:type="dxa"/>
              <w:left w:w="130" w:type="dxa"/>
              <w:bottom w:w="80" w:type="dxa"/>
              <w:right w:w="130" w:type="dxa"/>
            </w:tcMar>
            <w:vAlign w:val="center"/>
          </w:tcPr>
          <w:p w14:paraId="0C8045DD" w14:textId="77777777" w:rsidR="00B732AE" w:rsidRPr="00FF3FE2" w:rsidRDefault="00000000">
            <w:pPr>
              <w:spacing w:before="40" w:after="40"/>
            </w:pPr>
            <w:r w:rsidRPr="00FF3FE2">
              <w:rPr>
                <w:color w:val="111111"/>
                <w:sz w:val="17"/>
                <w:szCs w:val="17"/>
              </w:rPr>
              <w:t>Dominant harmonic n*</w:t>
            </w:r>
          </w:p>
        </w:tc>
        <w:tc>
          <w:tcPr>
            <w:tcW w:w="6280" w:type="dxa"/>
            <w:tcBorders>
              <w:top w:val="single" w:sz="3" w:space="0" w:color="BBBBBB"/>
              <w:left w:val="single" w:sz="3" w:space="0" w:color="BBBBBB"/>
              <w:bottom w:val="single" w:sz="3" w:space="0" w:color="BBBBBB"/>
              <w:right w:val="single" w:sz="3" w:space="0" w:color="BBBBBB"/>
            </w:tcBorders>
            <w:shd w:val="clear" w:color="auto" w:fill="F5F5F5"/>
            <w:tcMar>
              <w:top w:w="80" w:type="dxa"/>
              <w:left w:w="130" w:type="dxa"/>
              <w:bottom w:w="80" w:type="dxa"/>
              <w:right w:w="130" w:type="dxa"/>
            </w:tcMar>
            <w:vAlign w:val="center"/>
          </w:tcPr>
          <w:p w14:paraId="3004F81E" w14:textId="77777777" w:rsidR="00B732AE" w:rsidRPr="00FF3FE2" w:rsidRDefault="00000000">
            <w:pPr>
              <w:spacing w:before="40" w:after="40"/>
            </w:pPr>
            <w:r w:rsidRPr="00FF3FE2">
              <w:rPr>
                <w:color w:val="111111"/>
                <w:sz w:val="17"/>
                <w:szCs w:val="17"/>
              </w:rPr>
              <w:t>argmax_{n=1}^{32} |</w:t>
            </w:r>
            <w:proofErr w:type="spellStart"/>
            <w:r w:rsidRPr="00FF3FE2">
              <w:rPr>
                <w:color w:val="111111"/>
                <w:sz w:val="17"/>
                <w:szCs w:val="17"/>
              </w:rPr>
              <w:t>Z_n</w:t>
            </w:r>
            <w:proofErr w:type="spellEnd"/>
            <w:r w:rsidRPr="00FF3FE2">
              <w:rPr>
                <w:color w:val="111111"/>
                <w:sz w:val="17"/>
                <w:szCs w:val="17"/>
              </w:rPr>
              <w:t>|; frequency ratio ρ = n*/32</w:t>
            </w:r>
          </w:p>
        </w:tc>
      </w:tr>
      <w:tr w:rsidR="00B732AE" w:rsidRPr="00FF3FE2" w14:paraId="2E7DA910" w14:textId="77777777">
        <w:tblPrEx>
          <w:tblCellMar>
            <w:top w:w="0" w:type="dxa"/>
            <w:bottom w:w="0" w:type="dxa"/>
          </w:tblCellMar>
        </w:tblPrEx>
        <w:tc>
          <w:tcPr>
            <w:tcW w:w="380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67F571D1" w14:textId="77777777" w:rsidR="00B732AE" w:rsidRPr="00FF3FE2" w:rsidRDefault="00000000">
            <w:pPr>
              <w:spacing w:before="40" w:after="40"/>
            </w:pPr>
            <w:r w:rsidRPr="00FF3FE2">
              <w:rPr>
                <w:color w:val="111111"/>
                <w:sz w:val="17"/>
                <w:szCs w:val="17"/>
              </w:rPr>
              <w:t>Wavelet selection rule</w:t>
            </w:r>
          </w:p>
        </w:tc>
        <w:tc>
          <w:tcPr>
            <w:tcW w:w="628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4E1C4B32" w14:textId="77777777" w:rsidR="00B732AE" w:rsidRPr="00FF3FE2" w:rsidRDefault="00000000">
            <w:pPr>
              <w:spacing w:before="40" w:after="40"/>
            </w:pPr>
            <w:r w:rsidRPr="00FF3FE2">
              <w:rPr>
                <w:color w:val="111111"/>
                <w:sz w:val="17"/>
                <w:szCs w:val="17"/>
              </w:rPr>
              <w:t xml:space="preserve">db4 (ρ &lt; 0.10), db2 (0.10 ≤ ρ &lt; 0.25), Haar (ρ ≥ 0.25) — </w:t>
            </w:r>
            <w:proofErr w:type="spellStart"/>
            <w:r w:rsidRPr="00FF3FE2">
              <w:rPr>
                <w:color w:val="111111"/>
                <w:sz w:val="17"/>
                <w:szCs w:val="17"/>
              </w:rPr>
              <w:t>PyWavelets</w:t>
            </w:r>
            <w:proofErr w:type="spellEnd"/>
            <w:r w:rsidRPr="00FF3FE2">
              <w:rPr>
                <w:color w:val="111111"/>
                <w:sz w:val="17"/>
                <w:szCs w:val="17"/>
              </w:rPr>
              <w:t xml:space="preserve"> library</w:t>
            </w:r>
          </w:p>
        </w:tc>
      </w:tr>
      <w:tr w:rsidR="00B732AE" w:rsidRPr="00FF3FE2" w14:paraId="7944777C" w14:textId="77777777">
        <w:tblPrEx>
          <w:tblCellMar>
            <w:top w:w="0" w:type="dxa"/>
            <w:bottom w:w="0" w:type="dxa"/>
          </w:tblCellMar>
        </w:tblPrEx>
        <w:tc>
          <w:tcPr>
            <w:tcW w:w="3800" w:type="dxa"/>
            <w:tcBorders>
              <w:top w:val="single" w:sz="3" w:space="0" w:color="BBBBBB"/>
              <w:left w:val="single" w:sz="3" w:space="0" w:color="BBBBBB"/>
              <w:bottom w:val="single" w:sz="3" w:space="0" w:color="BBBBBB"/>
              <w:right w:val="single" w:sz="3" w:space="0" w:color="BBBBBB"/>
            </w:tcBorders>
            <w:shd w:val="clear" w:color="auto" w:fill="F5F5F5"/>
            <w:tcMar>
              <w:top w:w="80" w:type="dxa"/>
              <w:left w:w="130" w:type="dxa"/>
              <w:bottom w:w="80" w:type="dxa"/>
              <w:right w:w="130" w:type="dxa"/>
            </w:tcMar>
            <w:vAlign w:val="center"/>
          </w:tcPr>
          <w:p w14:paraId="25CB93DF" w14:textId="77777777" w:rsidR="00B732AE" w:rsidRPr="00FF3FE2" w:rsidRDefault="00000000">
            <w:pPr>
              <w:spacing w:before="40" w:after="40"/>
            </w:pPr>
            <w:r w:rsidRPr="00FF3FE2">
              <w:rPr>
                <w:color w:val="111111"/>
                <w:sz w:val="17"/>
                <w:szCs w:val="17"/>
              </w:rPr>
              <w:t>Wavelet levels (L)</w:t>
            </w:r>
          </w:p>
        </w:tc>
        <w:tc>
          <w:tcPr>
            <w:tcW w:w="6280" w:type="dxa"/>
            <w:tcBorders>
              <w:top w:val="single" w:sz="3" w:space="0" w:color="BBBBBB"/>
              <w:left w:val="single" w:sz="3" w:space="0" w:color="BBBBBB"/>
              <w:bottom w:val="single" w:sz="3" w:space="0" w:color="BBBBBB"/>
              <w:right w:val="single" w:sz="3" w:space="0" w:color="BBBBBB"/>
            </w:tcBorders>
            <w:shd w:val="clear" w:color="auto" w:fill="F5F5F5"/>
            <w:tcMar>
              <w:top w:w="80" w:type="dxa"/>
              <w:left w:w="130" w:type="dxa"/>
              <w:bottom w:w="80" w:type="dxa"/>
              <w:right w:w="130" w:type="dxa"/>
            </w:tcMar>
            <w:vAlign w:val="center"/>
          </w:tcPr>
          <w:p w14:paraId="0DF48950" w14:textId="77777777" w:rsidR="00B732AE" w:rsidRPr="00FF3FE2" w:rsidRDefault="00000000">
            <w:pPr>
              <w:spacing w:before="40" w:after="40"/>
            </w:pPr>
            <w:r w:rsidRPr="00FF3FE2">
              <w:rPr>
                <w:color w:val="111111"/>
                <w:sz w:val="17"/>
                <w:szCs w:val="17"/>
              </w:rPr>
              <w:t xml:space="preserve">min(6, </w:t>
            </w:r>
            <w:r w:rsidRPr="00FF3FE2">
              <w:rPr>
                <w:rFonts w:ascii="Cambria Math" w:hAnsi="Cambria Math" w:cs="Cambria Math"/>
                <w:color w:val="111111"/>
                <w:sz w:val="17"/>
                <w:szCs w:val="17"/>
              </w:rPr>
              <w:t>⌊</w:t>
            </w:r>
            <w:r w:rsidRPr="00FF3FE2">
              <w:rPr>
                <w:color w:val="111111"/>
                <w:sz w:val="17"/>
                <w:szCs w:val="17"/>
              </w:rPr>
              <w:t>log₂(N/|ψ|)</w:t>
            </w:r>
            <w:r w:rsidRPr="00FF3FE2">
              <w:rPr>
                <w:rFonts w:ascii="Cambria Math" w:hAnsi="Cambria Math" w:cs="Cambria Math"/>
                <w:color w:val="111111"/>
                <w:sz w:val="17"/>
                <w:szCs w:val="17"/>
              </w:rPr>
              <w:t>⌋</w:t>
            </w:r>
            <w:r w:rsidRPr="00FF3FE2">
              <w:rPr>
                <w:color w:val="111111"/>
                <w:sz w:val="17"/>
                <w:szCs w:val="17"/>
              </w:rPr>
              <w:t>); maximum admissible level for selected wavelet</w:t>
            </w:r>
          </w:p>
        </w:tc>
      </w:tr>
      <w:tr w:rsidR="00B732AE" w:rsidRPr="00FF3FE2" w14:paraId="5ED57C91" w14:textId="77777777">
        <w:tblPrEx>
          <w:tblCellMar>
            <w:top w:w="0" w:type="dxa"/>
            <w:bottom w:w="0" w:type="dxa"/>
          </w:tblCellMar>
        </w:tblPrEx>
        <w:tc>
          <w:tcPr>
            <w:tcW w:w="380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52A8BD71" w14:textId="77777777" w:rsidR="00B732AE" w:rsidRPr="00FF3FE2" w:rsidRDefault="00000000">
            <w:pPr>
              <w:spacing w:before="40" w:after="40"/>
            </w:pPr>
            <w:r w:rsidRPr="00FF3FE2">
              <w:rPr>
                <w:color w:val="111111"/>
                <w:sz w:val="17"/>
                <w:szCs w:val="17"/>
              </w:rPr>
              <w:t>Phase-coherent energy dims</w:t>
            </w:r>
          </w:p>
        </w:tc>
        <w:tc>
          <w:tcPr>
            <w:tcW w:w="628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2E787962" w14:textId="77777777" w:rsidR="00B732AE" w:rsidRPr="00FF3FE2" w:rsidRDefault="00000000">
            <w:pPr>
              <w:spacing w:before="40" w:after="40"/>
            </w:pPr>
            <w:r w:rsidRPr="00FF3FE2">
              <w:rPr>
                <w:color w:val="111111"/>
                <w:sz w:val="17"/>
                <w:szCs w:val="17"/>
              </w:rPr>
              <w:t>16 sub-bands; zero-padded if fewer levels available</w:t>
            </w:r>
          </w:p>
        </w:tc>
      </w:tr>
      <w:tr w:rsidR="00B732AE" w:rsidRPr="00FF3FE2" w14:paraId="2BD026BD" w14:textId="77777777">
        <w:tblPrEx>
          <w:tblCellMar>
            <w:top w:w="0" w:type="dxa"/>
            <w:bottom w:w="0" w:type="dxa"/>
          </w:tblCellMar>
        </w:tblPrEx>
        <w:tc>
          <w:tcPr>
            <w:tcW w:w="3800" w:type="dxa"/>
            <w:tcBorders>
              <w:top w:val="single" w:sz="3" w:space="0" w:color="BBBBBB"/>
              <w:left w:val="single" w:sz="3" w:space="0" w:color="BBBBBB"/>
              <w:bottom w:val="single" w:sz="3" w:space="0" w:color="BBBBBB"/>
              <w:right w:val="single" w:sz="3" w:space="0" w:color="BBBBBB"/>
            </w:tcBorders>
            <w:shd w:val="clear" w:color="auto" w:fill="F5F5F5"/>
            <w:tcMar>
              <w:top w:w="80" w:type="dxa"/>
              <w:left w:w="130" w:type="dxa"/>
              <w:bottom w:w="80" w:type="dxa"/>
              <w:right w:w="130" w:type="dxa"/>
            </w:tcMar>
            <w:vAlign w:val="center"/>
          </w:tcPr>
          <w:p w14:paraId="3F18A9F5" w14:textId="77777777" w:rsidR="00B732AE" w:rsidRPr="00FF3FE2" w:rsidRDefault="00000000">
            <w:pPr>
              <w:spacing w:before="40" w:after="40"/>
            </w:pPr>
            <w:r w:rsidRPr="00FF3FE2">
              <w:rPr>
                <w:color w:val="111111"/>
                <w:sz w:val="17"/>
                <w:szCs w:val="17"/>
              </w:rPr>
              <w:t>Phase-coherence mapping</w:t>
            </w:r>
          </w:p>
        </w:tc>
        <w:tc>
          <w:tcPr>
            <w:tcW w:w="6280" w:type="dxa"/>
            <w:tcBorders>
              <w:top w:val="single" w:sz="3" w:space="0" w:color="BBBBBB"/>
              <w:left w:val="single" w:sz="3" w:space="0" w:color="BBBBBB"/>
              <w:bottom w:val="single" w:sz="3" w:space="0" w:color="BBBBBB"/>
              <w:right w:val="single" w:sz="3" w:space="0" w:color="BBBBBB"/>
            </w:tcBorders>
            <w:shd w:val="clear" w:color="auto" w:fill="F5F5F5"/>
            <w:tcMar>
              <w:top w:w="80" w:type="dxa"/>
              <w:left w:w="130" w:type="dxa"/>
              <w:bottom w:w="80" w:type="dxa"/>
              <w:right w:w="130" w:type="dxa"/>
            </w:tcMar>
            <w:vAlign w:val="center"/>
          </w:tcPr>
          <w:p w14:paraId="303CE955" w14:textId="4E6BFB88" w:rsidR="00B732AE" w:rsidRPr="00FF3FE2" w:rsidRDefault="00000000">
            <w:pPr>
              <w:spacing w:before="40" w:after="40"/>
            </w:pPr>
            <w:r w:rsidRPr="00FF3FE2">
              <w:rPr>
                <w:color w:val="111111"/>
                <w:sz w:val="17"/>
                <w:szCs w:val="17"/>
              </w:rPr>
              <w:t>h(l) = min(l·</w:t>
            </w:r>
            <w:r w:rsidRPr="00FF3FE2">
              <w:rPr>
                <w:rFonts w:ascii="Cambria Math" w:hAnsi="Cambria Math" w:cs="Cambria Math"/>
                <w:color w:val="111111"/>
                <w:sz w:val="17"/>
                <w:szCs w:val="17"/>
              </w:rPr>
              <w:t>⌊</w:t>
            </w:r>
            <w:r w:rsidRPr="00FF3FE2">
              <w:rPr>
                <w:color w:val="111111"/>
                <w:sz w:val="17"/>
                <w:szCs w:val="17"/>
              </w:rPr>
              <w:t>n*/L</w:t>
            </w:r>
            <w:r w:rsidRPr="00FF3FE2">
              <w:rPr>
                <w:rFonts w:ascii="Cambria Math" w:hAnsi="Cambria Math" w:cs="Cambria Math"/>
                <w:color w:val="111111"/>
                <w:sz w:val="17"/>
                <w:szCs w:val="17"/>
              </w:rPr>
              <w:t>⌋</w:t>
            </w:r>
            <w:r w:rsidRPr="00FF3FE2">
              <w:rPr>
                <w:color w:val="111111"/>
                <w:sz w:val="17"/>
                <w:szCs w:val="17"/>
              </w:rPr>
              <w:t>+1, K_F−1); harmonic-to-</w:t>
            </w:r>
            <w:r w:rsidR="001B04A8" w:rsidRPr="00FF3FE2">
              <w:rPr>
                <w:color w:val="111111"/>
                <w:sz w:val="17"/>
                <w:szCs w:val="17"/>
              </w:rPr>
              <w:t>sub band</w:t>
            </w:r>
            <w:r w:rsidRPr="00FF3FE2">
              <w:rPr>
                <w:color w:val="111111"/>
                <w:sz w:val="17"/>
                <w:szCs w:val="17"/>
              </w:rPr>
              <w:t xml:space="preserve"> correspondence</w:t>
            </w:r>
          </w:p>
        </w:tc>
      </w:tr>
      <w:tr w:rsidR="00B732AE" w:rsidRPr="00FF3FE2" w14:paraId="1D166D7F" w14:textId="77777777">
        <w:tblPrEx>
          <w:tblCellMar>
            <w:top w:w="0" w:type="dxa"/>
            <w:bottom w:w="0" w:type="dxa"/>
          </w:tblCellMar>
        </w:tblPrEx>
        <w:tc>
          <w:tcPr>
            <w:tcW w:w="380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6B6AF7B9" w14:textId="77777777" w:rsidR="00B732AE" w:rsidRPr="00FF3FE2" w:rsidRDefault="00000000">
            <w:pPr>
              <w:spacing w:before="40" w:after="40"/>
            </w:pPr>
            <w:r w:rsidRPr="00FF3FE2">
              <w:rPr>
                <w:color w:val="111111"/>
                <w:sz w:val="17"/>
                <w:szCs w:val="17"/>
              </w:rPr>
              <w:t>Time-delay embedding lag (τ)</w:t>
            </w:r>
          </w:p>
        </w:tc>
        <w:tc>
          <w:tcPr>
            <w:tcW w:w="628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01AE76F6" w14:textId="77777777" w:rsidR="00B732AE" w:rsidRPr="00FF3FE2" w:rsidRDefault="00000000">
            <w:pPr>
              <w:spacing w:before="40" w:after="40"/>
            </w:pPr>
            <w:r w:rsidRPr="00FF3FE2">
              <w:rPr>
                <w:color w:val="111111"/>
                <w:sz w:val="17"/>
                <w:szCs w:val="17"/>
              </w:rPr>
              <w:t>5 samples; dimension 2; produces 251×2 point cloud from N=256 curvature signal</w:t>
            </w:r>
          </w:p>
        </w:tc>
      </w:tr>
      <w:tr w:rsidR="00B732AE" w:rsidRPr="00FF3FE2" w14:paraId="3252FA78" w14:textId="77777777">
        <w:tblPrEx>
          <w:tblCellMar>
            <w:top w:w="0" w:type="dxa"/>
            <w:bottom w:w="0" w:type="dxa"/>
          </w:tblCellMar>
        </w:tblPrEx>
        <w:tc>
          <w:tcPr>
            <w:tcW w:w="3800" w:type="dxa"/>
            <w:tcBorders>
              <w:top w:val="single" w:sz="3" w:space="0" w:color="BBBBBB"/>
              <w:left w:val="single" w:sz="3" w:space="0" w:color="BBBBBB"/>
              <w:bottom w:val="single" w:sz="3" w:space="0" w:color="BBBBBB"/>
              <w:right w:val="single" w:sz="3" w:space="0" w:color="BBBBBB"/>
            </w:tcBorders>
            <w:shd w:val="clear" w:color="auto" w:fill="F5F5F5"/>
            <w:tcMar>
              <w:top w:w="80" w:type="dxa"/>
              <w:left w:w="130" w:type="dxa"/>
              <w:bottom w:w="80" w:type="dxa"/>
              <w:right w:w="130" w:type="dxa"/>
            </w:tcMar>
            <w:vAlign w:val="center"/>
          </w:tcPr>
          <w:p w14:paraId="0073687A" w14:textId="77777777" w:rsidR="00B732AE" w:rsidRPr="00FF3FE2" w:rsidRDefault="00000000">
            <w:pPr>
              <w:spacing w:before="40" w:after="40"/>
            </w:pPr>
            <w:r w:rsidRPr="00FF3FE2">
              <w:rPr>
                <w:color w:val="111111"/>
                <w:sz w:val="17"/>
                <w:szCs w:val="17"/>
              </w:rPr>
              <w:t>Persistent homology software</w:t>
            </w:r>
          </w:p>
        </w:tc>
        <w:tc>
          <w:tcPr>
            <w:tcW w:w="6280" w:type="dxa"/>
            <w:tcBorders>
              <w:top w:val="single" w:sz="3" w:space="0" w:color="BBBBBB"/>
              <w:left w:val="single" w:sz="3" w:space="0" w:color="BBBBBB"/>
              <w:bottom w:val="single" w:sz="3" w:space="0" w:color="BBBBBB"/>
              <w:right w:val="single" w:sz="3" w:space="0" w:color="BBBBBB"/>
            </w:tcBorders>
            <w:shd w:val="clear" w:color="auto" w:fill="F5F5F5"/>
            <w:tcMar>
              <w:top w:w="80" w:type="dxa"/>
              <w:left w:w="130" w:type="dxa"/>
              <w:bottom w:w="80" w:type="dxa"/>
              <w:right w:w="130" w:type="dxa"/>
            </w:tcMar>
            <w:vAlign w:val="center"/>
          </w:tcPr>
          <w:p w14:paraId="667BB170" w14:textId="77777777" w:rsidR="00B732AE" w:rsidRPr="00FF3FE2" w:rsidRDefault="00000000">
            <w:pPr>
              <w:spacing w:before="40" w:after="40"/>
            </w:pPr>
            <w:proofErr w:type="spellStart"/>
            <w:r w:rsidRPr="00FF3FE2">
              <w:rPr>
                <w:color w:val="111111"/>
                <w:sz w:val="17"/>
                <w:szCs w:val="17"/>
              </w:rPr>
              <w:t>Ripser</w:t>
            </w:r>
            <w:proofErr w:type="spellEnd"/>
            <w:r w:rsidRPr="00FF3FE2">
              <w:rPr>
                <w:color w:val="111111"/>
                <w:sz w:val="17"/>
                <w:szCs w:val="17"/>
              </w:rPr>
              <w:t xml:space="preserve"> v0.6 (Bauer, 2021); Vietoris–Rips; </w:t>
            </w:r>
            <w:proofErr w:type="spellStart"/>
            <w:r w:rsidRPr="00FF3FE2">
              <w:rPr>
                <w:color w:val="111111"/>
                <w:sz w:val="17"/>
                <w:szCs w:val="17"/>
              </w:rPr>
              <w:t>maxdim</w:t>
            </w:r>
            <w:proofErr w:type="spellEnd"/>
            <w:r w:rsidRPr="00FF3FE2">
              <w:rPr>
                <w:color w:val="111111"/>
                <w:sz w:val="17"/>
                <w:szCs w:val="17"/>
              </w:rPr>
              <w:t xml:space="preserve"> = 1 (H₀ + H₁)</w:t>
            </w:r>
          </w:p>
        </w:tc>
      </w:tr>
      <w:tr w:rsidR="00B732AE" w:rsidRPr="00FF3FE2" w14:paraId="26CD681D" w14:textId="77777777">
        <w:tblPrEx>
          <w:tblCellMar>
            <w:top w:w="0" w:type="dxa"/>
            <w:bottom w:w="0" w:type="dxa"/>
          </w:tblCellMar>
        </w:tblPrEx>
        <w:tc>
          <w:tcPr>
            <w:tcW w:w="380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345F984C" w14:textId="2A2E0B8F" w:rsidR="00B732AE" w:rsidRPr="00FF3FE2" w:rsidRDefault="00000000">
            <w:pPr>
              <w:spacing w:before="40" w:after="40"/>
            </w:pPr>
            <w:r w:rsidRPr="00FF3FE2">
              <w:rPr>
                <w:color w:val="111111"/>
                <w:sz w:val="17"/>
                <w:szCs w:val="17"/>
              </w:rPr>
              <w:t xml:space="preserve">Persistence </w:t>
            </w:r>
            <w:r w:rsidR="00FF3FE2" w:rsidRPr="00FF3FE2">
              <w:rPr>
                <w:color w:val="111111"/>
                <w:sz w:val="17"/>
                <w:szCs w:val="17"/>
              </w:rPr>
              <w:t>vectorization</w:t>
            </w:r>
          </w:p>
        </w:tc>
        <w:tc>
          <w:tcPr>
            <w:tcW w:w="628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5262791E" w14:textId="77777777" w:rsidR="00B732AE" w:rsidRPr="00FF3FE2" w:rsidRDefault="00000000">
            <w:pPr>
              <w:spacing w:before="40" w:after="40"/>
            </w:pPr>
            <w:r w:rsidRPr="00FF3FE2">
              <w:rPr>
                <w:color w:val="111111"/>
                <w:sz w:val="17"/>
                <w:szCs w:val="17"/>
              </w:rPr>
              <w:t xml:space="preserve">8 sorted lifetimes + 8 births per </w:t>
            </w:r>
            <w:proofErr w:type="spellStart"/>
            <w:r w:rsidRPr="00FF3FE2">
              <w:rPr>
                <w:color w:val="111111"/>
                <w:sz w:val="17"/>
                <w:szCs w:val="17"/>
              </w:rPr>
              <w:t>H_k</w:t>
            </w:r>
            <w:proofErr w:type="spellEnd"/>
            <w:r w:rsidRPr="00FF3FE2">
              <w:rPr>
                <w:color w:val="111111"/>
                <w:sz w:val="17"/>
                <w:szCs w:val="17"/>
              </w:rPr>
              <w:t xml:space="preserve"> class; 5 summary statistics = 37 total topo dims</w:t>
            </w:r>
          </w:p>
        </w:tc>
      </w:tr>
      <w:tr w:rsidR="00B732AE" w:rsidRPr="00FF3FE2" w14:paraId="74A0AFAA" w14:textId="77777777">
        <w:tblPrEx>
          <w:tblCellMar>
            <w:top w:w="0" w:type="dxa"/>
            <w:bottom w:w="0" w:type="dxa"/>
          </w:tblCellMar>
        </w:tblPrEx>
        <w:tc>
          <w:tcPr>
            <w:tcW w:w="3800" w:type="dxa"/>
            <w:tcBorders>
              <w:top w:val="single" w:sz="3" w:space="0" w:color="BBBBBB"/>
              <w:left w:val="single" w:sz="3" w:space="0" w:color="BBBBBB"/>
              <w:bottom w:val="single" w:sz="3" w:space="0" w:color="BBBBBB"/>
              <w:right w:val="single" w:sz="3" w:space="0" w:color="BBBBBB"/>
            </w:tcBorders>
            <w:shd w:val="clear" w:color="auto" w:fill="F5F5F5"/>
            <w:tcMar>
              <w:top w:w="80" w:type="dxa"/>
              <w:left w:w="130" w:type="dxa"/>
              <w:bottom w:w="80" w:type="dxa"/>
              <w:right w:w="130" w:type="dxa"/>
            </w:tcMar>
            <w:vAlign w:val="center"/>
          </w:tcPr>
          <w:p w14:paraId="311FEFCF" w14:textId="77777777" w:rsidR="00B732AE" w:rsidRPr="00FF3FE2" w:rsidRDefault="00000000">
            <w:pPr>
              <w:spacing w:before="40" w:after="40"/>
            </w:pPr>
            <w:r w:rsidRPr="00FF3FE2">
              <w:rPr>
                <w:color w:val="111111"/>
                <w:sz w:val="17"/>
                <w:szCs w:val="17"/>
              </w:rPr>
              <w:t>SPD matrix dimension</w:t>
            </w:r>
          </w:p>
        </w:tc>
        <w:tc>
          <w:tcPr>
            <w:tcW w:w="6280" w:type="dxa"/>
            <w:tcBorders>
              <w:top w:val="single" w:sz="3" w:space="0" w:color="BBBBBB"/>
              <w:left w:val="single" w:sz="3" w:space="0" w:color="BBBBBB"/>
              <w:bottom w:val="single" w:sz="3" w:space="0" w:color="BBBBBB"/>
              <w:right w:val="single" w:sz="3" w:space="0" w:color="BBBBBB"/>
            </w:tcBorders>
            <w:shd w:val="clear" w:color="auto" w:fill="F5F5F5"/>
            <w:tcMar>
              <w:top w:w="80" w:type="dxa"/>
              <w:left w:w="130" w:type="dxa"/>
              <w:bottom w:w="80" w:type="dxa"/>
              <w:right w:w="130" w:type="dxa"/>
            </w:tcMar>
            <w:vAlign w:val="center"/>
          </w:tcPr>
          <w:p w14:paraId="313FB8C8" w14:textId="5935E131" w:rsidR="00B732AE" w:rsidRPr="00FF3FE2" w:rsidRDefault="00000000">
            <w:pPr>
              <w:spacing w:before="40" w:after="40"/>
            </w:pPr>
            <w:r w:rsidRPr="00FF3FE2">
              <w:rPr>
                <w:color w:val="111111"/>
                <w:sz w:val="17"/>
                <w:szCs w:val="17"/>
              </w:rPr>
              <w:t xml:space="preserve">12×12; </w:t>
            </w:r>
            <w:r w:rsidR="00FF3FE2" w:rsidRPr="00FF3FE2">
              <w:rPr>
                <w:color w:val="111111"/>
                <w:sz w:val="17"/>
                <w:szCs w:val="17"/>
              </w:rPr>
              <w:t>regularization</w:t>
            </w:r>
            <w:r w:rsidRPr="00FF3FE2">
              <w:rPr>
                <w:color w:val="111111"/>
                <w:sz w:val="17"/>
                <w:szCs w:val="17"/>
              </w:rPr>
              <w:t xml:space="preserve"> ε = 10⁻⁴; log-flattening → upper triangular → 78 dims</w:t>
            </w:r>
          </w:p>
        </w:tc>
      </w:tr>
      <w:tr w:rsidR="00B732AE" w:rsidRPr="00FF3FE2" w14:paraId="00C545F2" w14:textId="77777777">
        <w:tblPrEx>
          <w:tblCellMar>
            <w:top w:w="0" w:type="dxa"/>
            <w:bottom w:w="0" w:type="dxa"/>
          </w:tblCellMar>
        </w:tblPrEx>
        <w:tc>
          <w:tcPr>
            <w:tcW w:w="380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537FF2E2" w14:textId="77777777" w:rsidR="00B732AE" w:rsidRPr="00FF3FE2" w:rsidRDefault="00000000">
            <w:pPr>
              <w:spacing w:before="40" w:after="40"/>
            </w:pPr>
            <w:r w:rsidRPr="00FF3FE2">
              <w:rPr>
                <w:color w:val="111111"/>
                <w:sz w:val="17"/>
                <w:szCs w:val="17"/>
              </w:rPr>
              <w:t>Attention heads (H)</w:t>
            </w:r>
          </w:p>
        </w:tc>
        <w:tc>
          <w:tcPr>
            <w:tcW w:w="628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6E95B81E" w14:textId="77777777" w:rsidR="00B732AE" w:rsidRPr="00FF3FE2" w:rsidRDefault="00000000">
            <w:pPr>
              <w:spacing w:before="40" w:after="40"/>
            </w:pPr>
            <w:r w:rsidRPr="00FF3FE2">
              <w:rPr>
                <w:color w:val="111111"/>
                <w:sz w:val="17"/>
                <w:szCs w:val="17"/>
              </w:rPr>
              <w:t>4 heads; top-k ratio 0.60 (60% of bands per head)</w:t>
            </w:r>
          </w:p>
        </w:tc>
      </w:tr>
      <w:tr w:rsidR="00B732AE" w:rsidRPr="00FF3FE2" w14:paraId="71CB5FF4" w14:textId="77777777">
        <w:tblPrEx>
          <w:tblCellMar>
            <w:top w:w="0" w:type="dxa"/>
            <w:bottom w:w="0" w:type="dxa"/>
          </w:tblCellMar>
        </w:tblPrEx>
        <w:tc>
          <w:tcPr>
            <w:tcW w:w="3800" w:type="dxa"/>
            <w:tcBorders>
              <w:top w:val="single" w:sz="3" w:space="0" w:color="BBBBBB"/>
              <w:left w:val="single" w:sz="3" w:space="0" w:color="BBBBBB"/>
              <w:bottom w:val="single" w:sz="3" w:space="0" w:color="BBBBBB"/>
              <w:right w:val="single" w:sz="3" w:space="0" w:color="BBBBBB"/>
            </w:tcBorders>
            <w:shd w:val="clear" w:color="auto" w:fill="F5F5F5"/>
            <w:tcMar>
              <w:top w:w="80" w:type="dxa"/>
              <w:left w:w="130" w:type="dxa"/>
              <w:bottom w:w="80" w:type="dxa"/>
              <w:right w:w="130" w:type="dxa"/>
            </w:tcMar>
            <w:vAlign w:val="center"/>
          </w:tcPr>
          <w:p w14:paraId="2B190FE2" w14:textId="76FB05AB" w:rsidR="00B732AE" w:rsidRPr="00FF3FE2" w:rsidRDefault="00000000">
            <w:pPr>
              <w:spacing w:before="40" w:after="40"/>
            </w:pPr>
            <w:r w:rsidRPr="00FF3FE2">
              <w:rPr>
                <w:color w:val="111111"/>
                <w:sz w:val="17"/>
                <w:szCs w:val="17"/>
              </w:rPr>
              <w:t xml:space="preserve">Attention </w:t>
            </w:r>
            <w:r w:rsidR="00FF3FE2" w:rsidRPr="00FF3FE2">
              <w:rPr>
                <w:color w:val="111111"/>
                <w:sz w:val="17"/>
                <w:szCs w:val="17"/>
              </w:rPr>
              <w:t>optimization</w:t>
            </w:r>
          </w:p>
        </w:tc>
        <w:tc>
          <w:tcPr>
            <w:tcW w:w="6280" w:type="dxa"/>
            <w:tcBorders>
              <w:top w:val="single" w:sz="3" w:space="0" w:color="BBBBBB"/>
              <w:left w:val="single" w:sz="3" w:space="0" w:color="BBBBBB"/>
              <w:bottom w:val="single" w:sz="3" w:space="0" w:color="BBBBBB"/>
              <w:right w:val="single" w:sz="3" w:space="0" w:color="BBBBBB"/>
            </w:tcBorders>
            <w:shd w:val="clear" w:color="auto" w:fill="F5F5F5"/>
            <w:tcMar>
              <w:top w:w="80" w:type="dxa"/>
              <w:left w:w="130" w:type="dxa"/>
              <w:bottom w:w="80" w:type="dxa"/>
              <w:right w:w="130" w:type="dxa"/>
            </w:tcMar>
            <w:vAlign w:val="center"/>
          </w:tcPr>
          <w:p w14:paraId="7B832911" w14:textId="77777777" w:rsidR="00B732AE" w:rsidRPr="00FF3FE2" w:rsidRDefault="00000000">
            <w:pPr>
              <w:spacing w:before="40" w:after="40"/>
            </w:pPr>
            <w:r w:rsidRPr="00FF3FE2">
              <w:rPr>
                <w:color w:val="111111"/>
                <w:sz w:val="17"/>
                <w:szCs w:val="17"/>
              </w:rPr>
              <w:t xml:space="preserve">Coordinate ascent; 40 iterations; </w:t>
            </w:r>
            <w:proofErr w:type="spellStart"/>
            <w:r w:rsidRPr="00FF3FE2">
              <w:rPr>
                <w:color w:val="111111"/>
                <w:sz w:val="17"/>
                <w:szCs w:val="17"/>
              </w:rPr>
              <w:t>lr</w:t>
            </w:r>
            <w:proofErr w:type="spellEnd"/>
            <w:r w:rsidRPr="00FF3FE2">
              <w:rPr>
                <w:color w:val="111111"/>
                <w:sz w:val="17"/>
                <w:szCs w:val="17"/>
              </w:rPr>
              <w:t xml:space="preserve">₀ = 0.05; decay </w:t>
            </w:r>
            <w:proofErr w:type="spellStart"/>
            <w:r w:rsidRPr="00FF3FE2">
              <w:rPr>
                <w:color w:val="111111"/>
                <w:sz w:val="17"/>
                <w:szCs w:val="17"/>
              </w:rPr>
              <w:t>lr_t</w:t>
            </w:r>
            <w:proofErr w:type="spellEnd"/>
            <w:r w:rsidRPr="00FF3FE2">
              <w:rPr>
                <w:color w:val="111111"/>
                <w:sz w:val="17"/>
                <w:szCs w:val="17"/>
              </w:rPr>
              <w:t xml:space="preserve"> = </w:t>
            </w:r>
            <w:proofErr w:type="spellStart"/>
            <w:r w:rsidRPr="00FF3FE2">
              <w:rPr>
                <w:color w:val="111111"/>
                <w:sz w:val="17"/>
                <w:szCs w:val="17"/>
              </w:rPr>
              <w:t>lr</w:t>
            </w:r>
            <w:proofErr w:type="spellEnd"/>
            <w:r w:rsidRPr="00FF3FE2">
              <w:rPr>
                <w:color w:val="111111"/>
                <w:sz w:val="17"/>
                <w:szCs w:val="17"/>
              </w:rPr>
              <w:t>₀/(t+1); 3-fold CV proxy</w:t>
            </w:r>
          </w:p>
        </w:tc>
      </w:tr>
      <w:tr w:rsidR="00B732AE" w:rsidRPr="00FF3FE2" w14:paraId="654AE20E" w14:textId="77777777">
        <w:tblPrEx>
          <w:tblCellMar>
            <w:top w:w="0" w:type="dxa"/>
            <w:bottom w:w="0" w:type="dxa"/>
          </w:tblCellMar>
        </w:tblPrEx>
        <w:tc>
          <w:tcPr>
            <w:tcW w:w="380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222D1618" w14:textId="77777777" w:rsidR="00B732AE" w:rsidRPr="00FF3FE2" w:rsidRDefault="00000000">
            <w:pPr>
              <w:spacing w:before="40" w:after="40"/>
            </w:pPr>
            <w:r w:rsidRPr="00FF3FE2">
              <w:rPr>
                <w:color w:val="111111"/>
                <w:sz w:val="17"/>
                <w:szCs w:val="17"/>
              </w:rPr>
              <w:t>Full AMST descriptor dim.</w:t>
            </w:r>
          </w:p>
        </w:tc>
        <w:tc>
          <w:tcPr>
            <w:tcW w:w="628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36B55356" w14:textId="77777777" w:rsidR="00B732AE" w:rsidRPr="00FF3FE2" w:rsidRDefault="00000000">
            <w:pPr>
              <w:spacing w:before="40" w:after="40"/>
            </w:pPr>
            <w:r w:rsidRPr="00FF3FE2">
              <w:rPr>
                <w:color w:val="111111"/>
                <w:sz w:val="17"/>
                <w:szCs w:val="17"/>
              </w:rPr>
              <w:t>31 (Fourier mag.) + 8 (phases) + 16 (wavelet) + 37 (topology) + 78 (SPD) = 170 dims</w:t>
            </w:r>
          </w:p>
        </w:tc>
      </w:tr>
      <w:tr w:rsidR="00B732AE" w:rsidRPr="00FF3FE2" w14:paraId="7316A288" w14:textId="77777777">
        <w:tblPrEx>
          <w:tblCellMar>
            <w:top w:w="0" w:type="dxa"/>
            <w:bottom w:w="0" w:type="dxa"/>
          </w:tblCellMar>
        </w:tblPrEx>
        <w:tc>
          <w:tcPr>
            <w:tcW w:w="3800" w:type="dxa"/>
            <w:tcBorders>
              <w:top w:val="single" w:sz="3" w:space="0" w:color="BBBBBB"/>
              <w:left w:val="single" w:sz="3" w:space="0" w:color="BBBBBB"/>
              <w:bottom w:val="single" w:sz="3" w:space="0" w:color="BBBBBB"/>
              <w:right w:val="single" w:sz="3" w:space="0" w:color="BBBBBB"/>
            </w:tcBorders>
            <w:shd w:val="clear" w:color="auto" w:fill="F5F5F5"/>
            <w:tcMar>
              <w:top w:w="80" w:type="dxa"/>
              <w:left w:w="130" w:type="dxa"/>
              <w:bottom w:w="80" w:type="dxa"/>
              <w:right w:w="130" w:type="dxa"/>
            </w:tcMar>
            <w:vAlign w:val="center"/>
          </w:tcPr>
          <w:p w14:paraId="04CF2ECC" w14:textId="6B44CE12" w:rsidR="00B732AE" w:rsidRPr="00FF3FE2" w:rsidRDefault="00000000">
            <w:pPr>
              <w:spacing w:before="40" w:after="40"/>
            </w:pPr>
            <w:r w:rsidRPr="00FF3FE2">
              <w:rPr>
                <w:color w:val="111111"/>
                <w:sz w:val="17"/>
                <w:szCs w:val="17"/>
              </w:rPr>
              <w:t xml:space="preserve">Descriptor </w:t>
            </w:r>
            <w:r w:rsidR="00FF3FE2" w:rsidRPr="00FF3FE2">
              <w:rPr>
                <w:color w:val="111111"/>
                <w:sz w:val="17"/>
                <w:szCs w:val="17"/>
              </w:rPr>
              <w:t>normalization</w:t>
            </w:r>
          </w:p>
        </w:tc>
        <w:tc>
          <w:tcPr>
            <w:tcW w:w="6280" w:type="dxa"/>
            <w:tcBorders>
              <w:top w:val="single" w:sz="3" w:space="0" w:color="BBBBBB"/>
              <w:left w:val="single" w:sz="3" w:space="0" w:color="BBBBBB"/>
              <w:bottom w:val="single" w:sz="3" w:space="0" w:color="BBBBBB"/>
              <w:right w:val="single" w:sz="3" w:space="0" w:color="BBBBBB"/>
            </w:tcBorders>
            <w:shd w:val="clear" w:color="auto" w:fill="F5F5F5"/>
            <w:tcMar>
              <w:top w:w="80" w:type="dxa"/>
              <w:left w:w="130" w:type="dxa"/>
              <w:bottom w:w="80" w:type="dxa"/>
              <w:right w:w="130" w:type="dxa"/>
            </w:tcMar>
            <w:vAlign w:val="center"/>
          </w:tcPr>
          <w:p w14:paraId="1B42F751" w14:textId="77777777" w:rsidR="00B732AE" w:rsidRPr="00FF3FE2" w:rsidRDefault="00000000">
            <w:pPr>
              <w:spacing w:before="40" w:after="40"/>
            </w:pPr>
            <w:proofErr w:type="spellStart"/>
            <w:r w:rsidRPr="00FF3FE2">
              <w:rPr>
                <w:color w:val="111111"/>
                <w:sz w:val="17"/>
                <w:szCs w:val="17"/>
              </w:rPr>
              <w:t>RobustScaler</w:t>
            </w:r>
            <w:proofErr w:type="spellEnd"/>
            <w:r w:rsidRPr="00FF3FE2">
              <w:rPr>
                <w:color w:val="111111"/>
                <w:sz w:val="17"/>
                <w:szCs w:val="17"/>
              </w:rPr>
              <w:t xml:space="preserve"> (median=0, IQR=1) fit on training fold, applied to test fold per CV split</w:t>
            </w:r>
          </w:p>
        </w:tc>
      </w:tr>
      <w:tr w:rsidR="00B732AE" w:rsidRPr="00FF3FE2" w14:paraId="292D1A21" w14:textId="77777777">
        <w:tblPrEx>
          <w:tblCellMar>
            <w:top w:w="0" w:type="dxa"/>
            <w:bottom w:w="0" w:type="dxa"/>
          </w:tblCellMar>
        </w:tblPrEx>
        <w:tc>
          <w:tcPr>
            <w:tcW w:w="380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46663FE1" w14:textId="77777777" w:rsidR="00B732AE" w:rsidRPr="00FF3FE2" w:rsidRDefault="00000000">
            <w:pPr>
              <w:spacing w:before="40" w:after="40"/>
            </w:pPr>
            <w:r w:rsidRPr="00FF3FE2">
              <w:rPr>
                <w:color w:val="111111"/>
                <w:sz w:val="17"/>
                <w:szCs w:val="17"/>
              </w:rPr>
              <w:t>Classifiers</w:t>
            </w:r>
          </w:p>
        </w:tc>
        <w:tc>
          <w:tcPr>
            <w:tcW w:w="628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5BAD79F9" w14:textId="77777777" w:rsidR="00B732AE" w:rsidRPr="00FF3FE2" w:rsidRDefault="00000000">
            <w:pPr>
              <w:spacing w:before="40" w:after="40"/>
            </w:pPr>
            <w:r w:rsidRPr="00FF3FE2">
              <w:rPr>
                <w:color w:val="111111"/>
                <w:sz w:val="17"/>
                <w:szCs w:val="17"/>
              </w:rPr>
              <w:t>1-NN (Euclidean), 3-NN (Euclidean), SVM-RBF (C=10, γ=‘scale’) — scikit-learn 1.4</w:t>
            </w:r>
          </w:p>
        </w:tc>
      </w:tr>
      <w:tr w:rsidR="00B732AE" w:rsidRPr="00FF3FE2" w14:paraId="5C949A18" w14:textId="77777777">
        <w:tblPrEx>
          <w:tblCellMar>
            <w:top w:w="0" w:type="dxa"/>
            <w:bottom w:w="0" w:type="dxa"/>
          </w:tblCellMar>
        </w:tblPrEx>
        <w:tc>
          <w:tcPr>
            <w:tcW w:w="3800" w:type="dxa"/>
            <w:tcBorders>
              <w:top w:val="single" w:sz="3" w:space="0" w:color="BBBBBB"/>
              <w:left w:val="single" w:sz="3" w:space="0" w:color="BBBBBB"/>
              <w:bottom w:val="single" w:sz="3" w:space="0" w:color="BBBBBB"/>
              <w:right w:val="single" w:sz="3" w:space="0" w:color="BBBBBB"/>
            </w:tcBorders>
            <w:shd w:val="clear" w:color="auto" w:fill="F5F5F5"/>
            <w:tcMar>
              <w:top w:w="80" w:type="dxa"/>
              <w:left w:w="130" w:type="dxa"/>
              <w:bottom w:w="80" w:type="dxa"/>
              <w:right w:w="130" w:type="dxa"/>
            </w:tcMar>
            <w:vAlign w:val="center"/>
          </w:tcPr>
          <w:p w14:paraId="42502134" w14:textId="77777777" w:rsidR="00B732AE" w:rsidRPr="00FF3FE2" w:rsidRDefault="00000000">
            <w:pPr>
              <w:spacing w:before="40" w:after="40"/>
            </w:pPr>
            <w:r w:rsidRPr="00FF3FE2">
              <w:rPr>
                <w:color w:val="111111"/>
                <w:sz w:val="17"/>
                <w:szCs w:val="17"/>
              </w:rPr>
              <w:t>Cross-validation</w:t>
            </w:r>
          </w:p>
        </w:tc>
        <w:tc>
          <w:tcPr>
            <w:tcW w:w="6280" w:type="dxa"/>
            <w:tcBorders>
              <w:top w:val="single" w:sz="3" w:space="0" w:color="BBBBBB"/>
              <w:left w:val="single" w:sz="3" w:space="0" w:color="BBBBBB"/>
              <w:bottom w:val="single" w:sz="3" w:space="0" w:color="BBBBBB"/>
              <w:right w:val="single" w:sz="3" w:space="0" w:color="BBBBBB"/>
            </w:tcBorders>
            <w:shd w:val="clear" w:color="auto" w:fill="F5F5F5"/>
            <w:tcMar>
              <w:top w:w="80" w:type="dxa"/>
              <w:left w:w="130" w:type="dxa"/>
              <w:bottom w:w="80" w:type="dxa"/>
              <w:right w:w="130" w:type="dxa"/>
            </w:tcMar>
            <w:vAlign w:val="center"/>
          </w:tcPr>
          <w:p w14:paraId="1716B118" w14:textId="77777777" w:rsidR="00B732AE" w:rsidRPr="00FF3FE2" w:rsidRDefault="00000000">
            <w:pPr>
              <w:spacing w:before="40" w:after="40"/>
            </w:pPr>
            <w:r w:rsidRPr="00FF3FE2">
              <w:rPr>
                <w:color w:val="111111"/>
                <w:sz w:val="17"/>
                <w:szCs w:val="17"/>
              </w:rPr>
              <w:t>5-fold stratified; class-balanced; random seed 42</w:t>
            </w:r>
          </w:p>
        </w:tc>
      </w:tr>
      <w:tr w:rsidR="00B732AE" w:rsidRPr="00FF3FE2" w14:paraId="008D0C04" w14:textId="77777777">
        <w:tblPrEx>
          <w:tblCellMar>
            <w:top w:w="0" w:type="dxa"/>
            <w:bottom w:w="0" w:type="dxa"/>
          </w:tblCellMar>
        </w:tblPrEx>
        <w:tc>
          <w:tcPr>
            <w:tcW w:w="380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4BE86349" w14:textId="77777777" w:rsidR="00B732AE" w:rsidRPr="00FF3FE2" w:rsidRDefault="00000000">
            <w:pPr>
              <w:spacing w:before="40" w:after="40"/>
            </w:pPr>
            <w:r w:rsidRPr="00FF3FE2">
              <w:rPr>
                <w:color w:val="111111"/>
                <w:sz w:val="17"/>
                <w:szCs w:val="17"/>
              </w:rPr>
              <w:t>Statistical testing</w:t>
            </w:r>
          </w:p>
        </w:tc>
        <w:tc>
          <w:tcPr>
            <w:tcW w:w="628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2D35B5D2" w14:textId="77777777" w:rsidR="00B732AE" w:rsidRPr="00FF3FE2" w:rsidRDefault="00000000">
            <w:pPr>
              <w:spacing w:before="40" w:after="40"/>
            </w:pPr>
            <w:r w:rsidRPr="00FF3FE2">
              <w:rPr>
                <w:color w:val="111111"/>
                <w:sz w:val="17"/>
                <w:szCs w:val="17"/>
              </w:rPr>
              <w:t>Two-sided paired t-test; α = 0.05; 5 fold-level accuracy measurements per comparison</w:t>
            </w:r>
          </w:p>
        </w:tc>
      </w:tr>
      <w:tr w:rsidR="00B732AE" w:rsidRPr="00FF3FE2" w14:paraId="26C1AB73" w14:textId="77777777">
        <w:tblPrEx>
          <w:tblCellMar>
            <w:top w:w="0" w:type="dxa"/>
            <w:bottom w:w="0" w:type="dxa"/>
          </w:tblCellMar>
        </w:tblPrEx>
        <w:tc>
          <w:tcPr>
            <w:tcW w:w="3800" w:type="dxa"/>
            <w:tcBorders>
              <w:top w:val="single" w:sz="3" w:space="0" w:color="BBBBBB"/>
              <w:left w:val="single" w:sz="3" w:space="0" w:color="BBBBBB"/>
              <w:bottom w:val="single" w:sz="3" w:space="0" w:color="BBBBBB"/>
              <w:right w:val="single" w:sz="3" w:space="0" w:color="BBBBBB"/>
            </w:tcBorders>
            <w:shd w:val="clear" w:color="auto" w:fill="F5F5F5"/>
            <w:tcMar>
              <w:top w:w="80" w:type="dxa"/>
              <w:left w:w="130" w:type="dxa"/>
              <w:bottom w:w="80" w:type="dxa"/>
              <w:right w:w="130" w:type="dxa"/>
            </w:tcMar>
            <w:vAlign w:val="center"/>
          </w:tcPr>
          <w:p w14:paraId="3E1296F2" w14:textId="77777777" w:rsidR="00B732AE" w:rsidRPr="00FF3FE2" w:rsidRDefault="00000000">
            <w:pPr>
              <w:spacing w:before="40" w:after="40"/>
            </w:pPr>
            <w:r w:rsidRPr="00FF3FE2">
              <w:rPr>
                <w:color w:val="111111"/>
                <w:sz w:val="17"/>
                <w:szCs w:val="17"/>
              </w:rPr>
              <w:t>Retrieval evaluation</w:t>
            </w:r>
          </w:p>
        </w:tc>
        <w:tc>
          <w:tcPr>
            <w:tcW w:w="6280" w:type="dxa"/>
            <w:tcBorders>
              <w:top w:val="single" w:sz="3" w:space="0" w:color="BBBBBB"/>
              <w:left w:val="single" w:sz="3" w:space="0" w:color="BBBBBB"/>
              <w:bottom w:val="single" w:sz="3" w:space="0" w:color="BBBBBB"/>
              <w:right w:val="single" w:sz="3" w:space="0" w:color="BBBBBB"/>
            </w:tcBorders>
            <w:shd w:val="clear" w:color="auto" w:fill="F5F5F5"/>
            <w:tcMar>
              <w:top w:w="80" w:type="dxa"/>
              <w:left w:w="130" w:type="dxa"/>
              <w:bottom w:w="80" w:type="dxa"/>
              <w:right w:w="130" w:type="dxa"/>
            </w:tcMar>
            <w:vAlign w:val="center"/>
          </w:tcPr>
          <w:p w14:paraId="6A35A32B" w14:textId="77777777" w:rsidR="00B732AE" w:rsidRPr="00FF3FE2" w:rsidRDefault="00000000">
            <w:pPr>
              <w:spacing w:before="40" w:after="40"/>
            </w:pPr>
            <w:r w:rsidRPr="00FF3FE2">
              <w:rPr>
                <w:color w:val="111111"/>
                <w:sz w:val="17"/>
                <w:szCs w:val="17"/>
              </w:rPr>
              <w:t>Leave-one-out (216 queries); mean precision and recall at k = 1,...,40</w:t>
            </w:r>
          </w:p>
        </w:tc>
      </w:tr>
      <w:tr w:rsidR="00B732AE" w:rsidRPr="00FF3FE2" w14:paraId="613256D1" w14:textId="77777777">
        <w:tblPrEx>
          <w:tblCellMar>
            <w:top w:w="0" w:type="dxa"/>
            <w:bottom w:w="0" w:type="dxa"/>
          </w:tblCellMar>
        </w:tblPrEx>
        <w:tc>
          <w:tcPr>
            <w:tcW w:w="380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6EDB13CC" w14:textId="77777777" w:rsidR="00B732AE" w:rsidRPr="00FF3FE2" w:rsidRDefault="00000000">
            <w:pPr>
              <w:spacing w:before="40" w:after="40"/>
            </w:pPr>
            <w:r w:rsidRPr="00FF3FE2">
              <w:rPr>
                <w:color w:val="111111"/>
                <w:sz w:val="17"/>
                <w:szCs w:val="17"/>
              </w:rPr>
              <w:t>Implementation stack</w:t>
            </w:r>
          </w:p>
        </w:tc>
        <w:tc>
          <w:tcPr>
            <w:tcW w:w="6280" w:type="dxa"/>
            <w:tcBorders>
              <w:top w:val="single" w:sz="3" w:space="0" w:color="BBBBBB"/>
              <w:left w:val="single" w:sz="3" w:space="0" w:color="BBBBBB"/>
              <w:bottom w:val="single" w:sz="3" w:space="0" w:color="BBBBBB"/>
              <w:right w:val="single" w:sz="3" w:space="0" w:color="BBBBBB"/>
            </w:tcBorders>
            <w:shd w:val="clear" w:color="auto" w:fill="FFFFFF"/>
            <w:tcMar>
              <w:top w:w="80" w:type="dxa"/>
              <w:left w:w="130" w:type="dxa"/>
              <w:bottom w:w="80" w:type="dxa"/>
              <w:right w:w="130" w:type="dxa"/>
            </w:tcMar>
            <w:vAlign w:val="center"/>
          </w:tcPr>
          <w:p w14:paraId="65935BB7" w14:textId="77777777" w:rsidR="00B732AE" w:rsidRPr="00FF3FE2" w:rsidRDefault="00000000">
            <w:pPr>
              <w:spacing w:before="40" w:after="40"/>
            </w:pPr>
            <w:r w:rsidRPr="00FF3FE2">
              <w:rPr>
                <w:color w:val="111111"/>
                <w:sz w:val="17"/>
                <w:szCs w:val="17"/>
              </w:rPr>
              <w:t xml:space="preserve">Python 3.11 | NumPy 1.26 | SciPy 1.12 | scikit-learn 1.4 | </w:t>
            </w:r>
            <w:proofErr w:type="spellStart"/>
            <w:r w:rsidRPr="00FF3FE2">
              <w:rPr>
                <w:color w:val="111111"/>
                <w:sz w:val="17"/>
                <w:szCs w:val="17"/>
              </w:rPr>
              <w:t>Ripser</w:t>
            </w:r>
            <w:proofErr w:type="spellEnd"/>
            <w:r w:rsidRPr="00FF3FE2">
              <w:rPr>
                <w:color w:val="111111"/>
                <w:sz w:val="17"/>
                <w:szCs w:val="17"/>
              </w:rPr>
              <w:t xml:space="preserve"> 0.6 | </w:t>
            </w:r>
            <w:proofErr w:type="spellStart"/>
            <w:r w:rsidRPr="00FF3FE2">
              <w:rPr>
                <w:color w:val="111111"/>
                <w:sz w:val="17"/>
                <w:szCs w:val="17"/>
              </w:rPr>
              <w:t>PyWavelets</w:t>
            </w:r>
            <w:proofErr w:type="spellEnd"/>
            <w:r w:rsidRPr="00FF3FE2">
              <w:rPr>
                <w:color w:val="111111"/>
                <w:sz w:val="17"/>
                <w:szCs w:val="17"/>
              </w:rPr>
              <w:t xml:space="preserve"> 1.5 | OpenCV 4.9 | Matplotlib 3.8</w:t>
            </w:r>
          </w:p>
        </w:tc>
      </w:tr>
      <w:tr w:rsidR="00B732AE" w:rsidRPr="00FF3FE2" w14:paraId="7B5D3A41" w14:textId="77777777">
        <w:tblPrEx>
          <w:tblCellMar>
            <w:top w:w="0" w:type="dxa"/>
            <w:bottom w:w="0" w:type="dxa"/>
          </w:tblCellMar>
        </w:tblPrEx>
        <w:tc>
          <w:tcPr>
            <w:tcW w:w="3800" w:type="dxa"/>
            <w:tcBorders>
              <w:top w:val="single" w:sz="3" w:space="0" w:color="BBBBBB"/>
              <w:left w:val="single" w:sz="3" w:space="0" w:color="BBBBBB"/>
              <w:bottom w:val="single" w:sz="3" w:space="0" w:color="BBBBBB"/>
              <w:right w:val="single" w:sz="3" w:space="0" w:color="BBBBBB"/>
            </w:tcBorders>
            <w:shd w:val="clear" w:color="auto" w:fill="F5F5F5"/>
            <w:tcMar>
              <w:top w:w="80" w:type="dxa"/>
              <w:left w:w="130" w:type="dxa"/>
              <w:bottom w:w="80" w:type="dxa"/>
              <w:right w:w="130" w:type="dxa"/>
            </w:tcMar>
            <w:vAlign w:val="center"/>
          </w:tcPr>
          <w:p w14:paraId="633979DF" w14:textId="77777777" w:rsidR="00B732AE" w:rsidRPr="00FF3FE2" w:rsidRDefault="00000000">
            <w:pPr>
              <w:spacing w:before="40" w:after="40"/>
            </w:pPr>
            <w:r w:rsidRPr="00FF3FE2">
              <w:rPr>
                <w:color w:val="111111"/>
                <w:sz w:val="17"/>
                <w:szCs w:val="17"/>
              </w:rPr>
              <w:t>Hardware</w:t>
            </w:r>
          </w:p>
        </w:tc>
        <w:tc>
          <w:tcPr>
            <w:tcW w:w="6280" w:type="dxa"/>
            <w:tcBorders>
              <w:top w:val="single" w:sz="3" w:space="0" w:color="BBBBBB"/>
              <w:left w:val="single" w:sz="3" w:space="0" w:color="BBBBBB"/>
              <w:bottom w:val="single" w:sz="3" w:space="0" w:color="BBBBBB"/>
              <w:right w:val="single" w:sz="3" w:space="0" w:color="BBBBBB"/>
            </w:tcBorders>
            <w:shd w:val="clear" w:color="auto" w:fill="F5F5F5"/>
            <w:tcMar>
              <w:top w:w="80" w:type="dxa"/>
              <w:left w:w="130" w:type="dxa"/>
              <w:bottom w:w="80" w:type="dxa"/>
              <w:right w:w="130" w:type="dxa"/>
            </w:tcMar>
            <w:vAlign w:val="center"/>
          </w:tcPr>
          <w:p w14:paraId="2F055A12" w14:textId="77777777" w:rsidR="00B732AE" w:rsidRPr="00FF3FE2" w:rsidRDefault="00000000">
            <w:pPr>
              <w:spacing w:before="40" w:after="40"/>
            </w:pPr>
            <w:r w:rsidRPr="00FF3FE2">
              <w:rPr>
                <w:color w:val="111111"/>
                <w:sz w:val="17"/>
                <w:szCs w:val="17"/>
              </w:rPr>
              <w:t>Google Colab (GPU T4); feature extraction on CPU; all results fully reproducible</w:t>
            </w:r>
          </w:p>
        </w:tc>
      </w:tr>
    </w:tbl>
    <w:p w14:paraId="4290C806" w14:textId="77777777" w:rsidR="00B732AE" w:rsidRPr="00FF3FE2" w:rsidRDefault="00B732AE">
      <w:pPr>
        <w:spacing w:after="120"/>
      </w:pPr>
    </w:p>
    <w:p w14:paraId="4756641F" w14:textId="77777777" w:rsidR="00B732AE" w:rsidRPr="00FF3FE2" w:rsidRDefault="00000000">
      <w:pPr>
        <w:pStyle w:val="Heading1"/>
        <w:pBdr>
          <w:bottom w:val="single" w:sz="8" w:space="4" w:color="1A3A6B"/>
        </w:pBdr>
        <w:rPr>
          <w:rFonts w:ascii="Times New Roman" w:hAnsi="Times New Roman" w:cs="Times New Roman"/>
        </w:rPr>
      </w:pPr>
      <w:r w:rsidRPr="00FF3FE2">
        <w:rPr>
          <w:rFonts w:ascii="Times New Roman" w:hAnsi="Times New Roman" w:cs="Times New Roman"/>
        </w:rPr>
        <w:t>DECLARATIONS</w:t>
      </w:r>
    </w:p>
    <w:p w14:paraId="584BE036" w14:textId="77777777" w:rsidR="00B732AE" w:rsidRPr="00FF3FE2" w:rsidRDefault="00000000">
      <w:pPr>
        <w:pStyle w:val="Heading2"/>
        <w:rPr>
          <w:rFonts w:ascii="Times New Roman" w:hAnsi="Times New Roman" w:cs="Times New Roman"/>
        </w:rPr>
      </w:pPr>
      <w:r w:rsidRPr="00FF3FE2">
        <w:rPr>
          <w:rFonts w:ascii="Times New Roman" w:hAnsi="Times New Roman" w:cs="Times New Roman"/>
        </w:rPr>
        <w:t>Author Contributions</w:t>
      </w:r>
    </w:p>
    <w:p w14:paraId="71E5677B" w14:textId="77777777" w:rsidR="00B732AE" w:rsidRPr="00FF3FE2" w:rsidRDefault="00000000">
      <w:pPr>
        <w:spacing w:before="80" w:after="80" w:line="290" w:lineRule="auto"/>
        <w:jc w:val="both"/>
      </w:pPr>
      <w:r w:rsidRPr="00FF3FE2">
        <w:rPr>
          <w:color w:val="000000"/>
        </w:rPr>
        <w:lastRenderedPageBreak/>
        <w:t>Hemanth Kumar S: Conceptualization; Methodology; Software; Validation; Formal Analysis; Investigation; Data Curation; Writing — Original Draft; Writing — Review and Editing; Visualization; Project Administration.</w:t>
      </w:r>
    </w:p>
    <w:p w14:paraId="08BFE128" w14:textId="77777777" w:rsidR="00B732AE" w:rsidRPr="00FF3FE2" w:rsidRDefault="00000000">
      <w:pPr>
        <w:pStyle w:val="Heading2"/>
        <w:rPr>
          <w:rFonts w:ascii="Times New Roman" w:hAnsi="Times New Roman" w:cs="Times New Roman"/>
        </w:rPr>
      </w:pPr>
      <w:r w:rsidRPr="00FF3FE2">
        <w:rPr>
          <w:rFonts w:ascii="Times New Roman" w:hAnsi="Times New Roman" w:cs="Times New Roman"/>
        </w:rPr>
        <w:t>Funding</w:t>
      </w:r>
    </w:p>
    <w:p w14:paraId="442D7E98" w14:textId="77777777" w:rsidR="00B732AE" w:rsidRPr="00FF3FE2" w:rsidRDefault="00000000">
      <w:pPr>
        <w:spacing w:before="80" w:after="80" w:line="290" w:lineRule="auto"/>
        <w:jc w:val="both"/>
      </w:pPr>
      <w:r w:rsidRPr="00FF3FE2">
        <w:rPr>
          <w:color w:val="000000"/>
        </w:rPr>
        <w:t>This research received no specific grant from any funding agency in the public, commercial, or not-for-profit sectors.</w:t>
      </w:r>
    </w:p>
    <w:p w14:paraId="205E5680" w14:textId="77777777" w:rsidR="00B732AE" w:rsidRPr="00FF3FE2" w:rsidRDefault="00000000">
      <w:pPr>
        <w:pStyle w:val="Heading2"/>
        <w:rPr>
          <w:rFonts w:ascii="Times New Roman" w:hAnsi="Times New Roman" w:cs="Times New Roman"/>
        </w:rPr>
      </w:pPr>
      <w:r w:rsidRPr="00FF3FE2">
        <w:rPr>
          <w:rFonts w:ascii="Times New Roman" w:hAnsi="Times New Roman" w:cs="Times New Roman"/>
        </w:rPr>
        <w:t>Data and Code Availability</w:t>
      </w:r>
    </w:p>
    <w:p w14:paraId="5E2938B3" w14:textId="77777777" w:rsidR="00B732AE" w:rsidRPr="00FF3FE2" w:rsidRDefault="00000000">
      <w:pPr>
        <w:spacing w:before="80" w:after="80" w:line="290" w:lineRule="auto"/>
        <w:jc w:val="both"/>
      </w:pPr>
      <w:r w:rsidRPr="00FF3FE2">
        <w:rPr>
          <w:color w:val="000000"/>
        </w:rPr>
        <w:t>The complete Python implementation is provided as the supplementary Google Colab notebook (</w:t>
      </w:r>
      <w:proofErr w:type="spellStart"/>
      <w:r w:rsidRPr="00FF3FE2">
        <w:rPr>
          <w:color w:val="000000"/>
        </w:rPr>
        <w:t>AMST_Shape_Descriptor_Fixed.ipynb</w:t>
      </w:r>
      <w:proofErr w:type="spellEnd"/>
      <w:r w:rsidRPr="00FF3FE2">
        <w:rPr>
          <w:color w:val="000000"/>
        </w:rPr>
        <w:t>), containing all descriptor extraction code, baseline implementations, evaluation scripts, and figure generation routines. The KIMIA-216 dataset is publicly available from the Brown University Vision Group Shape Database. All experiments are fully reproducible using fixed random seed (</w:t>
      </w:r>
      <w:proofErr w:type="spellStart"/>
      <w:r w:rsidRPr="00FF3FE2">
        <w:rPr>
          <w:color w:val="000000"/>
        </w:rPr>
        <w:t>numpy.random.seed</w:t>
      </w:r>
      <w:proofErr w:type="spellEnd"/>
      <w:r w:rsidRPr="00FF3FE2">
        <w:rPr>
          <w:color w:val="000000"/>
        </w:rPr>
        <w:t>(42)).</w:t>
      </w:r>
    </w:p>
    <w:p w14:paraId="6E7120D0" w14:textId="77777777" w:rsidR="00B732AE" w:rsidRPr="00FF3FE2" w:rsidRDefault="00000000">
      <w:pPr>
        <w:pStyle w:val="Heading2"/>
        <w:rPr>
          <w:rFonts w:ascii="Times New Roman" w:hAnsi="Times New Roman" w:cs="Times New Roman"/>
        </w:rPr>
      </w:pPr>
      <w:r w:rsidRPr="00FF3FE2">
        <w:rPr>
          <w:rFonts w:ascii="Times New Roman" w:hAnsi="Times New Roman" w:cs="Times New Roman"/>
        </w:rPr>
        <w:t>Competing Interests</w:t>
      </w:r>
    </w:p>
    <w:p w14:paraId="0504BA16" w14:textId="77777777" w:rsidR="00B732AE" w:rsidRPr="00FF3FE2" w:rsidRDefault="00000000">
      <w:pPr>
        <w:spacing w:before="80" w:after="80" w:line="290" w:lineRule="auto"/>
        <w:jc w:val="both"/>
      </w:pPr>
      <w:r w:rsidRPr="00FF3FE2">
        <w:rPr>
          <w:color w:val="000000"/>
        </w:rPr>
        <w:t>The author declares no competing financial or personal interests that could have influenced the findings reported in this paper.</w:t>
      </w:r>
    </w:p>
    <w:p w14:paraId="21638E79" w14:textId="77777777" w:rsidR="00B732AE" w:rsidRPr="00FF3FE2" w:rsidRDefault="00000000">
      <w:pPr>
        <w:pStyle w:val="Heading2"/>
        <w:rPr>
          <w:rFonts w:ascii="Times New Roman" w:hAnsi="Times New Roman" w:cs="Times New Roman"/>
        </w:rPr>
      </w:pPr>
      <w:r w:rsidRPr="00FF3FE2">
        <w:rPr>
          <w:rFonts w:ascii="Times New Roman" w:hAnsi="Times New Roman" w:cs="Times New Roman"/>
        </w:rPr>
        <w:t>Ethical Approval</w:t>
      </w:r>
    </w:p>
    <w:p w14:paraId="035D7F71" w14:textId="77777777" w:rsidR="00B732AE" w:rsidRPr="00FF3FE2" w:rsidRDefault="00000000">
      <w:pPr>
        <w:spacing w:before="80" w:after="80" w:line="290" w:lineRule="auto"/>
        <w:jc w:val="both"/>
      </w:pPr>
      <w:r w:rsidRPr="00FF3FE2">
        <w:rPr>
          <w:color w:val="000000"/>
        </w:rPr>
        <w:t>The KIMIA-216 dataset consists of binary silhouette images containing no personally identifiable information. No new data involving human or animal subjects were collected. Ethical approval is not required.</w:t>
      </w:r>
    </w:p>
    <w:p w14:paraId="34EED078" w14:textId="77777777" w:rsidR="00B732AE" w:rsidRPr="00FF3FE2" w:rsidRDefault="00000000">
      <w:pPr>
        <w:pStyle w:val="Heading1"/>
        <w:pBdr>
          <w:bottom w:val="single" w:sz="8" w:space="4" w:color="1A3A6B"/>
        </w:pBdr>
        <w:rPr>
          <w:rFonts w:ascii="Times New Roman" w:hAnsi="Times New Roman" w:cs="Times New Roman"/>
        </w:rPr>
      </w:pPr>
      <w:r w:rsidRPr="00FF3FE2">
        <w:rPr>
          <w:rFonts w:ascii="Times New Roman" w:hAnsi="Times New Roman" w:cs="Times New Roman"/>
        </w:rPr>
        <w:t>REFERENCES</w:t>
      </w:r>
    </w:p>
    <w:p w14:paraId="48C04AD5" w14:textId="6226A30C" w:rsidR="00B732AE" w:rsidRPr="00FF3FE2" w:rsidRDefault="00000000">
      <w:pPr>
        <w:spacing w:before="36" w:after="36"/>
        <w:ind w:left="360" w:hanging="360"/>
      </w:pPr>
      <w:r w:rsidRPr="00FF3FE2">
        <w:rPr>
          <w:color w:val="000000"/>
          <w:sz w:val="19"/>
          <w:szCs w:val="19"/>
        </w:rPr>
        <w:t>[1] Loncaric, S. (1998). A survey of shape analysis techniques. Pattern Recognition, 31(8), 983–1001.</w:t>
      </w:r>
    </w:p>
    <w:p w14:paraId="1403B2E9" w14:textId="7F49F579" w:rsidR="00B732AE" w:rsidRPr="00FF3FE2" w:rsidRDefault="00000000">
      <w:pPr>
        <w:spacing w:before="36" w:after="36"/>
        <w:ind w:left="360" w:hanging="360"/>
      </w:pPr>
      <w:r w:rsidRPr="00FF3FE2">
        <w:rPr>
          <w:color w:val="000000"/>
          <w:sz w:val="19"/>
          <w:szCs w:val="19"/>
        </w:rPr>
        <w:t>[2] Zhang, D., &amp; Lu, G. (2004). Review of shape representation and description techniques. Pattern Recognition, 37(1), 1–19.</w:t>
      </w:r>
    </w:p>
    <w:p w14:paraId="6CF34CD7" w14:textId="535B154C" w:rsidR="00B732AE" w:rsidRPr="00FF3FE2" w:rsidRDefault="00000000">
      <w:pPr>
        <w:spacing w:before="36" w:after="36"/>
        <w:ind w:left="360" w:hanging="360"/>
      </w:pPr>
      <w:r w:rsidRPr="00FF3FE2">
        <w:rPr>
          <w:color w:val="000000"/>
          <w:sz w:val="19"/>
          <w:szCs w:val="19"/>
        </w:rPr>
        <w:t xml:space="preserve">[3] </w:t>
      </w:r>
      <w:proofErr w:type="spellStart"/>
      <w:r w:rsidRPr="00FF3FE2">
        <w:rPr>
          <w:color w:val="000000"/>
          <w:sz w:val="19"/>
          <w:szCs w:val="19"/>
        </w:rPr>
        <w:t>Litjens</w:t>
      </w:r>
      <w:proofErr w:type="spellEnd"/>
      <w:r w:rsidRPr="00FF3FE2">
        <w:rPr>
          <w:color w:val="000000"/>
          <w:sz w:val="19"/>
          <w:szCs w:val="19"/>
        </w:rPr>
        <w:t>, G., et al. (2017). A survey on deep learning in medical image analysis. Medical Image Analysis, 42, 60–88.</w:t>
      </w:r>
    </w:p>
    <w:p w14:paraId="4CD7B6C9" w14:textId="684CE5A4" w:rsidR="00B732AE" w:rsidRPr="00FF3FE2" w:rsidRDefault="00000000">
      <w:pPr>
        <w:spacing w:before="36" w:after="36"/>
        <w:ind w:left="360" w:hanging="360"/>
      </w:pPr>
      <w:r w:rsidRPr="00FF3FE2">
        <w:rPr>
          <w:color w:val="000000"/>
          <w:sz w:val="19"/>
          <w:szCs w:val="19"/>
        </w:rPr>
        <w:t xml:space="preserve">[4] </w:t>
      </w:r>
      <w:proofErr w:type="spellStart"/>
      <w:r w:rsidRPr="00FF3FE2">
        <w:rPr>
          <w:color w:val="000000"/>
          <w:sz w:val="19"/>
          <w:szCs w:val="19"/>
        </w:rPr>
        <w:t>Bohg</w:t>
      </w:r>
      <w:proofErr w:type="spellEnd"/>
      <w:r w:rsidRPr="00FF3FE2">
        <w:rPr>
          <w:color w:val="000000"/>
          <w:sz w:val="19"/>
          <w:szCs w:val="19"/>
        </w:rPr>
        <w:t xml:space="preserve">, J., Morales, A., Asfour, T., &amp; </w:t>
      </w:r>
      <w:proofErr w:type="spellStart"/>
      <w:r w:rsidRPr="00FF3FE2">
        <w:rPr>
          <w:color w:val="000000"/>
          <w:sz w:val="19"/>
          <w:szCs w:val="19"/>
        </w:rPr>
        <w:t>Kragic</w:t>
      </w:r>
      <w:proofErr w:type="spellEnd"/>
      <w:r w:rsidRPr="00FF3FE2">
        <w:rPr>
          <w:color w:val="000000"/>
          <w:sz w:val="19"/>
          <w:szCs w:val="19"/>
        </w:rPr>
        <w:t>, D. (2014). Data-driven grasp synthesis. IEEE Transactions on Robotics, 30(2), 289–309.</w:t>
      </w:r>
    </w:p>
    <w:p w14:paraId="0A8C1F67" w14:textId="6912A708" w:rsidR="00B732AE" w:rsidRPr="00FF3FE2" w:rsidRDefault="00000000">
      <w:pPr>
        <w:spacing w:before="36" w:after="36"/>
        <w:ind w:left="360" w:hanging="360"/>
      </w:pPr>
      <w:r w:rsidRPr="00FF3FE2">
        <w:rPr>
          <w:color w:val="000000"/>
          <w:sz w:val="19"/>
          <w:szCs w:val="19"/>
        </w:rPr>
        <w:t xml:space="preserve">[5] </w:t>
      </w:r>
      <w:proofErr w:type="spellStart"/>
      <w:r w:rsidRPr="00FF3FE2">
        <w:rPr>
          <w:color w:val="000000"/>
          <w:sz w:val="19"/>
          <w:szCs w:val="19"/>
        </w:rPr>
        <w:t>Tursun</w:t>
      </w:r>
      <w:proofErr w:type="spellEnd"/>
      <w:r w:rsidRPr="00FF3FE2">
        <w:rPr>
          <w:color w:val="000000"/>
          <w:sz w:val="19"/>
          <w:szCs w:val="19"/>
        </w:rPr>
        <w:t xml:space="preserve">, O., &amp; </w:t>
      </w:r>
      <w:proofErr w:type="spellStart"/>
      <w:r w:rsidRPr="00FF3FE2">
        <w:rPr>
          <w:color w:val="000000"/>
          <w:sz w:val="19"/>
          <w:szCs w:val="19"/>
        </w:rPr>
        <w:t>Liwicki</w:t>
      </w:r>
      <w:proofErr w:type="spellEnd"/>
      <w:r w:rsidRPr="00FF3FE2">
        <w:rPr>
          <w:color w:val="000000"/>
          <w:sz w:val="19"/>
          <w:szCs w:val="19"/>
        </w:rPr>
        <w:t>, S. (2019). Large-scale trademark retrieval. IEEE TPAMI, 41(12), 2988–3001.</w:t>
      </w:r>
    </w:p>
    <w:p w14:paraId="3C9D78DA" w14:textId="0B9ED1AD" w:rsidR="00B732AE" w:rsidRPr="00FF3FE2" w:rsidRDefault="00000000">
      <w:pPr>
        <w:spacing w:before="36" w:after="36"/>
        <w:ind w:left="360" w:hanging="360"/>
      </w:pPr>
      <w:r w:rsidRPr="00FF3FE2">
        <w:rPr>
          <w:color w:val="000000"/>
          <w:sz w:val="19"/>
          <w:szCs w:val="19"/>
        </w:rPr>
        <w:t>[6] Karasev, V., Ravikumar, P., &amp; Rehg, J. M. (2014). Shape-based artefact classification. Pattern Recognition, 47(1), 11–22.</w:t>
      </w:r>
    </w:p>
    <w:p w14:paraId="00321326" w14:textId="66DE7F4F" w:rsidR="00B732AE" w:rsidRPr="00FF3FE2" w:rsidRDefault="00000000">
      <w:pPr>
        <w:spacing w:before="36" w:after="36"/>
        <w:ind w:left="360" w:hanging="360"/>
      </w:pPr>
      <w:r w:rsidRPr="00FF3FE2">
        <w:rPr>
          <w:color w:val="000000"/>
          <w:sz w:val="19"/>
          <w:szCs w:val="19"/>
        </w:rPr>
        <w:t xml:space="preserve">[7] Caesar, H., et al. (2020). </w:t>
      </w:r>
      <w:proofErr w:type="spellStart"/>
      <w:r w:rsidRPr="00FF3FE2">
        <w:rPr>
          <w:color w:val="000000"/>
          <w:sz w:val="19"/>
          <w:szCs w:val="19"/>
        </w:rPr>
        <w:t>nuScenes</w:t>
      </w:r>
      <w:proofErr w:type="spellEnd"/>
      <w:r w:rsidRPr="00FF3FE2">
        <w:rPr>
          <w:color w:val="000000"/>
          <w:sz w:val="19"/>
          <w:szCs w:val="19"/>
        </w:rPr>
        <w:t>: A multimodal dataset for autonomous driving. CVPR 2020, 11621–11631.</w:t>
      </w:r>
    </w:p>
    <w:p w14:paraId="1C154504" w14:textId="00C6F303" w:rsidR="00B732AE" w:rsidRPr="00FF3FE2" w:rsidRDefault="00000000">
      <w:pPr>
        <w:spacing w:before="36" w:after="36"/>
        <w:ind w:left="360" w:hanging="360"/>
      </w:pPr>
      <w:r w:rsidRPr="00FF3FE2">
        <w:rPr>
          <w:color w:val="000000"/>
          <w:sz w:val="19"/>
          <w:szCs w:val="19"/>
        </w:rPr>
        <w:t>[8] Kuhl, F. P., &amp; Giardina, C. R. (1982). Elliptic Fourier features of a closed contour. CGIP, 18(3), 236–258.</w:t>
      </w:r>
    </w:p>
    <w:p w14:paraId="7705645F" w14:textId="6B65707C" w:rsidR="00B732AE" w:rsidRPr="00FF3FE2" w:rsidRDefault="00000000">
      <w:pPr>
        <w:spacing w:before="36" w:after="36"/>
        <w:ind w:left="360" w:hanging="360"/>
      </w:pPr>
      <w:r w:rsidRPr="00FF3FE2">
        <w:rPr>
          <w:color w:val="000000"/>
          <w:sz w:val="19"/>
          <w:szCs w:val="19"/>
        </w:rPr>
        <w:t>[9] Mallat, S. G. (1989). A theory for multiresolution signal decomposition: the wavelet representation. IEEE TPAMI, 11(7), 674–693.</w:t>
      </w:r>
    </w:p>
    <w:p w14:paraId="24E88866" w14:textId="77777777" w:rsidR="00B732AE" w:rsidRPr="00FF3FE2" w:rsidRDefault="00000000">
      <w:pPr>
        <w:spacing w:before="36" w:after="36"/>
        <w:ind w:left="360" w:hanging="360"/>
      </w:pPr>
      <w:r w:rsidRPr="00FF3FE2">
        <w:rPr>
          <w:color w:val="000000"/>
          <w:sz w:val="19"/>
          <w:szCs w:val="19"/>
        </w:rPr>
        <w:t xml:space="preserve">[10] </w:t>
      </w:r>
      <w:proofErr w:type="spellStart"/>
      <w:r w:rsidRPr="00FF3FE2">
        <w:rPr>
          <w:color w:val="000000"/>
          <w:sz w:val="19"/>
          <w:szCs w:val="19"/>
        </w:rPr>
        <w:t>Edelsbrunner</w:t>
      </w:r>
      <w:proofErr w:type="spellEnd"/>
      <w:r w:rsidRPr="00FF3FE2">
        <w:rPr>
          <w:color w:val="000000"/>
          <w:sz w:val="19"/>
          <w:szCs w:val="19"/>
        </w:rPr>
        <w:t xml:space="preserve">, H., Letscher, D., &amp; </w:t>
      </w:r>
      <w:proofErr w:type="spellStart"/>
      <w:r w:rsidRPr="00FF3FE2">
        <w:rPr>
          <w:color w:val="000000"/>
          <w:sz w:val="19"/>
          <w:szCs w:val="19"/>
        </w:rPr>
        <w:t>Zomorodian</w:t>
      </w:r>
      <w:proofErr w:type="spellEnd"/>
      <w:r w:rsidRPr="00FF3FE2">
        <w:rPr>
          <w:color w:val="000000"/>
          <w:sz w:val="19"/>
          <w:szCs w:val="19"/>
        </w:rPr>
        <w:t>, A. (2002). Topological persistence and simplification. Discrete &amp; Computational Geometry, 28(4), 511–533.</w:t>
      </w:r>
    </w:p>
    <w:p w14:paraId="07C57C83" w14:textId="77777777" w:rsidR="00B732AE" w:rsidRPr="00FF3FE2" w:rsidRDefault="00000000">
      <w:pPr>
        <w:spacing w:before="36" w:after="36"/>
        <w:ind w:left="360" w:hanging="360"/>
      </w:pPr>
      <w:r w:rsidRPr="00FF3FE2">
        <w:rPr>
          <w:color w:val="000000"/>
          <w:sz w:val="19"/>
          <w:szCs w:val="19"/>
        </w:rPr>
        <w:t xml:space="preserve">[11] Cohen-Steiner, D., </w:t>
      </w:r>
      <w:proofErr w:type="spellStart"/>
      <w:r w:rsidRPr="00FF3FE2">
        <w:rPr>
          <w:color w:val="000000"/>
          <w:sz w:val="19"/>
          <w:szCs w:val="19"/>
        </w:rPr>
        <w:t>Edelsbrunner</w:t>
      </w:r>
      <w:proofErr w:type="spellEnd"/>
      <w:r w:rsidRPr="00FF3FE2">
        <w:rPr>
          <w:color w:val="000000"/>
          <w:sz w:val="19"/>
          <w:szCs w:val="19"/>
        </w:rPr>
        <w:t>, H., &amp; Harer, J. (2007). Stability of persistence diagrams. Discrete &amp; Computational Geometry, 37(1), 103–120.</w:t>
      </w:r>
    </w:p>
    <w:p w14:paraId="3E465DB2" w14:textId="77777777" w:rsidR="00B732AE" w:rsidRPr="00FF3FE2" w:rsidRDefault="00000000">
      <w:pPr>
        <w:spacing w:before="36" w:after="36"/>
        <w:ind w:left="360" w:hanging="360"/>
      </w:pPr>
      <w:r w:rsidRPr="00FF3FE2">
        <w:rPr>
          <w:color w:val="000000"/>
          <w:sz w:val="19"/>
          <w:szCs w:val="19"/>
        </w:rPr>
        <w:t xml:space="preserve">[12] </w:t>
      </w:r>
      <w:proofErr w:type="spellStart"/>
      <w:r w:rsidRPr="00FF3FE2">
        <w:rPr>
          <w:color w:val="000000"/>
          <w:sz w:val="19"/>
          <w:szCs w:val="19"/>
        </w:rPr>
        <w:t>Arsigny</w:t>
      </w:r>
      <w:proofErr w:type="spellEnd"/>
      <w:r w:rsidRPr="00FF3FE2">
        <w:rPr>
          <w:color w:val="000000"/>
          <w:sz w:val="19"/>
          <w:szCs w:val="19"/>
        </w:rPr>
        <w:t xml:space="preserve">, V., </w:t>
      </w:r>
      <w:proofErr w:type="spellStart"/>
      <w:r w:rsidRPr="00FF3FE2">
        <w:rPr>
          <w:color w:val="000000"/>
          <w:sz w:val="19"/>
          <w:szCs w:val="19"/>
        </w:rPr>
        <w:t>Fillard</w:t>
      </w:r>
      <w:proofErr w:type="spellEnd"/>
      <w:r w:rsidRPr="00FF3FE2">
        <w:rPr>
          <w:color w:val="000000"/>
          <w:sz w:val="19"/>
          <w:szCs w:val="19"/>
        </w:rPr>
        <w:t>, P., Pennec, X., &amp; Ayache, N. (2007). Geometric means in a novel vector space structure on SPD matrices. SIAM JMAA, 29(1), 328–347.</w:t>
      </w:r>
    </w:p>
    <w:p w14:paraId="2C8540AB" w14:textId="77777777" w:rsidR="00B732AE" w:rsidRPr="00FF3FE2" w:rsidRDefault="00000000">
      <w:pPr>
        <w:spacing w:before="36" w:after="36"/>
        <w:ind w:left="360" w:hanging="360"/>
      </w:pPr>
      <w:r w:rsidRPr="00FF3FE2">
        <w:rPr>
          <w:color w:val="000000"/>
          <w:sz w:val="19"/>
          <w:szCs w:val="19"/>
        </w:rPr>
        <w:t xml:space="preserve">[13] Pennec, X., </w:t>
      </w:r>
      <w:proofErr w:type="spellStart"/>
      <w:r w:rsidRPr="00FF3FE2">
        <w:rPr>
          <w:color w:val="000000"/>
          <w:sz w:val="19"/>
          <w:szCs w:val="19"/>
        </w:rPr>
        <w:t>Fillard</w:t>
      </w:r>
      <w:proofErr w:type="spellEnd"/>
      <w:r w:rsidRPr="00FF3FE2">
        <w:rPr>
          <w:color w:val="000000"/>
          <w:sz w:val="19"/>
          <w:szCs w:val="19"/>
        </w:rPr>
        <w:t>, P., &amp; Ayache, N. (2006). A Riemannian framework for tensor computing. IJCV, 66(1), 41–66.</w:t>
      </w:r>
    </w:p>
    <w:p w14:paraId="0F0EB325" w14:textId="77777777" w:rsidR="00B732AE" w:rsidRPr="00FF3FE2" w:rsidRDefault="00000000">
      <w:pPr>
        <w:spacing w:before="36" w:after="36"/>
        <w:ind w:left="360" w:hanging="360"/>
      </w:pPr>
      <w:r w:rsidRPr="00FF3FE2">
        <w:rPr>
          <w:color w:val="000000"/>
          <w:sz w:val="19"/>
          <w:szCs w:val="19"/>
        </w:rPr>
        <w:t xml:space="preserve">[14] Zahn, C. T., &amp; </w:t>
      </w:r>
      <w:proofErr w:type="spellStart"/>
      <w:r w:rsidRPr="00FF3FE2">
        <w:rPr>
          <w:color w:val="000000"/>
          <w:sz w:val="19"/>
          <w:szCs w:val="19"/>
        </w:rPr>
        <w:t>Roskies</w:t>
      </w:r>
      <w:proofErr w:type="spellEnd"/>
      <w:r w:rsidRPr="00FF3FE2">
        <w:rPr>
          <w:color w:val="000000"/>
          <w:sz w:val="19"/>
          <w:szCs w:val="19"/>
        </w:rPr>
        <w:t>, R. Z. (1972). Fourier descriptors for plane closed curves. IEEE Transactions on Computers, C-21(3), 269–281.</w:t>
      </w:r>
    </w:p>
    <w:p w14:paraId="41FB4FCF" w14:textId="77777777" w:rsidR="00B732AE" w:rsidRPr="00FF3FE2" w:rsidRDefault="00000000">
      <w:pPr>
        <w:spacing w:before="36" w:after="36"/>
        <w:ind w:left="360" w:hanging="360"/>
      </w:pPr>
      <w:r w:rsidRPr="00FF3FE2">
        <w:rPr>
          <w:color w:val="000000"/>
          <w:sz w:val="19"/>
          <w:szCs w:val="19"/>
        </w:rPr>
        <w:t>[15] Zhang, D., &amp; Lu, G. (2002). A comparative study of Fourier descriptors for shape representation. Proc. 5th ACCV, 1, 646–651.</w:t>
      </w:r>
    </w:p>
    <w:p w14:paraId="613188F8" w14:textId="77777777" w:rsidR="00B732AE" w:rsidRPr="00FF3FE2" w:rsidRDefault="00000000">
      <w:pPr>
        <w:spacing w:before="36" w:after="36"/>
        <w:ind w:left="360" w:hanging="360"/>
      </w:pPr>
      <w:r w:rsidRPr="00FF3FE2">
        <w:rPr>
          <w:color w:val="000000"/>
          <w:sz w:val="19"/>
          <w:szCs w:val="19"/>
        </w:rPr>
        <w:t>[16] Chuang, G. C.-H., &amp; Kuo, C.-C. J. (1996). Wavelet descriptor of planar curves: theory and applications. IEEE TIP, 5(1), 56–70.</w:t>
      </w:r>
    </w:p>
    <w:p w14:paraId="44608AF4" w14:textId="77777777" w:rsidR="00B732AE" w:rsidRPr="00FF3FE2" w:rsidRDefault="00000000">
      <w:pPr>
        <w:spacing w:before="36" w:after="36"/>
        <w:ind w:left="360" w:hanging="360"/>
      </w:pPr>
      <w:r w:rsidRPr="00FF3FE2">
        <w:rPr>
          <w:color w:val="000000"/>
          <w:sz w:val="19"/>
          <w:szCs w:val="19"/>
        </w:rPr>
        <w:t xml:space="preserve">[17] Charalampidis, D., &amp; </w:t>
      </w:r>
      <w:proofErr w:type="spellStart"/>
      <w:r w:rsidRPr="00FF3FE2">
        <w:rPr>
          <w:color w:val="000000"/>
          <w:sz w:val="19"/>
          <w:szCs w:val="19"/>
        </w:rPr>
        <w:t>Kasparis</w:t>
      </w:r>
      <w:proofErr w:type="spellEnd"/>
      <w:r w:rsidRPr="00FF3FE2">
        <w:rPr>
          <w:color w:val="000000"/>
          <w:sz w:val="19"/>
          <w:szCs w:val="19"/>
        </w:rPr>
        <w:t>, T. (2002). Wavelet-based rotational invariant roughness features. IEEE TIP, 11(8), 825–837.</w:t>
      </w:r>
    </w:p>
    <w:p w14:paraId="46BF8BF4" w14:textId="77777777" w:rsidR="00B732AE" w:rsidRPr="00FF3FE2" w:rsidRDefault="00000000">
      <w:pPr>
        <w:spacing w:before="36" w:after="36"/>
        <w:ind w:left="360" w:hanging="360"/>
      </w:pPr>
      <w:r w:rsidRPr="00FF3FE2">
        <w:rPr>
          <w:color w:val="000000"/>
          <w:sz w:val="19"/>
          <w:szCs w:val="19"/>
        </w:rPr>
        <w:t>[18] Carlsson, G. (2009). Topology and data. Bulletin of the American Mathematical Society, 46(2), 255–308.</w:t>
      </w:r>
    </w:p>
    <w:p w14:paraId="3D68FD43" w14:textId="77777777" w:rsidR="00B732AE" w:rsidRPr="00FF3FE2" w:rsidRDefault="00000000">
      <w:pPr>
        <w:spacing w:before="36" w:after="36"/>
        <w:ind w:left="360" w:hanging="360"/>
      </w:pPr>
      <w:r w:rsidRPr="00FF3FE2">
        <w:rPr>
          <w:color w:val="000000"/>
          <w:sz w:val="19"/>
          <w:szCs w:val="19"/>
        </w:rPr>
        <w:t>[19] Biasotti, S., et al. (2008). Reeb graphs for shape analysis and applications. Theoretical Computer Science, 392(1–3), 5–22.</w:t>
      </w:r>
    </w:p>
    <w:p w14:paraId="7FC8C336" w14:textId="77777777" w:rsidR="00B732AE" w:rsidRPr="00FF3FE2" w:rsidRDefault="00000000">
      <w:pPr>
        <w:spacing w:before="36" w:after="36"/>
        <w:ind w:left="360" w:hanging="360"/>
      </w:pPr>
      <w:r w:rsidRPr="00FF3FE2">
        <w:rPr>
          <w:color w:val="000000"/>
          <w:sz w:val="19"/>
          <w:szCs w:val="19"/>
        </w:rPr>
        <w:lastRenderedPageBreak/>
        <w:t>[20] Skraba, P., &amp; Turner, K. (2021). Wasserstein stability for persistence diagrams. arXiv:2006.16824.</w:t>
      </w:r>
    </w:p>
    <w:p w14:paraId="53F5E095" w14:textId="77777777" w:rsidR="00B732AE" w:rsidRPr="00FF3FE2" w:rsidRDefault="00000000">
      <w:pPr>
        <w:spacing w:before="36" w:after="36"/>
        <w:ind w:left="360" w:hanging="360"/>
      </w:pPr>
      <w:r w:rsidRPr="00FF3FE2">
        <w:rPr>
          <w:color w:val="000000"/>
          <w:sz w:val="19"/>
          <w:szCs w:val="19"/>
        </w:rPr>
        <w:t>[21] Chazal, F., &amp; Michel, B. (2021). An introduction to topological data analysis. Frontiers in Artificial Intelligence, 4, 667963.</w:t>
      </w:r>
    </w:p>
    <w:p w14:paraId="1AB5989C" w14:textId="77777777" w:rsidR="00B732AE" w:rsidRPr="00FF3FE2" w:rsidRDefault="00000000">
      <w:pPr>
        <w:spacing w:before="36" w:after="36"/>
        <w:ind w:left="360" w:hanging="360"/>
      </w:pPr>
      <w:r w:rsidRPr="00FF3FE2">
        <w:rPr>
          <w:color w:val="000000"/>
          <w:sz w:val="19"/>
          <w:szCs w:val="19"/>
        </w:rPr>
        <w:t xml:space="preserve">[22] Bauer, U. (2021). </w:t>
      </w:r>
      <w:proofErr w:type="spellStart"/>
      <w:r w:rsidRPr="00FF3FE2">
        <w:rPr>
          <w:color w:val="000000"/>
          <w:sz w:val="19"/>
          <w:szCs w:val="19"/>
        </w:rPr>
        <w:t>Ripser</w:t>
      </w:r>
      <w:proofErr w:type="spellEnd"/>
      <w:r w:rsidRPr="00FF3FE2">
        <w:rPr>
          <w:color w:val="000000"/>
          <w:sz w:val="19"/>
          <w:szCs w:val="19"/>
        </w:rPr>
        <w:t>: Efficient computation of Vietoris–Rips persistence barcodes. JACT, 5(3), 391–423.</w:t>
      </w:r>
    </w:p>
    <w:p w14:paraId="43AC6267" w14:textId="77777777" w:rsidR="00B732AE" w:rsidRPr="00FF3FE2" w:rsidRDefault="00000000">
      <w:pPr>
        <w:spacing w:before="36" w:after="36"/>
        <w:ind w:left="360" w:hanging="360"/>
      </w:pPr>
      <w:r w:rsidRPr="00FF3FE2">
        <w:rPr>
          <w:color w:val="000000"/>
          <w:sz w:val="19"/>
          <w:szCs w:val="19"/>
        </w:rPr>
        <w:t xml:space="preserve">[23] </w:t>
      </w:r>
      <w:proofErr w:type="spellStart"/>
      <w:r w:rsidRPr="00FF3FE2">
        <w:rPr>
          <w:color w:val="000000"/>
          <w:sz w:val="19"/>
          <w:szCs w:val="19"/>
        </w:rPr>
        <w:t>Tuzel</w:t>
      </w:r>
      <w:proofErr w:type="spellEnd"/>
      <w:r w:rsidRPr="00FF3FE2">
        <w:rPr>
          <w:color w:val="000000"/>
          <w:sz w:val="19"/>
          <w:szCs w:val="19"/>
        </w:rPr>
        <w:t xml:space="preserve">, O., </w:t>
      </w:r>
      <w:proofErr w:type="spellStart"/>
      <w:r w:rsidRPr="00FF3FE2">
        <w:rPr>
          <w:color w:val="000000"/>
          <w:sz w:val="19"/>
          <w:szCs w:val="19"/>
        </w:rPr>
        <w:t>Porikli</w:t>
      </w:r>
      <w:proofErr w:type="spellEnd"/>
      <w:r w:rsidRPr="00FF3FE2">
        <w:rPr>
          <w:color w:val="000000"/>
          <w:sz w:val="19"/>
          <w:szCs w:val="19"/>
        </w:rPr>
        <w:t>, F., &amp; Meer, P. (2006). Region covariance: A fast descriptor for detection and classification. ECCV 2006, LNCS 3952.</w:t>
      </w:r>
    </w:p>
    <w:p w14:paraId="4747D911" w14:textId="77777777" w:rsidR="00B732AE" w:rsidRPr="00FF3FE2" w:rsidRDefault="00000000">
      <w:pPr>
        <w:spacing w:before="36" w:after="36"/>
        <w:ind w:left="360" w:hanging="360"/>
      </w:pPr>
      <w:r w:rsidRPr="00FF3FE2">
        <w:rPr>
          <w:color w:val="000000"/>
          <w:sz w:val="19"/>
          <w:szCs w:val="19"/>
        </w:rPr>
        <w:t>[24] Harandi, M. T., et al. (2012). Sparse coding and dictionary learning for SPD matrices. ECCV 2012.</w:t>
      </w:r>
    </w:p>
    <w:p w14:paraId="2A5F3E3D" w14:textId="77777777" w:rsidR="00B732AE" w:rsidRPr="00FF3FE2" w:rsidRDefault="00000000">
      <w:pPr>
        <w:spacing w:before="36" w:after="36"/>
        <w:ind w:left="360" w:hanging="360"/>
      </w:pPr>
      <w:r w:rsidRPr="00FF3FE2">
        <w:rPr>
          <w:color w:val="000000"/>
          <w:sz w:val="19"/>
          <w:szCs w:val="19"/>
        </w:rPr>
        <w:t>[25] Huang, Z., et al. (2015). Log-Euclidean metric learning on SPD manifold. ICML 2015.</w:t>
      </w:r>
    </w:p>
    <w:p w14:paraId="22E37491" w14:textId="77777777" w:rsidR="00B732AE" w:rsidRPr="00FF3FE2" w:rsidRDefault="00000000">
      <w:pPr>
        <w:spacing w:before="36" w:after="36"/>
        <w:ind w:left="360" w:hanging="360"/>
      </w:pPr>
      <w:r w:rsidRPr="00FF3FE2">
        <w:rPr>
          <w:color w:val="000000"/>
          <w:sz w:val="19"/>
          <w:szCs w:val="19"/>
        </w:rPr>
        <w:t>[26] Dryden, I. L., et al. (2009). Non-Euclidean statistics for covariance matrices. Electronic Journal of Statistics, 3, 1102–1128.</w:t>
      </w:r>
    </w:p>
    <w:p w14:paraId="0AFBA051" w14:textId="77777777" w:rsidR="00B732AE" w:rsidRPr="00FF3FE2" w:rsidRDefault="00000000">
      <w:pPr>
        <w:spacing w:before="36" w:after="36"/>
        <w:ind w:left="360" w:hanging="360"/>
      </w:pPr>
      <w:r w:rsidRPr="00FF3FE2">
        <w:rPr>
          <w:color w:val="000000"/>
          <w:sz w:val="19"/>
          <w:szCs w:val="19"/>
        </w:rPr>
        <w:t>[27] Huang, Z., Wu, J., &amp; Van Gool, L. (2018). Building deep networks on Grassmann manifolds. AAAI-18, 32(1), 3279–3286.</w:t>
      </w:r>
    </w:p>
    <w:p w14:paraId="7241FB65" w14:textId="77777777" w:rsidR="00B732AE" w:rsidRPr="00FF3FE2" w:rsidRDefault="00000000">
      <w:pPr>
        <w:spacing w:before="36" w:after="36"/>
        <w:ind w:left="360" w:hanging="360"/>
      </w:pPr>
      <w:r w:rsidRPr="00FF3FE2">
        <w:rPr>
          <w:color w:val="000000"/>
          <w:sz w:val="19"/>
          <w:szCs w:val="19"/>
        </w:rPr>
        <w:t xml:space="preserve">[28] </w:t>
      </w:r>
      <w:proofErr w:type="spellStart"/>
      <w:r w:rsidRPr="00FF3FE2">
        <w:rPr>
          <w:color w:val="000000"/>
          <w:sz w:val="19"/>
          <w:szCs w:val="19"/>
        </w:rPr>
        <w:t>Khotanzad</w:t>
      </w:r>
      <w:proofErr w:type="spellEnd"/>
      <w:r w:rsidRPr="00FF3FE2">
        <w:rPr>
          <w:color w:val="000000"/>
          <w:sz w:val="19"/>
          <w:szCs w:val="19"/>
        </w:rPr>
        <w:t>, A., &amp; Hong, Y. H. (1990). Invariant image recognition by Zernike moments. IEEE TPAMI, 12(5), 489–497.</w:t>
      </w:r>
    </w:p>
    <w:p w14:paraId="685645D4" w14:textId="77777777" w:rsidR="00B732AE" w:rsidRPr="00FF3FE2" w:rsidRDefault="00000000">
      <w:pPr>
        <w:spacing w:before="36" w:after="36"/>
        <w:ind w:left="360" w:hanging="360"/>
      </w:pPr>
      <w:r w:rsidRPr="00FF3FE2">
        <w:rPr>
          <w:color w:val="000000"/>
          <w:sz w:val="19"/>
          <w:szCs w:val="19"/>
        </w:rPr>
        <w:t xml:space="preserve">[29] Belongie, S., Malik, J., &amp; </w:t>
      </w:r>
      <w:proofErr w:type="spellStart"/>
      <w:r w:rsidRPr="00FF3FE2">
        <w:rPr>
          <w:color w:val="000000"/>
          <w:sz w:val="19"/>
          <w:szCs w:val="19"/>
        </w:rPr>
        <w:t>Puzicha</w:t>
      </w:r>
      <w:proofErr w:type="spellEnd"/>
      <w:r w:rsidRPr="00FF3FE2">
        <w:rPr>
          <w:color w:val="000000"/>
          <w:sz w:val="19"/>
          <w:szCs w:val="19"/>
        </w:rPr>
        <w:t>, J. (2002). Shape matching and object recognition using shape contexts. IEEE TPAMI, 24(4), 509–522.</w:t>
      </w:r>
    </w:p>
    <w:p w14:paraId="50C1C4D5" w14:textId="77777777" w:rsidR="00B732AE" w:rsidRPr="00FF3FE2" w:rsidRDefault="00000000">
      <w:pPr>
        <w:spacing w:before="36" w:after="36"/>
        <w:ind w:left="360" w:hanging="360"/>
      </w:pPr>
      <w:r w:rsidRPr="00FF3FE2">
        <w:rPr>
          <w:color w:val="000000"/>
          <w:sz w:val="19"/>
          <w:szCs w:val="19"/>
        </w:rPr>
        <w:t>[30] Ling, H., &amp; Jacobs, D. W. (2007). Shape classification using the inner-distance. IEEE TPAMI, 29(2), 286–299.</w:t>
      </w:r>
    </w:p>
    <w:p w14:paraId="34A91205" w14:textId="77777777" w:rsidR="00B732AE" w:rsidRPr="00FF3FE2" w:rsidRDefault="00000000">
      <w:pPr>
        <w:spacing w:before="36" w:after="36"/>
        <w:ind w:left="360" w:hanging="360"/>
      </w:pPr>
      <w:r w:rsidRPr="00FF3FE2">
        <w:rPr>
          <w:color w:val="000000"/>
          <w:sz w:val="19"/>
          <w:szCs w:val="19"/>
        </w:rPr>
        <w:t>[31] Mokhtarian, F., &amp; Mackworth, A. K. (1992). A theory of multiscale, curvature-based shape representation. IEEE TPAMI, 14(8), 789–805.</w:t>
      </w:r>
    </w:p>
    <w:p w14:paraId="55252035" w14:textId="77777777" w:rsidR="00B732AE" w:rsidRPr="00FF3FE2" w:rsidRDefault="00000000">
      <w:pPr>
        <w:spacing w:before="36" w:after="36"/>
        <w:ind w:left="360" w:hanging="360"/>
      </w:pPr>
      <w:r w:rsidRPr="00FF3FE2">
        <w:rPr>
          <w:color w:val="000000"/>
          <w:sz w:val="19"/>
          <w:szCs w:val="19"/>
        </w:rPr>
        <w:t>[32] Xu, C. (2009). Iterative re-weighted least squares for robust regression. Pattern Recognition, 42, 3174–3183.</w:t>
      </w:r>
    </w:p>
    <w:p w14:paraId="0C517BA8" w14:textId="77777777" w:rsidR="00B732AE" w:rsidRPr="00FF3FE2" w:rsidRDefault="00000000">
      <w:pPr>
        <w:spacing w:before="36" w:after="36"/>
        <w:ind w:left="360" w:hanging="360"/>
      </w:pPr>
      <w:r w:rsidRPr="00FF3FE2">
        <w:rPr>
          <w:color w:val="000000"/>
          <w:sz w:val="19"/>
          <w:szCs w:val="19"/>
        </w:rPr>
        <w:t xml:space="preserve">[33] Dryden, I. L., &amp; </w:t>
      </w:r>
      <w:proofErr w:type="spellStart"/>
      <w:r w:rsidRPr="00FF3FE2">
        <w:rPr>
          <w:color w:val="000000"/>
          <w:sz w:val="19"/>
          <w:szCs w:val="19"/>
        </w:rPr>
        <w:t>Mardia</w:t>
      </w:r>
      <w:proofErr w:type="spellEnd"/>
      <w:r w:rsidRPr="00FF3FE2">
        <w:rPr>
          <w:color w:val="000000"/>
          <w:sz w:val="19"/>
          <w:szCs w:val="19"/>
        </w:rPr>
        <w:t>, K. V. (2016). Statistical Shape Analysis with Applications in R (2nd ed.). Wiley.</w:t>
      </w:r>
    </w:p>
    <w:p w14:paraId="2D018CD0" w14:textId="77777777" w:rsidR="00B732AE" w:rsidRPr="00FF3FE2" w:rsidRDefault="00000000">
      <w:pPr>
        <w:spacing w:before="36" w:after="36"/>
        <w:ind w:left="360" w:hanging="360"/>
      </w:pPr>
      <w:r w:rsidRPr="00FF3FE2">
        <w:rPr>
          <w:color w:val="000000"/>
          <w:sz w:val="19"/>
          <w:szCs w:val="19"/>
        </w:rPr>
        <w:t xml:space="preserve">[34] Chang, A. X., et al. (2015). </w:t>
      </w:r>
      <w:proofErr w:type="spellStart"/>
      <w:r w:rsidRPr="00FF3FE2">
        <w:rPr>
          <w:color w:val="000000"/>
          <w:sz w:val="19"/>
          <w:szCs w:val="19"/>
        </w:rPr>
        <w:t>ShapeNet</w:t>
      </w:r>
      <w:proofErr w:type="spellEnd"/>
      <w:r w:rsidRPr="00FF3FE2">
        <w:rPr>
          <w:color w:val="000000"/>
          <w:sz w:val="19"/>
          <w:szCs w:val="19"/>
        </w:rPr>
        <w:t>: An information-rich 3D model repository. arXiv:1512.03012.</w:t>
      </w:r>
    </w:p>
    <w:p w14:paraId="2F83C48E" w14:textId="77777777" w:rsidR="00B732AE" w:rsidRPr="00FF3FE2" w:rsidRDefault="00000000">
      <w:pPr>
        <w:spacing w:before="36" w:after="36"/>
        <w:ind w:left="360" w:hanging="360"/>
      </w:pPr>
      <w:r w:rsidRPr="00FF3FE2">
        <w:rPr>
          <w:color w:val="000000"/>
          <w:sz w:val="19"/>
          <w:szCs w:val="19"/>
        </w:rPr>
        <w:t xml:space="preserve">[35] Qi, C. R., et al. (2017). </w:t>
      </w:r>
      <w:proofErr w:type="spellStart"/>
      <w:r w:rsidRPr="00FF3FE2">
        <w:rPr>
          <w:color w:val="000000"/>
          <w:sz w:val="19"/>
          <w:szCs w:val="19"/>
        </w:rPr>
        <w:t>PointNet</w:t>
      </w:r>
      <w:proofErr w:type="spellEnd"/>
      <w:r w:rsidRPr="00FF3FE2">
        <w:rPr>
          <w:color w:val="000000"/>
          <w:sz w:val="19"/>
          <w:szCs w:val="19"/>
        </w:rPr>
        <w:t>: Deep learning on point sets for 3D classification. CVPR 2017, 652–660.</w:t>
      </w:r>
    </w:p>
    <w:p w14:paraId="6D184FE1" w14:textId="77777777" w:rsidR="00B732AE" w:rsidRPr="00FF3FE2" w:rsidRDefault="00000000">
      <w:pPr>
        <w:spacing w:before="36" w:after="36"/>
        <w:ind w:left="360" w:hanging="360"/>
      </w:pPr>
      <w:r w:rsidRPr="00FF3FE2">
        <w:rPr>
          <w:color w:val="000000"/>
          <w:sz w:val="19"/>
          <w:szCs w:val="19"/>
        </w:rPr>
        <w:t>[36] Sinha, A., Bai, J., &amp; Ramani, K. (2016). Deep learning 3D shape surfaces using geometry images. ECCV 2016, LNCS 9910.</w:t>
      </w:r>
    </w:p>
    <w:p w14:paraId="58BD51D7" w14:textId="77777777" w:rsidR="00B732AE" w:rsidRPr="00FF3FE2" w:rsidRDefault="00000000">
      <w:pPr>
        <w:spacing w:before="36" w:after="36"/>
        <w:ind w:left="360" w:hanging="360"/>
      </w:pPr>
      <w:r w:rsidRPr="00FF3FE2">
        <w:rPr>
          <w:color w:val="000000"/>
          <w:sz w:val="19"/>
          <w:szCs w:val="19"/>
        </w:rPr>
        <w:t>[37] Clough, J., et al. (2020). A topological loss function for deep-learning based image segmentation. IEEE TPAMI, 44(12), 8766–8778.</w:t>
      </w:r>
    </w:p>
    <w:p w14:paraId="71F97C8B" w14:textId="77777777" w:rsidR="00B732AE" w:rsidRPr="00FF3FE2" w:rsidRDefault="00000000">
      <w:pPr>
        <w:spacing w:before="36" w:after="36"/>
        <w:ind w:left="360" w:hanging="360"/>
        <w:rPr>
          <w:lang w:val="nl-NL"/>
        </w:rPr>
      </w:pPr>
      <w:r w:rsidRPr="00FF3FE2">
        <w:rPr>
          <w:color w:val="000000"/>
          <w:sz w:val="19"/>
          <w:szCs w:val="19"/>
        </w:rPr>
        <w:t xml:space="preserve">[38] Hu, X., et al. (2019). Topology-preserving deep image segmentation. </w:t>
      </w:r>
      <w:r w:rsidRPr="00FF3FE2">
        <w:rPr>
          <w:color w:val="000000"/>
          <w:sz w:val="19"/>
          <w:szCs w:val="19"/>
          <w:lang w:val="nl-NL"/>
        </w:rPr>
        <w:t>NeurIPS 2019, 32.</w:t>
      </w:r>
    </w:p>
    <w:p w14:paraId="0B2BDFBA" w14:textId="77777777" w:rsidR="00B732AE" w:rsidRPr="00FF3FE2" w:rsidRDefault="00000000">
      <w:pPr>
        <w:spacing w:before="36" w:after="36"/>
        <w:ind w:left="360" w:hanging="360"/>
      </w:pPr>
      <w:r w:rsidRPr="00FF3FE2">
        <w:rPr>
          <w:color w:val="000000"/>
          <w:sz w:val="19"/>
          <w:szCs w:val="19"/>
          <w:lang w:val="nl-NL"/>
        </w:rPr>
        <w:t xml:space="preserve">[39] Sebastian, T. B., Klein, P. N., &amp; Kimia, B. B. (2004). </w:t>
      </w:r>
      <w:r w:rsidRPr="00FF3FE2">
        <w:rPr>
          <w:color w:val="000000"/>
          <w:sz w:val="19"/>
          <w:szCs w:val="19"/>
        </w:rPr>
        <w:t>Recognition of shapes by editing their shock graphs. IEEE TPAMI, 26(5), 550–571.</w:t>
      </w:r>
    </w:p>
    <w:p w14:paraId="2D32A688" w14:textId="77777777" w:rsidR="00B732AE" w:rsidRPr="00FF3FE2" w:rsidRDefault="00000000">
      <w:pPr>
        <w:spacing w:before="36" w:after="36"/>
        <w:ind w:left="360" w:hanging="360"/>
      </w:pPr>
      <w:r w:rsidRPr="00FF3FE2">
        <w:rPr>
          <w:color w:val="000000"/>
          <w:sz w:val="19"/>
          <w:szCs w:val="19"/>
        </w:rPr>
        <w:t>[40] Packard, N. H., et al. (1980). Geometry from a time series. Physical Review Letters, 45(9), 712–716.</w:t>
      </w:r>
    </w:p>
    <w:p w14:paraId="0B2B7F95" w14:textId="77777777" w:rsidR="00B732AE" w:rsidRPr="00FF3FE2" w:rsidRDefault="00000000">
      <w:pPr>
        <w:spacing w:before="36" w:after="36"/>
        <w:ind w:left="360" w:hanging="360"/>
      </w:pPr>
      <w:r w:rsidRPr="00FF3FE2">
        <w:rPr>
          <w:color w:val="000000"/>
          <w:sz w:val="19"/>
          <w:szCs w:val="19"/>
        </w:rPr>
        <w:t>[41] Bubenik, P. (2015). Statistical topological data analysis using persistence landscapes. JMLR, 16(3), 77–102.</w:t>
      </w:r>
    </w:p>
    <w:p w14:paraId="1ECA383E" w14:textId="77777777" w:rsidR="00B732AE" w:rsidRPr="00FF3FE2" w:rsidRDefault="00000000">
      <w:pPr>
        <w:spacing w:before="36" w:after="36"/>
        <w:ind w:left="360" w:hanging="360"/>
      </w:pPr>
      <w:r w:rsidRPr="00FF3FE2">
        <w:rPr>
          <w:color w:val="000000"/>
          <w:sz w:val="19"/>
          <w:szCs w:val="19"/>
        </w:rPr>
        <w:t xml:space="preserve">[42] </w:t>
      </w:r>
      <w:proofErr w:type="spellStart"/>
      <w:r w:rsidRPr="00FF3FE2">
        <w:rPr>
          <w:color w:val="000000"/>
          <w:sz w:val="19"/>
          <w:szCs w:val="19"/>
        </w:rPr>
        <w:t>Rouvreau</w:t>
      </w:r>
      <w:proofErr w:type="spellEnd"/>
      <w:r w:rsidRPr="00FF3FE2">
        <w:rPr>
          <w:color w:val="000000"/>
          <w:sz w:val="19"/>
          <w:szCs w:val="19"/>
        </w:rPr>
        <w:t xml:space="preserve">, V., et al. (2020). Gudhi: A generic open source C++ library for computational topology. </w:t>
      </w:r>
      <w:proofErr w:type="spellStart"/>
      <w:r w:rsidRPr="00FF3FE2">
        <w:rPr>
          <w:color w:val="000000"/>
          <w:sz w:val="19"/>
          <w:szCs w:val="19"/>
        </w:rPr>
        <w:t>SoCG</w:t>
      </w:r>
      <w:proofErr w:type="spellEnd"/>
      <w:r w:rsidRPr="00FF3FE2">
        <w:rPr>
          <w:color w:val="000000"/>
          <w:sz w:val="19"/>
          <w:szCs w:val="19"/>
        </w:rPr>
        <w:t xml:space="preserve"> 2020.</w:t>
      </w:r>
    </w:p>
    <w:sectPr w:rsidR="00B732AE" w:rsidRPr="00FF3FE2">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65FC4" w14:textId="77777777" w:rsidR="00F32568" w:rsidRDefault="00F32568">
      <w:r>
        <w:separator/>
      </w:r>
    </w:p>
  </w:endnote>
  <w:endnote w:type="continuationSeparator" w:id="0">
    <w:p w14:paraId="73AB77F8" w14:textId="77777777" w:rsidR="00F32568" w:rsidRDefault="00F325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D0660" w14:textId="77777777" w:rsidR="00B732AE" w:rsidRDefault="00000000">
    <w:pPr>
      <w:pBdr>
        <w:top w:val="single" w:sz="2" w:space="2" w:color="BBBBBB"/>
      </w:pBdr>
      <w:jc w:val="center"/>
    </w:pPr>
    <w:r>
      <w:rPr>
        <w:color w:val="666666"/>
        <w:sz w:val="17"/>
        <w:szCs w:val="17"/>
      </w:rPr>
      <w:t xml:space="preserve">© 2025 Hemanth Kumar S — Saveetha Institute of Medical and Technical Sciences          Page </w:t>
    </w:r>
    <w:r>
      <w:rPr>
        <w:color w:val="1A3A6B"/>
        <w:sz w:val="17"/>
        <w:szCs w:val="17"/>
      </w:rPr>
      <w:fldChar w:fldCharType="begin"/>
    </w:r>
    <w:r>
      <w:rPr>
        <w:color w:val="1A3A6B"/>
        <w:sz w:val="17"/>
        <w:szCs w:val="17"/>
      </w:rPr>
      <w:instrText>PAGE</w:instrText>
    </w:r>
    <w:r>
      <w:rPr>
        <w:color w:val="1A3A6B"/>
        <w:sz w:val="17"/>
        <w:szCs w:val="17"/>
      </w:rPr>
      <w:fldChar w:fldCharType="separate"/>
    </w:r>
    <w:r w:rsidR="00FF3FE2">
      <w:rPr>
        <w:noProof/>
        <w:color w:val="1A3A6B"/>
        <w:sz w:val="17"/>
        <w:szCs w:val="17"/>
      </w:rPr>
      <w:t>1</w:t>
    </w:r>
    <w:r>
      <w:rPr>
        <w:color w:val="1A3A6B"/>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CD3B2" w14:textId="77777777" w:rsidR="00F32568" w:rsidRDefault="00F32568">
      <w:r>
        <w:separator/>
      </w:r>
    </w:p>
  </w:footnote>
  <w:footnote w:type="continuationSeparator" w:id="0">
    <w:p w14:paraId="68C7C2D7" w14:textId="77777777" w:rsidR="00F32568" w:rsidRDefault="00F325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12F5B" w14:textId="69F5AA76" w:rsidR="00B732AE" w:rsidRDefault="00000000">
    <w:pPr>
      <w:pBdr>
        <w:bottom w:val="single" w:sz="2" w:space="2" w:color="BBBBBB"/>
      </w:pBdr>
      <w:jc w:val="right"/>
    </w:pPr>
    <w:r>
      <w:rPr>
        <w:i/>
        <w:iCs/>
        <w:color w:val="555555"/>
        <w:sz w:val="17"/>
        <w:szCs w:val="17"/>
      </w:rPr>
      <w:t>AMST Shape Descriptor | Saveetha School of Engineering | Hemanth Kumar 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C0C00"/>
    <w:multiLevelType w:val="hybridMultilevel"/>
    <w:tmpl w:val="FFDA050E"/>
    <w:lvl w:ilvl="0" w:tplc="3D569516">
      <w:start w:val="1"/>
      <w:numFmt w:val="bullet"/>
      <w:lvlText w:val="•"/>
      <w:lvlJc w:val="left"/>
      <w:pPr>
        <w:ind w:left="480" w:hanging="240"/>
      </w:pPr>
    </w:lvl>
    <w:lvl w:ilvl="1" w:tplc="E174D478">
      <w:numFmt w:val="decimal"/>
      <w:lvlText w:val=""/>
      <w:lvlJc w:val="left"/>
    </w:lvl>
    <w:lvl w:ilvl="2" w:tplc="80F6F9F8">
      <w:numFmt w:val="decimal"/>
      <w:lvlText w:val=""/>
      <w:lvlJc w:val="left"/>
    </w:lvl>
    <w:lvl w:ilvl="3" w:tplc="60AC1952">
      <w:numFmt w:val="decimal"/>
      <w:lvlText w:val=""/>
      <w:lvlJc w:val="left"/>
    </w:lvl>
    <w:lvl w:ilvl="4" w:tplc="BF4651BE">
      <w:numFmt w:val="decimal"/>
      <w:lvlText w:val=""/>
      <w:lvlJc w:val="left"/>
    </w:lvl>
    <w:lvl w:ilvl="5" w:tplc="39606B9C">
      <w:numFmt w:val="decimal"/>
      <w:lvlText w:val=""/>
      <w:lvlJc w:val="left"/>
    </w:lvl>
    <w:lvl w:ilvl="6" w:tplc="D16CB9F8">
      <w:numFmt w:val="decimal"/>
      <w:lvlText w:val=""/>
      <w:lvlJc w:val="left"/>
    </w:lvl>
    <w:lvl w:ilvl="7" w:tplc="CF26795C">
      <w:numFmt w:val="decimal"/>
      <w:lvlText w:val=""/>
      <w:lvlJc w:val="left"/>
    </w:lvl>
    <w:lvl w:ilvl="8" w:tplc="3BDA87E8">
      <w:numFmt w:val="decimal"/>
      <w:lvlText w:val=""/>
      <w:lvlJc w:val="left"/>
    </w:lvl>
  </w:abstractNum>
  <w:abstractNum w:abstractNumId="1" w15:restartNumberingAfterBreak="0">
    <w:nsid w:val="46626B9D"/>
    <w:multiLevelType w:val="hybridMultilevel"/>
    <w:tmpl w:val="7CB25E8A"/>
    <w:lvl w:ilvl="0" w:tplc="28163A24">
      <w:start w:val="1"/>
      <w:numFmt w:val="bullet"/>
      <w:lvlText w:val="●"/>
      <w:lvlJc w:val="left"/>
      <w:pPr>
        <w:ind w:left="720" w:hanging="360"/>
      </w:pPr>
    </w:lvl>
    <w:lvl w:ilvl="1" w:tplc="DD6CF3DC">
      <w:start w:val="1"/>
      <w:numFmt w:val="bullet"/>
      <w:lvlText w:val="○"/>
      <w:lvlJc w:val="left"/>
      <w:pPr>
        <w:ind w:left="1440" w:hanging="360"/>
      </w:pPr>
    </w:lvl>
    <w:lvl w:ilvl="2" w:tplc="06FEA9DA">
      <w:start w:val="1"/>
      <w:numFmt w:val="bullet"/>
      <w:lvlText w:val="■"/>
      <w:lvlJc w:val="left"/>
      <w:pPr>
        <w:ind w:left="2160" w:hanging="360"/>
      </w:pPr>
    </w:lvl>
    <w:lvl w:ilvl="3" w:tplc="B2BE9188">
      <w:start w:val="1"/>
      <w:numFmt w:val="bullet"/>
      <w:lvlText w:val="●"/>
      <w:lvlJc w:val="left"/>
      <w:pPr>
        <w:ind w:left="2880" w:hanging="360"/>
      </w:pPr>
    </w:lvl>
    <w:lvl w:ilvl="4" w:tplc="B20C097A">
      <w:start w:val="1"/>
      <w:numFmt w:val="bullet"/>
      <w:lvlText w:val="○"/>
      <w:lvlJc w:val="left"/>
      <w:pPr>
        <w:ind w:left="3600" w:hanging="360"/>
      </w:pPr>
    </w:lvl>
    <w:lvl w:ilvl="5" w:tplc="FA46DFF2">
      <w:start w:val="1"/>
      <w:numFmt w:val="bullet"/>
      <w:lvlText w:val="■"/>
      <w:lvlJc w:val="left"/>
      <w:pPr>
        <w:ind w:left="4320" w:hanging="360"/>
      </w:pPr>
    </w:lvl>
    <w:lvl w:ilvl="6" w:tplc="EF60D34A">
      <w:start w:val="1"/>
      <w:numFmt w:val="bullet"/>
      <w:lvlText w:val="●"/>
      <w:lvlJc w:val="left"/>
      <w:pPr>
        <w:ind w:left="5040" w:hanging="360"/>
      </w:pPr>
    </w:lvl>
    <w:lvl w:ilvl="7" w:tplc="3A88E048">
      <w:start w:val="1"/>
      <w:numFmt w:val="bullet"/>
      <w:lvlText w:val="●"/>
      <w:lvlJc w:val="left"/>
      <w:pPr>
        <w:ind w:left="5760" w:hanging="360"/>
      </w:pPr>
    </w:lvl>
    <w:lvl w:ilvl="8" w:tplc="CB1CA464">
      <w:start w:val="1"/>
      <w:numFmt w:val="bullet"/>
      <w:lvlText w:val="●"/>
      <w:lvlJc w:val="left"/>
      <w:pPr>
        <w:ind w:left="6480" w:hanging="360"/>
      </w:pPr>
    </w:lvl>
  </w:abstractNum>
  <w:num w:numId="1" w16cid:durableId="554975093">
    <w:abstractNumId w:val="1"/>
    <w:lvlOverride w:ilvl="0">
      <w:startOverride w:val="1"/>
    </w:lvlOverride>
  </w:num>
  <w:num w:numId="2" w16cid:durableId="2419602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32AE"/>
    <w:rsid w:val="001B04A8"/>
    <w:rsid w:val="00B732AE"/>
    <w:rsid w:val="00DA54A6"/>
    <w:rsid w:val="00F32568"/>
    <w:rsid w:val="00F70AF1"/>
    <w:rsid w:val="00FF3F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11FFF"/>
  <w15:docId w15:val="{AC5DDDEC-DE6C-4649-B04F-AFEBBEFD8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160"/>
      <w:outlineLvl w:val="0"/>
    </w:pPr>
    <w:rPr>
      <w:rFonts w:ascii="Arial" w:eastAsia="Arial" w:hAnsi="Arial" w:cs="Arial"/>
      <w:b/>
      <w:bCs/>
      <w:color w:val="1A3A6B"/>
      <w:sz w:val="26"/>
      <w:szCs w:val="26"/>
    </w:rPr>
  </w:style>
  <w:style w:type="paragraph" w:styleId="Heading2">
    <w:name w:val="heading 2"/>
    <w:uiPriority w:val="9"/>
    <w:unhideWhenUsed/>
    <w:qFormat/>
    <w:pPr>
      <w:spacing w:before="220" w:after="100"/>
      <w:outlineLvl w:val="1"/>
    </w:pPr>
    <w:rPr>
      <w:rFonts w:ascii="Arial" w:eastAsia="Arial" w:hAnsi="Arial" w:cs="Arial"/>
      <w:b/>
      <w:bCs/>
      <w:color w:val="1F4E8F"/>
      <w:sz w:val="24"/>
      <w:szCs w:val="24"/>
    </w:rPr>
  </w:style>
  <w:style w:type="paragraph" w:styleId="Heading3">
    <w:name w:val="heading 3"/>
    <w:uiPriority w:val="9"/>
    <w:semiHidden/>
    <w:unhideWhenUsed/>
    <w:qFormat/>
    <w:pPr>
      <w:spacing w:before="16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F3FE2"/>
    <w:pPr>
      <w:tabs>
        <w:tab w:val="center" w:pos="4680"/>
        <w:tab w:val="right" w:pos="9360"/>
      </w:tabs>
    </w:pPr>
  </w:style>
  <w:style w:type="character" w:customStyle="1" w:styleId="HeaderChar">
    <w:name w:val="Header Char"/>
    <w:basedOn w:val="DefaultParagraphFont"/>
    <w:link w:val="Header"/>
    <w:uiPriority w:val="99"/>
    <w:rsid w:val="00FF3FE2"/>
  </w:style>
  <w:style w:type="paragraph" w:styleId="Footer">
    <w:name w:val="footer"/>
    <w:basedOn w:val="Normal"/>
    <w:link w:val="FooterChar"/>
    <w:uiPriority w:val="99"/>
    <w:unhideWhenUsed/>
    <w:rsid w:val="00FF3FE2"/>
    <w:pPr>
      <w:tabs>
        <w:tab w:val="center" w:pos="4680"/>
        <w:tab w:val="right" w:pos="9360"/>
      </w:tabs>
    </w:pPr>
  </w:style>
  <w:style w:type="character" w:customStyle="1" w:styleId="FooterChar">
    <w:name w:val="Footer Char"/>
    <w:basedOn w:val="DefaultParagraphFont"/>
    <w:link w:val="Footer"/>
    <w:uiPriority w:val="99"/>
    <w:rsid w:val="00FF3F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20</Pages>
  <Words>10450</Words>
  <Characters>59567</Characters>
  <Application>Microsoft Office Word</Application>
  <DocSecurity>0</DocSecurity>
  <Lines>496</Lines>
  <Paragraphs>139</Paragraphs>
  <ScaleCrop>false</ScaleCrop>
  <Company/>
  <LinksUpToDate>false</LinksUpToDate>
  <CharactersWithSpaces>69878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hemanth kumar</cp:lastModifiedBy>
  <cp:revision>2</cp:revision>
  <dcterms:created xsi:type="dcterms:W3CDTF">2026-05-05T14:51:00Z</dcterms:created>
  <dcterms:modified xsi:type="dcterms:W3CDTF">2026-05-05T15:14:00Z</dcterms:modified>
</cp:coreProperties>
</file>