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t xml:space="preserve"/>
      </w:r>
    </w:p>
    <w:p>
      <w:pPr>
        <w:spacing w:after="100" w:before="0"/>
        <w:jc w:val="center"/>
      </w:pPr>
      <w:r>
        <w:rPr>
          <w:rFonts w:ascii="Arial" w:cs="Arial" w:eastAsia="Arial" w:hAnsi="Arial"/>
          <w:b/>
          <w:bCs/>
          <w:color w:val="1F3864"/>
          <w:sz w:val="36"/>
          <w:szCs w:val="36"/>
        </w:rPr>
        <w:t xml:space="preserve">Patch-Level Explainable Active Learning for</w:t>
      </w:r>
    </w:p>
    <w:p>
      <w:pPr>
        <w:spacing w:after="160" w:before="0"/>
        <w:jc w:val="center"/>
      </w:pPr>
      <w:r>
        <w:rPr>
          <w:rFonts w:ascii="Arial" w:cs="Arial" w:eastAsia="Arial" w:hAnsi="Arial"/>
          <w:b/>
          <w:bCs/>
          <w:color w:val="1F3864"/>
          <w:sz w:val="36"/>
          <w:szCs w:val="36"/>
        </w:rPr>
        <w:t xml:space="preserve">Satellite Image Semantic Segmentation</w:t>
      </w:r>
    </w:p>
    <w:p>
      <w:pPr>
        <w:spacing w:after="60" w:before="0"/>
        <w:jc w:val="center"/>
      </w:pPr>
      <w:r>
        <w:rPr>
          <w:rFonts w:ascii="Arial" w:cs="Arial" w:eastAsia="Arial" w:hAnsi="Arial"/>
          <w:i/>
          <w:iCs/>
          <w:color w:val="2E5496"/>
          <w:sz w:val="24"/>
          <w:szCs w:val="24"/>
        </w:rPr>
        <w:t xml:space="preserve">Using JEPA Embeddings and U-Net Dense Prediction</w:t>
      </w:r>
    </w:p>
    <w:p>
      <w:pPr>
        <w:pBdr>
          <w:bottom w:val="single" w:color="2E5496" w:sz="4" w:space="1"/>
        </w:pBdr>
        <w:spacing w:after="120" w:before="120"/>
      </w:pPr>
      <w:r>
        <w:t xml:space="preserve"/>
      </w:r>
    </w:p>
    <w:p>
      <w:pPr>
        <w:spacing w:after="40" w:before="80"/>
        <w:jc w:val="center"/>
      </w:pPr>
      <w:r>
        <w:rPr>
          <w:rFonts w:ascii="Arial" w:cs="Arial" w:eastAsia="Arial" w:hAnsi="Arial"/>
          <w:color w:val="777777"/>
          <w:sz w:val="18"/>
          <w:szCs w:val="18"/>
        </w:rPr>
        <w:t xml:space="preserve">Anonymous Authors  |  Workshop on Explainable AI for Remote Sensing  |  CVPR/ICCV 2024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60"/>
              <w:left w:type="dxa" w:w="200"/>
              <w:bottom w:type="dxa" w:w="160"/>
              <w:right w:type="dxa" w:w="200"/>
            </w:tcMar>
          </w:tcPr>
          <w:p>
            <w:pPr>
              <w:spacing w:after="60" w:before="40"/>
            </w:pPr>
            <w:r>
              <w:rPr>
                <w:rFonts w:ascii="Arial" w:cs="Arial" w:eastAsia="Arial" w:hAnsi="Arial"/>
                <w:b/>
                <w:bCs/>
                <w:color w:val="1F3864"/>
                <w:sz w:val="20"/>
                <w:szCs w:val="20"/>
              </w:rPr>
              <w:t xml:space="preserve">Abstract</w:t>
            </w:r>
          </w:p>
          <w:p>
            <w:pPr>
              <w:spacing w:after="40" w:before="40" w:line="276"/>
              <w:jc w:val="both"/>
            </w:pPr>
            <w:r>
              <w:rPr>
                <w:rFonts w:ascii="Arial" w:cs="Arial" w:eastAsia="Arial" w:hAnsi="Arial"/>
                <w:sz w:val="19"/>
                <w:szCs w:val="19"/>
              </w:rPr>
              <w:t xml:space="preserve">Semantic segmentation of satellite imagery is a critical task in remote sensing, requiring dense per-pixel classification across multiple land cover categories. Manual annotation of such data is prohibitively expensive, motivating the adoption of Active Learning (AL) frameworks that iteratively select the most informative samples for annotation. However, a fundamental bottleneck remains: after each AL iteration, human annotators must verify model predictions against ground truth masks across entire 512×512 images — a process involving over 260,000 pixels per image. Existing Explainable AI (XAI) methods such as GradCAM, SHAP, and LIME operate at image or region level and are designed primarily for classification tasks, making them unsuitable for dense 8-class segmentation. In this paper, we propose a novel patch-level explainability pipeline that decomposes satellite images into 32×32 patches, scores each patch by a confidence and confusion gate, and routes only high-confusion patches through a dedicated explainability module powered by I-JEPA self-supervised embeddings and DINOv2 attention maps. For each confused patch, our system provides structured WHY/WHAT/HOW explanations — identifying the driving visual features, the competing class candidates, and the precise sub-region requiring annotator attention. Experiments on the OpenEarthMap 8-class land cover benchmark demonstrate that our approach reduces annotation verification effort by approximately 82% while improving mean Intersection over Union (mIoU) by 7.7 points over the baseline active learning system after 100 labeled samples.</w:t>
            </w:r>
          </w:p>
        </w:tc>
      </w:tr>
    </w:tbl>
    <w:p>
      <w:pPr>
        <w:spacing w:after="0" w:before="120"/>
      </w:pPr>
      <w:r>
        <w:t xml:space="preserve"/>
      </w:r>
    </w:p>
    <w:p>
      <w:pPr>
        <w:pStyle w:val="Heading1"/>
        <w:spacing w:after="160" w:before="300"/>
      </w:pPr>
      <w:r>
        <w:rPr>
          <w:rFonts w:ascii="Arial" w:cs="Arial" w:eastAsia="Arial" w:hAnsi="Arial"/>
          <w:b/>
          <w:bCs/>
          <w:color w:val="1F3864"/>
          <w:sz w:val="26"/>
          <w:szCs w:val="26"/>
        </w:rPr>
        <w:t xml:space="preserve">1. Introduction</w:t>
      </w:r>
    </w:p>
    <w:p>
      <w:pPr>
        <w:spacing w:after="80" w:before="80" w:line="276"/>
        <w:jc w:val="both"/>
      </w:pPr>
      <w:r>
        <w:rPr>
          <w:rFonts w:ascii="Arial" w:cs="Arial" w:eastAsia="Arial" w:hAnsi="Arial"/>
          <w:b w:val="false"/>
          <w:bCs w:val="false"/>
          <w:i w:val="false"/>
          <w:iCs w:val="false"/>
          <w:sz w:val="20"/>
          <w:szCs w:val="20"/>
        </w:rPr>
        <w:t xml:space="preserve">Remote sensing and satellite image analysis have undergone a significant transformation with the advent of deep learning-based semantic segmentation. Tasks such as land cover classification, urban planning, disaster response mapping, and agricultural monitoring now depend on dense per-pixel predictions over high-resolution imagery. The OpenEarthMap dataset, comprising globally distributed satellite imagery annotated across 8 land cover categories — Bareland, Rangeland, Developed Space, Road, Tree, Water, Agriculture, and Building — represents a canonical benchmark for this challenge.</w:t>
      </w:r>
    </w:p>
    <w:p>
      <w:pPr>
        <w:spacing w:after="0" w:before="60"/>
      </w:pPr>
      <w:r>
        <w:t xml:space="preserve"/>
      </w:r>
    </w:p>
    <w:p>
      <w:pPr>
        <w:spacing w:after="80" w:before="80" w:line="276"/>
        <w:jc w:val="both"/>
      </w:pPr>
      <w:r>
        <w:rPr>
          <w:rFonts w:ascii="Arial" w:cs="Arial" w:eastAsia="Arial" w:hAnsi="Arial"/>
          <w:b w:val="false"/>
          <w:bCs w:val="false"/>
          <w:i w:val="false"/>
          <w:iCs w:val="false"/>
          <w:sz w:val="20"/>
          <w:szCs w:val="20"/>
        </w:rPr>
        <w:t xml:space="preserve">Despite the power of modern segmentation architectures such as U-Net, the fundamental bottleneck in real-world deployment remains data annotation. A single 512×512 satellite image contains 262,144 pixels, each requiring a class label. At scale, this translates to millions of annotation decisions per dataset, necessitating enormous human effort and financial cost.</w:t>
      </w:r>
    </w:p>
    <w:p>
      <w:pPr>
        <w:spacing w:after="0" w:before="60"/>
      </w:pPr>
      <w:r>
        <w:t xml:space="preserve"/>
      </w:r>
    </w:p>
    <w:p>
      <w:pPr>
        <w:spacing w:after="80" w:before="80" w:line="276"/>
        <w:jc w:val="both"/>
      </w:pPr>
      <w:r>
        <w:rPr>
          <w:rFonts w:ascii="Arial" w:cs="Arial" w:eastAsia="Arial" w:hAnsi="Arial"/>
          <w:b w:val="false"/>
          <w:bCs w:val="false"/>
          <w:i w:val="false"/>
          <w:iCs w:val="false"/>
          <w:sz w:val="20"/>
          <w:szCs w:val="20"/>
        </w:rPr>
        <w:t xml:space="preserve">Active Learning (AL) addresses this challenge by iteratively identifying the most informative unlabeled samples for annotation, thereby maximizing model performance per annotation budget. A typical AL cycle begins with a small labeled pool (e.g., 50 samples), trains a segmentation model, applies it to the unlabeled pool, selects the top-K most uncertain samples, and requests human annotation for only those samples. This cycle repeats until the model reaches a target performance threshold.</w:t>
      </w:r>
    </w:p>
    <w:p>
      <w:pPr>
        <w:spacing w:after="0" w:before="60"/>
      </w:pPr>
      <w:r>
        <w:t xml:space="preserve"/>
      </w:r>
    </w:p>
    <w:p>
      <w:pPr>
        <w:spacing w:after="80" w:before="80" w:line="276"/>
        <w:jc w:val="both"/>
      </w:pPr>
      <w:r>
        <w:rPr>
          <w:rFonts w:ascii="Arial" w:cs="Arial" w:eastAsia="Arial" w:hAnsi="Arial"/>
          <w:b w:val="false"/>
          <w:bCs w:val="false"/>
          <w:i w:val="false"/>
          <w:iCs w:val="false"/>
          <w:sz w:val="20"/>
          <w:szCs w:val="20"/>
        </w:rPr>
        <w:t xml:space="preserve">However, a critical and underexplored bottleneck persists within each AL cycle: the annotation verification problem. When the model makes predictions on newly selected samples, human annotators must compare the predicted segmentation mask against the ground truth mask to provide corrected labels. Across a 512×512 image, this pixel-by-pixel comparison is both time-consuming and cognitively demanding, particularly when predictions are only subtly incorrect in specific regions.</w:t>
      </w:r>
    </w:p>
    <w:p>
      <w:pPr>
        <w:spacing w:after="0" w:before="60"/>
      </w:pPr>
      <w:r>
        <w:t xml:space="preserve"/>
      </w:r>
    </w:p>
    <w:p>
      <w:pPr>
        <w:spacing w:after="80" w:before="80" w:line="276"/>
        <w:jc w:val="both"/>
      </w:pPr>
      <w:r>
        <w:rPr>
          <w:rFonts w:ascii="Arial" w:cs="Arial" w:eastAsia="Arial" w:hAnsi="Arial"/>
          <w:b w:val="false"/>
          <w:bCs w:val="false"/>
          <w:i w:val="false"/>
          <w:iCs w:val="false"/>
          <w:sz w:val="20"/>
          <w:szCs w:val="20"/>
        </w:rPr>
        <w:t xml:space="preserve">Existing Explainable AI (XAI) methods fail to address this bottleneck. GradCAM produces coarse region-level heatmaps designed for single-class activation and cannot explain individual pixel decisions in an 8-class dense prediction setting. SHAP, while theoretically applicable to any model output, becomes computationally intractable when applied to H×W×C segmentation outputs. LIME operates on superpixel perturbations and explains one prediction at a time, making it unsuitable for the 262,144 simultaneous predictions in a segmentation map.</w:t>
      </w:r>
    </w:p>
    <w:p>
      <w:pPr>
        <w:spacing w:after="0" w:before="60"/>
      </w:pPr>
      <w:r>
        <w:t xml:space="preserve"/>
      </w:r>
    </w:p>
    <w:p>
      <w:pPr>
        <w:spacing w:after="80" w:before="80" w:line="276"/>
        <w:jc w:val="both"/>
      </w:pPr>
      <w:r>
        <w:rPr>
          <w:rFonts w:ascii="Arial" w:cs="Arial" w:eastAsia="Arial" w:hAnsi="Arial"/>
          <w:b w:val="false"/>
          <w:bCs w:val="false"/>
          <w:i w:val="false"/>
          <w:iCs w:val="false"/>
          <w:sz w:val="20"/>
          <w:szCs w:val="20"/>
        </w:rPr>
        <w:t xml:space="preserve">In this work, we propose a fundamentally different approach: patch-level explainability for active learning in satellite segmentation. Our key insight is that pixel-level explanation is unnecessarily granular for the annotation verification task. Instead, decomposing the image into spatial patches and providing explanation at the patch level offers a practical trade-off between granularity and computational feasibility. We further leverage the emerging I-JEPA (Joint Embedding Predictive Architecture) framework as a self-supervised patch encoder whose embedding space provides intrinsic confusion scores — without requiring any additional computation beyond the model's forward pass.</w:t>
      </w:r>
    </w:p>
    <w:p>
      <w:pPr>
        <w:spacing w:after="0" w:before="60"/>
      </w:pPr>
      <w:r>
        <w:t xml:space="preserve"/>
      </w:r>
    </w:p>
    <w:p>
      <w:pPr>
        <w:spacing w:after="80" w:before="80" w:line="276"/>
        <w:jc w:val="both"/>
      </w:pPr>
      <w:r>
        <w:rPr>
          <w:rFonts w:ascii="Arial" w:cs="Arial" w:eastAsia="Arial" w:hAnsi="Arial"/>
          <w:b/>
          <w:bCs/>
          <w:sz w:val="20"/>
          <w:szCs w:val="20"/>
        </w:rPr>
        <w:t xml:space="preserve">Our main contributions are: </w:t>
      </w:r>
      <w:r>
        <w:rPr>
          <w:rFonts w:ascii="Arial" w:cs="Arial" w:eastAsia="Arial" w:hAnsi="Arial"/>
          <w:sz w:val="20"/>
          <w:szCs w:val="20"/>
        </w:rPr>
        <w:t xml:space="preserve">(1) a patch-level confidence and confusion scoring pipeline for U-Net segmentation outputs; (2) a JEPA-based embedding space analysis that provides free confusion scores during inference; (3) a structured WHY/WHAT/HOW explanation framework for annotators; (4) class-balanced uncertainty-aware sample selection for AL; and (5) an empirical demonstration of 82% reduction in annotation effort on the OpenEarthMap benchmark.</w:t>
      </w:r>
    </w:p>
    <w:p>
      <w:pPr>
        <w:spacing w:after="0" w:before="120"/>
      </w:pPr>
      <w:r>
        <w:t xml:space="preserve"/>
      </w:r>
    </w:p>
    <w:p>
      <w:pPr>
        <w:pStyle w:val="Heading1"/>
        <w:spacing w:after="160" w:before="300"/>
      </w:pPr>
      <w:r>
        <w:rPr>
          <w:rFonts w:ascii="Arial" w:cs="Arial" w:eastAsia="Arial" w:hAnsi="Arial"/>
          <w:b/>
          <w:bCs/>
          <w:color w:val="1F3864"/>
          <w:sz w:val="26"/>
          <w:szCs w:val="26"/>
        </w:rPr>
        <w:t xml:space="preserve">2. Related Work</w:t>
      </w:r>
    </w:p>
    <w:p>
      <w:pPr>
        <w:pStyle w:val="Heading2"/>
        <w:spacing w:after="120" w:before="220"/>
      </w:pPr>
      <w:r>
        <w:rPr>
          <w:rFonts w:ascii="Arial" w:cs="Arial" w:eastAsia="Arial" w:hAnsi="Arial"/>
          <w:b/>
          <w:bCs/>
          <w:color w:val="2E5496"/>
          <w:sz w:val="22"/>
          <w:szCs w:val="22"/>
        </w:rPr>
        <w:t xml:space="preserve">2.1 Semantic Segmentation for Remote Sensing</w:t>
      </w:r>
    </w:p>
    <w:p>
      <w:pPr>
        <w:spacing w:after="80" w:before="80" w:line="276"/>
        <w:jc w:val="both"/>
      </w:pPr>
      <w:r>
        <w:rPr>
          <w:rFonts w:ascii="Arial" w:cs="Arial" w:eastAsia="Arial" w:hAnsi="Arial"/>
          <w:b w:val="false"/>
          <w:bCs w:val="false"/>
          <w:i w:val="false"/>
          <w:iCs w:val="false"/>
          <w:sz w:val="20"/>
          <w:szCs w:val="20"/>
        </w:rPr>
        <w:t xml:space="preserve">Semantic segmentation of satellite imagery has been extensively studied using encoder-decoder architectures. U-Net, originally proposed for biomedical image segmentation, has emerged as the dominant baseline for remote sensing due to its skip connection architecture, which preserves spatial resolution through the encoder-decoder pathway. Subsequent works have explored transformer-based alternatives including Segformer and Mask2Former, which introduce patch-token attention mechanisms. The OpenEarthMap dataset provides a globally distributed 8-class land cover benchmark that has become a standard evaluation platform for satellite segmentation research.</w:t>
      </w:r>
    </w:p>
    <w:p>
      <w:pPr>
        <w:pStyle w:val="Heading2"/>
        <w:spacing w:after="120" w:before="220"/>
      </w:pPr>
      <w:r>
        <w:rPr>
          <w:rFonts w:ascii="Arial" w:cs="Arial" w:eastAsia="Arial" w:hAnsi="Arial"/>
          <w:b/>
          <w:bCs/>
          <w:color w:val="2E5496"/>
          <w:sz w:val="22"/>
          <w:szCs w:val="22"/>
        </w:rPr>
        <w:t xml:space="preserve">2.2 Active Learning for Segmentation</w:t>
      </w:r>
    </w:p>
    <w:p>
      <w:pPr>
        <w:spacing w:after="80" w:before="80" w:line="276"/>
        <w:jc w:val="both"/>
      </w:pPr>
      <w:r>
        <w:rPr>
          <w:rFonts w:ascii="Arial" w:cs="Arial" w:eastAsia="Arial" w:hAnsi="Arial"/>
          <w:b w:val="false"/>
          <w:bCs w:val="false"/>
          <w:i w:val="false"/>
          <w:iCs w:val="false"/>
          <w:sz w:val="20"/>
          <w:szCs w:val="20"/>
        </w:rPr>
        <w:t xml:space="preserve">Active Learning for semantic segmentation has been explored through several uncertainty estimation strategies. Entropy-based sampling selects images with highest average pixel entropy. Monte Carlo Dropout enables Bayesian uncertainty estimation without architectural modification by keeping dropout active during inference and aggregating predictions across multiple stochastic forward passes. Core-set approaches select samples that maximize coverage of the feature space. VAAL and other adversarial methods train a discriminator to identify informative unlabeled samples. Despite this progress, the annotation verification bottleneck within each AL cycle has received limited attention.</w:t>
      </w:r>
    </w:p>
    <w:p>
      <w:pPr>
        <w:pStyle w:val="Heading2"/>
        <w:spacing w:after="120" w:before="220"/>
      </w:pPr>
      <w:r>
        <w:rPr>
          <w:rFonts w:ascii="Arial" w:cs="Arial" w:eastAsia="Arial" w:hAnsi="Arial"/>
          <w:b/>
          <w:bCs/>
          <w:color w:val="2E5496"/>
          <w:sz w:val="22"/>
          <w:szCs w:val="22"/>
        </w:rPr>
        <w:t xml:space="preserve">2.3 Explainable AI for Computer Vision</w:t>
      </w:r>
    </w:p>
    <w:p>
      <w:pPr>
        <w:spacing w:after="80" w:before="80" w:line="276"/>
        <w:jc w:val="both"/>
      </w:pPr>
      <w:r>
        <w:rPr>
          <w:rFonts w:ascii="Arial" w:cs="Arial" w:eastAsia="Arial" w:hAnsi="Arial"/>
          <w:b w:val="false"/>
          <w:bCs w:val="false"/>
          <w:i w:val="false"/>
          <w:iCs w:val="false"/>
          <w:sz w:val="20"/>
          <w:szCs w:val="20"/>
        </w:rPr>
        <w:t xml:space="preserve">The dominant XAI methods for computer vision — GradCAM, SHAP, and LIME — were designed for image classification. GradCAM computes class-discriminative localization maps by backpropagating gradients to convolutional feature maps, producing a coarse spatial heatmap for a single target class. SHAP applies Shapley value theory to attribute model predictions to input features but becomes computationally infeasible for dense prediction outputs. LIME approximates local model behavior through input perturbation but operates at the superpixel level and explains a single output prediction at a time. Recent work on dense prediction XAI includes Integrated Gradients, which computes pixel-level attribution through gradient integration along an interpolation path, and per-pixel saliency methods. However, no existing framework provides structured, annotator-facing explanations tailored to the active learning verification workflow.</w:t>
      </w:r>
    </w:p>
    <w:p>
      <w:pPr>
        <w:pStyle w:val="Heading2"/>
        <w:spacing w:after="120" w:before="220"/>
      </w:pPr>
      <w:r>
        <w:rPr>
          <w:rFonts w:ascii="Arial" w:cs="Arial" w:eastAsia="Arial" w:hAnsi="Arial"/>
          <w:b/>
          <w:bCs/>
          <w:color w:val="2E5496"/>
          <w:sz w:val="22"/>
          <w:szCs w:val="22"/>
        </w:rPr>
        <w:t xml:space="preserve">2.4 Self-Supervised Visual Representations</w:t>
      </w:r>
    </w:p>
    <w:p>
      <w:pPr>
        <w:spacing w:after="80" w:before="80" w:line="276"/>
        <w:jc w:val="both"/>
      </w:pPr>
      <w:r>
        <w:rPr>
          <w:rFonts w:ascii="Arial" w:cs="Arial" w:eastAsia="Arial" w:hAnsi="Arial"/>
          <w:b w:val="false"/>
          <w:bCs w:val="false"/>
          <w:i w:val="false"/>
          <w:iCs w:val="false"/>
          <w:sz w:val="20"/>
          <w:szCs w:val="20"/>
        </w:rPr>
        <w:t xml:space="preserve">Self-supervised learning has produced powerful visual representations that generalize across tasks. DINO and its successor DINOv2 demonstrate that vision transformers trained with self-distillation produce semantically structured embedding spaces with emergent segmentation properties. I-JEPA (Image Joint Embedding Predictive Architecture) introduces a fundamentally different pretraining objective: predicting the embeddings of masked image patches from visible context, rather than reconstructing pixel values. This produces abstract, semantically rich embeddings that are well-suited to downstream classification and segmentation tasks. Crucially for our work, the I-JEPA predictor's reconstruction error provides a natural measure of patch-level uncertainty that aligns with semantic novelty.</w:t>
      </w:r>
    </w:p>
    <w:p>
      <w:pPr>
        <w:spacing w:after="0" w:before="120"/>
      </w:pPr>
      <w:r>
        <w:t xml:space="preserve"/>
      </w:r>
    </w:p>
    <w:p>
      <w:pPr>
        <w:pStyle w:val="Heading1"/>
        <w:spacing w:after="160" w:before="300"/>
      </w:pPr>
      <w:r>
        <w:rPr>
          <w:rFonts w:ascii="Arial" w:cs="Arial" w:eastAsia="Arial" w:hAnsi="Arial"/>
          <w:b/>
          <w:bCs/>
          <w:color w:val="1F3864"/>
          <w:sz w:val="26"/>
          <w:szCs w:val="26"/>
        </w:rPr>
        <w:t xml:space="preserve">3. Problem Formulation</w:t>
      </w:r>
    </w:p>
    <w:p>
      <w:pPr>
        <w:spacing w:after="80" w:before="80" w:line="276"/>
        <w:jc w:val="both"/>
      </w:pPr>
      <w:r>
        <w:rPr>
          <w:rFonts w:ascii="Arial" w:cs="Arial" w:eastAsia="Arial" w:hAnsi="Arial"/>
          <w:b w:val="false"/>
          <w:bCs w:val="false"/>
          <w:i w:val="false"/>
          <w:iCs w:val="false"/>
          <w:sz w:val="20"/>
          <w:szCs w:val="20"/>
        </w:rPr>
        <w:t xml:space="preserve">Let D = {(x_i, y_i)} denote a dataset of satellite images x_i ∈ R^(H×W×3) and corresponding dense annotation masks y_i ∈ {0,...,C-1}^(H×W), where C=8 for OpenEarthMap. The labeled pool L and unlabeled pool U are initialized such that |L| &lt;&lt; |U|. A segmentation model f_θ: R^(H×W×3) → R^(H×W×C) is trained on L and evaluated on U.</w:t>
      </w:r>
    </w:p>
    <w:p>
      <w:pPr>
        <w:spacing w:after="0" w:before="60"/>
      </w:pPr>
      <w:r>
        <w:t xml:space="preserve"/>
      </w:r>
    </w:p>
    <w:p>
      <w:pPr>
        <w:spacing w:after="80" w:before="80" w:line="276"/>
        <w:jc w:val="both"/>
      </w:pPr>
      <w:r>
        <w:rPr>
          <w:rFonts w:ascii="Arial" w:cs="Arial" w:eastAsia="Arial" w:hAnsi="Arial"/>
          <w:b w:val="false"/>
          <w:bCs w:val="false"/>
          <w:i w:val="false"/>
          <w:iCs w:val="false"/>
          <w:sz w:val="20"/>
          <w:szCs w:val="20"/>
        </w:rPr>
        <w:t xml:space="preserve">In each AL cycle t, the model f_θ produces per-pixel class probability maps P(x) = softmax(f_θ(x)) ∈ [0,1]^(H×W×C) for each x ∈ U. A selection strategy S identifies the top-K samples from U for annotation: U* = S(U, f_θ, K). Human annotators then provide corrected labels for U*, which are added to L for the next cycle.</w:t>
      </w:r>
    </w:p>
    <w:p>
      <w:pPr>
        <w:spacing w:after="0" w:before="60"/>
      </w:pPr>
      <w:r>
        <w:t xml:space="preserve"/>
      </w:r>
    </w:p>
    <w:p>
      <w:pPr>
        <w:spacing w:after="80" w:before="80" w:line="276"/>
        <w:jc w:val="both"/>
      </w:pPr>
      <w:r>
        <w:rPr>
          <w:rFonts w:ascii="Arial" w:cs="Arial" w:eastAsia="Arial" w:hAnsi="Arial"/>
          <w:b w:val="false"/>
          <w:bCs w:val="false"/>
          <w:i w:val="false"/>
          <w:iCs w:val="false"/>
          <w:sz w:val="20"/>
          <w:szCs w:val="20"/>
        </w:rPr>
        <w:t xml:space="preserve">The annotation verification problem arises because annotators must compare f_θ(x) against y_i for each x ∈ U*. Across K=50 samples of size 512×512, this involves inspecting up to 13.1M pixel decisions per cycle — the primary cost bottleneck in practical AL deployment.</w:t>
      </w:r>
    </w:p>
    <w:p>
      <w:pPr>
        <w:spacing w:after="0" w:before="60"/>
      </w:pPr>
      <w:r>
        <w:t xml:space="preserve"/>
      </w:r>
    </w:p>
    <w:p>
      <w:pPr>
        <w:spacing w:after="80" w:before="80" w:line="276"/>
        <w:jc w:val="both"/>
      </w:pPr>
      <w:r>
        <w:rPr>
          <w:rFonts w:ascii="Arial" w:cs="Arial" w:eastAsia="Arial" w:hAnsi="Arial"/>
          <w:b w:val="false"/>
          <w:bCs w:val="false"/>
          <w:i w:val="false"/>
          <w:iCs w:val="false"/>
          <w:sz w:val="20"/>
          <w:szCs w:val="20"/>
        </w:rPr>
        <w:t xml:space="preserve">We formalize the explainability objective as follows: for each image x ∈ U* and each spatial patch p_{ij} extracted from x at position (i,j), produce an explanation e_{ij} = E(p_{ij}, f_θ) that (a) quantifies annotation necessity via a confusion score c_{ij} ∈ [0,1], and (b) provides structured WHY/WHAT/HOW information to guide annotator attention when c_{ij} exceeds a threshold τ.</w:t>
      </w:r>
    </w:p>
    <w:p>
      <w:pPr>
        <w:spacing w:after="0" w:before="120"/>
      </w:pPr>
      <w:r>
        <w:t xml:space="preserve"/>
      </w:r>
    </w:p>
    <w:p>
      <w:pPr>
        <w:pStyle w:val="Heading1"/>
        <w:spacing w:after="160" w:before="300"/>
      </w:pPr>
      <w:r>
        <w:rPr>
          <w:rFonts w:ascii="Arial" w:cs="Arial" w:eastAsia="Arial" w:hAnsi="Arial"/>
          <w:b/>
          <w:bCs/>
          <w:color w:val="1F3864"/>
          <w:sz w:val="26"/>
          <w:szCs w:val="26"/>
        </w:rPr>
        <w:t xml:space="preserve">4. Methodology</w:t>
      </w:r>
    </w:p>
    <w:p>
      <w:pPr>
        <w:spacing w:after="80" w:before="80" w:line="276"/>
        <w:jc w:val="both"/>
      </w:pPr>
      <w:r>
        <w:rPr>
          <w:rFonts w:ascii="Arial" w:cs="Arial" w:eastAsia="Arial" w:hAnsi="Arial"/>
          <w:b w:val="false"/>
          <w:bCs w:val="false"/>
          <w:i w:val="false"/>
          <w:iCs w:val="false"/>
          <w:sz w:val="20"/>
          <w:szCs w:val="20"/>
        </w:rPr>
        <w:t xml:space="preserve">Our pipeline consists of three stages: (1) patch decomposition and scoring, (2) a confidence-confusion gate, and (3) an explainability module activated only for high-confusion patches. Figure 1 illustrates the complete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INPUT</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512×512 Satellite Image (OpenEarthMap)</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555555"/>
                <w:sz w:val="18"/>
                <w:szCs w:val="18"/>
              </w:rPr>
              <w:t xml:space="preserve">3-channel RGB</w:t>
            </w:r>
          </w:p>
        </w:tc>
      </w:tr>
      <w:tr>
        <w:tc>
          <w:tcPr>
            <w:tcW w:type="dxa" w:w="1400"/>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PATCH</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Split into 32×32 patches</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555555"/>
                <w:sz w:val="18"/>
                <w:szCs w:val="18"/>
              </w:rPr>
              <w:t xml:space="preserve">256 patches per image</w:t>
            </w:r>
          </w:p>
        </w:tc>
      </w:tr>
      <w:tr>
        <w:tc>
          <w:tcPr>
            <w:tcW w:type="dxa" w:w="140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JEPA</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Self-supervised patch encoder</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555555"/>
                <w:sz w:val="18"/>
                <w:szCs w:val="18"/>
              </w:rPr>
              <w:t xml:space="preserve">768-dim embeddings per patch</w:t>
            </w:r>
          </w:p>
        </w:tc>
      </w:tr>
      <w:tr>
        <w:tc>
          <w:tcPr>
            <w:tcW w:type="dxa" w:w="14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U-Net</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Dense pixel segmentation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555555"/>
                <w:sz w:val="18"/>
                <w:szCs w:val="18"/>
              </w:rPr>
              <w:t xml:space="preserve">8-class probability map [H,W,8]</w:t>
            </w:r>
          </w:p>
        </w:tc>
      </w:tr>
      <w:tr>
        <w:tc>
          <w:tcPr>
            <w:tcW w:type="dxa" w:w="1400"/>
            <w:tcBorders>
              <w:top w:val="single" w:color="CCCCCC" w:sz="1"/>
              <w:left w:val="single" w:color="CCCCCC" w:sz="1"/>
              <w:bottom w:val="single" w:color="CCCCCC" w:sz="1"/>
              <w:right w:val="single" w:color="CCCCCC" w:sz="1"/>
            </w:tcBorders>
            <w:shd w:fill="4A148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SCORE</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Confidence + Confusion gate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555555"/>
                <w:sz w:val="18"/>
                <w:szCs w:val="18"/>
              </w:rPr>
              <w:t xml:space="preserve">Per-patch scores [0,1]</w:t>
            </w:r>
          </w:p>
        </w:tc>
      </w:tr>
      <w:tr>
        <w:tc>
          <w:tcPr>
            <w:tcW w:type="dxa" w:w="1400"/>
            <w:tcBorders>
              <w:top w:val="single" w:color="CCCCCC" w:sz="1"/>
              <w:left w:val="single" w:color="CCCCCC" w:sz="1"/>
              <w:bottom w:val="single" w:color="CCCCCC" w:sz="1"/>
              <w:right w:val="single" w:color="CCCCCC" w:sz="1"/>
            </w:tcBorders>
            <w:shd w:fill="E651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GATE</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Confusion &gt; 0.20 → Explain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555555"/>
                <w:sz w:val="18"/>
                <w:szCs w:val="18"/>
              </w:rPr>
              <w:t xml:space="preserve">~20-30% patches flagged</w:t>
            </w:r>
          </w:p>
        </w:tc>
      </w:tr>
      <w:tr>
        <w:tc>
          <w:tcPr>
            <w:tcW w:type="dxa" w:w="1400"/>
            <w:tcBorders>
              <w:top w:val="single" w:color="CCCCCC" w:sz="1"/>
              <w:left w:val="single" w:color="CCCCCC" w:sz="1"/>
              <w:bottom w:val="single" w:color="CCCCCC" w:sz="1"/>
              <w:right w:val="single" w:color="CCCCCC" w:sz="1"/>
            </w:tcBorders>
            <w:shd w:fill="B71C1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XAI</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WHY / WHAT / HOW module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555555"/>
                <w:sz w:val="18"/>
                <w:szCs w:val="18"/>
              </w:rPr>
              <w:t xml:space="preserve">Annotator-ready explanation</w:t>
            </w:r>
          </w:p>
        </w:tc>
      </w:tr>
      <w:tr>
        <w:tc>
          <w:tcPr>
            <w:tcW w:type="dxa" w:w="140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OUTPUT</w:t>
            </w:r>
          </w:p>
        </w:tc>
        <w:tc>
          <w:tcPr>
            <w:tcW w:type="dxa" w:w="4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Focused annotation dashboard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555555"/>
                <w:sz w:val="18"/>
                <w:szCs w:val="18"/>
              </w:rPr>
              <w:t xml:space="preserve">82% effort reduction</w:t>
            </w:r>
          </w:p>
        </w:tc>
      </w:tr>
    </w:tbl>
    <w:p>
      <w:pPr>
        <w:spacing w:after="0" w:before="60"/>
      </w:pPr>
      <w:r>
        <w:t xml:space="preserve"/>
      </w:r>
    </w:p>
    <w:p>
      <w:pPr>
        <w:spacing w:after="100" w:before="40"/>
        <w:jc w:val="center"/>
      </w:pPr>
      <w:r>
        <w:rPr>
          <w:rFonts w:ascii="Arial" w:cs="Arial" w:eastAsia="Arial" w:hAnsi="Arial"/>
          <w:i/>
          <w:iCs/>
          <w:color w:val="555555"/>
          <w:sz w:val="18"/>
          <w:szCs w:val="18"/>
        </w:rPr>
        <w:t xml:space="preserve">Table 1: Pipeline Architecture Overview</w:t>
      </w:r>
    </w:p>
    <w:p>
      <w:pPr>
        <w:pStyle w:val="Heading2"/>
        <w:spacing w:after="120" w:before="220"/>
      </w:pPr>
      <w:r>
        <w:rPr>
          <w:rFonts w:ascii="Arial" w:cs="Arial" w:eastAsia="Arial" w:hAnsi="Arial"/>
          <w:b/>
          <w:bCs/>
          <w:color w:val="2E5496"/>
          <w:sz w:val="22"/>
          <w:szCs w:val="22"/>
        </w:rPr>
        <w:t xml:space="preserve">4.1 Patch Decomposition</w:t>
      </w:r>
    </w:p>
    <w:p>
      <w:pPr>
        <w:spacing w:after="80" w:before="80" w:line="276"/>
        <w:jc w:val="both"/>
      </w:pPr>
      <w:r>
        <w:rPr>
          <w:rFonts w:ascii="Arial" w:cs="Arial" w:eastAsia="Arial" w:hAnsi="Arial"/>
          <w:b w:val="false"/>
          <w:bCs w:val="false"/>
          <w:i w:val="false"/>
          <w:iCs w:val="false"/>
          <w:sz w:val="20"/>
          <w:szCs w:val="20"/>
        </w:rPr>
        <w:t xml:space="preserve">Given a 512×512 input image, we extract non-overlapping 32×32 patches, yielding P = 256 patches per image. Each patch p_{ij} ∈ R^(32×32×3) is processed independently through both the U-Net segmentation head and the JEPA encoder. The patch size of 32×32 was chosen to balance spatial granularity with computational overhead; ablation results across patch sizes of 16, 32, and 64 are reported in Section 5.</w:t>
      </w:r>
    </w:p>
    <w:p>
      <w:pPr>
        <w:pStyle w:val="Heading2"/>
        <w:spacing w:after="120" w:before="220"/>
      </w:pPr>
      <w:r>
        <w:rPr>
          <w:rFonts w:ascii="Arial" w:cs="Arial" w:eastAsia="Arial" w:hAnsi="Arial"/>
          <w:b/>
          <w:bCs/>
          <w:color w:val="2E5496"/>
          <w:sz w:val="22"/>
          <w:szCs w:val="22"/>
        </w:rPr>
        <w:t xml:space="preserve">4.2 Stage 1: U-Net Patch Scoring</w:t>
      </w:r>
    </w:p>
    <w:p>
      <w:pPr>
        <w:spacing w:after="80" w:before="80" w:line="276"/>
        <w:jc w:val="both"/>
      </w:pPr>
      <w:r>
        <w:rPr>
          <w:rFonts w:ascii="Arial" w:cs="Arial" w:eastAsia="Arial" w:hAnsi="Arial"/>
          <w:b w:val="false"/>
          <w:bCs w:val="false"/>
          <w:i w:val="false"/>
          <w:iCs w:val="false"/>
          <w:sz w:val="20"/>
          <w:szCs w:val="20"/>
        </w:rPr>
        <w:t xml:space="preserve">For each patch p_{ij}, the U-Net model f_θ produces a local probability map P_{ij} = softmax(f_θ(p_{ij})) ∈ [0,1]^(32×32×8). We derive two scalar scores per patch:</w:t>
      </w:r>
    </w:p>
    <w:p>
      <w:pPr>
        <w:spacing w:after="0" w:before="40"/>
      </w:pPr>
      <w:r>
        <w:t xml:space="preserve"/>
      </w:r>
    </w:p>
    <w:p>
      <w:pPr>
        <w:spacing w:after="80" w:before="80" w:line="276"/>
        <w:jc w:val="both"/>
      </w:pPr>
      <w:r>
        <w:rPr>
          <w:rFonts w:ascii="Arial" w:cs="Arial" w:eastAsia="Arial" w:hAnsi="Arial"/>
          <w:b/>
          <w:bCs/>
          <w:sz w:val="20"/>
          <w:szCs w:val="20"/>
        </w:rPr>
        <w:t xml:space="preserve">Confidence Score: </w:t>
      </w:r>
      <w:r>
        <w:rPr>
          <w:rFonts w:ascii="Arial" w:cs="Arial" w:eastAsia="Arial" w:hAnsi="Arial"/>
          <w:sz w:val="20"/>
          <w:szCs w:val="20"/>
        </w:rPr>
        <w:t xml:space="preserve">Conf(p_{ij}) = mean_{x,y}[max_c P_{ij}(x,y,c)]. This measures the average maximum class probability across all pixels in the patch. High confidence indicates the model is certain about its predictions within the patch.</w:t>
      </w:r>
    </w:p>
    <w:p>
      <w:pPr>
        <w:spacing w:after="0" w:before="40"/>
      </w:pPr>
      <w:r>
        <w:t xml:space="preserve"/>
      </w:r>
    </w:p>
    <w:p>
      <w:pPr>
        <w:spacing w:after="80" w:before="80" w:line="276"/>
        <w:jc w:val="both"/>
      </w:pPr>
      <w:r>
        <w:rPr>
          <w:rFonts w:ascii="Arial" w:cs="Arial" w:eastAsia="Arial" w:hAnsi="Arial"/>
          <w:b/>
          <w:bCs/>
          <w:sz w:val="20"/>
          <w:szCs w:val="20"/>
        </w:rPr>
        <w:t xml:space="preserve">Confusion Score: </w:t>
      </w:r>
      <w:r>
        <w:rPr>
          <w:rFonts w:ascii="Arial" w:cs="Arial" w:eastAsia="Arial" w:hAnsi="Arial"/>
          <w:sz w:val="20"/>
          <w:szCs w:val="20"/>
        </w:rPr>
        <w:t xml:space="preserve">Conf(p_{ij}) = H(p_{ij}) / log(C), where H(p_{ij}) = -mean_{x,y}[Σ_c P_{ij}(x,y,c) log P_{ij}(x,y,c)] is the normalized average entropy. High confusion indicates a high degree of uncertainty across the patch.</w:t>
      </w:r>
    </w:p>
    <w:p>
      <w:pPr>
        <w:pStyle w:val="Heading2"/>
        <w:spacing w:after="120" w:before="220"/>
      </w:pPr>
      <w:r>
        <w:rPr>
          <w:rFonts w:ascii="Arial" w:cs="Arial" w:eastAsia="Arial" w:hAnsi="Arial"/>
          <w:b/>
          <w:bCs/>
          <w:color w:val="2E5496"/>
          <w:sz w:val="22"/>
          <w:szCs w:val="22"/>
        </w:rPr>
        <w:t xml:space="preserve">4.3 Stage 2: JEPA Embedding Analysis</w:t>
      </w:r>
    </w:p>
    <w:p>
      <w:pPr>
        <w:spacing w:after="80" w:before="80" w:line="276"/>
        <w:jc w:val="both"/>
      </w:pPr>
      <w:r>
        <w:rPr>
          <w:rFonts w:ascii="Arial" w:cs="Arial" w:eastAsia="Arial" w:hAnsi="Arial"/>
          <w:b w:val="false"/>
          <w:bCs w:val="false"/>
          <w:i w:val="false"/>
          <w:iCs w:val="false"/>
          <w:sz w:val="20"/>
          <w:szCs w:val="20"/>
        </w:rPr>
        <w:t xml:space="preserve">Independently of the U-Net, we encode each patch through a pretrained I-JEPA encoder φ: R^(32×32×3) → R^768, obtaining a semantic embedding z_{ij} = φ(p_{ij}). We maintain a class prototype bank {μ_c}_{c=1}^C, where μ_c is the exponential moving average of embeddings of patches predominantly classified as class c across the labeled pool.</w:t>
      </w:r>
    </w:p>
    <w:p>
      <w:pPr>
        <w:spacing w:after="0" w:before="40"/>
      </w:pPr>
      <w:r>
        <w:t xml:space="preserve"/>
      </w:r>
    </w:p>
    <w:p>
      <w:pPr>
        <w:spacing w:after="80" w:before="80" w:line="276"/>
        <w:jc w:val="both"/>
      </w:pPr>
      <w:r>
        <w:rPr>
          <w:rFonts w:ascii="Arial" w:cs="Arial" w:eastAsia="Arial" w:hAnsi="Arial"/>
          <w:b w:val="false"/>
          <w:bCs w:val="false"/>
          <w:i w:val="false"/>
          <w:iCs w:val="false"/>
          <w:sz w:val="20"/>
          <w:szCs w:val="20"/>
        </w:rPr>
        <w:t xml:space="preserve">For each patch, we compute the cosine similarity to all class prototypes and derive a complementary embedding-space confusion score:</w:t>
      </w:r>
    </w:p>
    <w:p>
      <w:pPr>
        <w:spacing w:after="0" w:before="40"/>
      </w:pPr>
      <w:r>
        <w:t xml:space="preserve"/>
      </w:r>
    </w:p>
    <w:p>
      <w:pPr>
        <w:spacing w:after="80" w:before="80" w:line="276"/>
        <w:jc w:val="both"/>
      </w:pPr>
      <w:r>
        <w:rPr>
          <w:rFonts w:ascii="Arial" w:cs="Arial" w:eastAsia="Arial" w:hAnsi="Arial"/>
          <w:b/>
          <w:bCs/>
          <w:i/>
          <w:iCs/>
          <w:sz w:val="20"/>
          <w:szCs w:val="20"/>
        </w:rPr>
        <w:t xml:space="preserve">Sim_c(p_{ij}) = cos(z_{ij}, μ_c). </w:t>
      </w:r>
      <w:r>
        <w:rPr>
          <w:rFonts w:ascii="Arial" w:cs="Arial" w:eastAsia="Arial" w:hAnsi="Arial"/>
          <w:sz w:val="20"/>
          <w:szCs w:val="20"/>
        </w:rPr>
        <w:t xml:space="preserve">The top-2 similarities yield the predicted class c* = argmax_c Sim_c and the primary competing class c' = argmax_{c≠c*} Sim_c. The embedding confusion score is EmbConf(p_{ij}) = 1 - (Sim_{c*} - Sim_{c'}), which is large when the embedding lies close to the boundary between two class prototypes.</w:t>
      </w:r>
    </w:p>
    <w:p>
      <w:pPr>
        <w:spacing w:after="0" w:before="40"/>
      </w:pPr>
      <w:r>
        <w:t xml:space="preserve"/>
      </w:r>
    </w:p>
    <w:p>
      <w:pPr>
        <w:spacing w:after="80" w:before="80" w:line="276"/>
        <w:jc w:val="both"/>
      </w:pPr>
      <w:r>
        <w:rPr>
          <w:rFonts w:ascii="Arial" w:cs="Arial" w:eastAsia="Arial" w:hAnsi="Arial"/>
          <w:b w:val="false"/>
          <w:bCs w:val="false"/>
          <w:i w:val="false"/>
          <w:iCs w:val="false"/>
          <w:sz w:val="20"/>
          <w:szCs w:val="20"/>
        </w:rPr>
        <w:t xml:space="preserve">Additionally, the JEPA predictor reconstruction error — the L2 distance between the predictor's output embedding and the target encoder's embedding for a given patch — provides a third orthogonal uncertainty signal that captures semantic novelty: patches the model has never seen during pretraining exhibit high reconstruction error.</w:t>
      </w:r>
    </w:p>
    <w:p>
      <w:pPr>
        <w:pStyle w:val="Heading2"/>
        <w:spacing w:after="120" w:before="220"/>
      </w:pPr>
      <w:r>
        <w:rPr>
          <w:rFonts w:ascii="Arial" w:cs="Arial" w:eastAsia="Arial" w:hAnsi="Arial"/>
          <w:b/>
          <w:bCs/>
          <w:color w:val="2E5496"/>
          <w:sz w:val="22"/>
          <w:szCs w:val="22"/>
        </w:rPr>
        <w:t xml:space="preserve">4.4 Confidence-Confusion Gate</w:t>
      </w:r>
    </w:p>
    <w:p>
      <w:pPr>
        <w:spacing w:after="80" w:before="80" w:line="276"/>
        <w:jc w:val="both"/>
      </w:pPr>
      <w:r>
        <w:rPr>
          <w:rFonts w:ascii="Arial" w:cs="Arial" w:eastAsia="Arial" w:hAnsi="Arial"/>
          <w:b w:val="false"/>
          <w:bCs w:val="false"/>
          <w:i w:val="false"/>
          <w:iCs w:val="false"/>
          <w:sz w:val="20"/>
          <w:szCs w:val="20"/>
        </w:rPr>
        <w:t xml:space="preserve">A patch p_{ij} is flagged for explainability if either of the following conditions holds:</w:t>
      </w:r>
    </w:p>
    <w:p>
      <w:pPr>
        <w:spacing w:after="0" w:before="40"/>
      </w:pPr>
      <w:r>
        <w:t xml:space="preserve"/>
      </w:r>
    </w:p>
    <w:p>
      <w:pPr>
        <w:pStyle w:val="ListParagraph"/>
        <w:numPr>
          <w:ilvl w:val="0"/>
          <w:numId w:val="2"/>
        </w:numPr>
        <w:spacing w:after="40" w:before="40"/>
      </w:pPr>
      <w:r>
        <w:rPr>
          <w:rFonts w:ascii="Arial" w:cs="Arial" w:eastAsia="Arial" w:hAnsi="Arial"/>
          <w:sz w:val="20"/>
          <w:szCs w:val="20"/>
        </w:rPr>
        <w:t xml:space="preserve">Softmax confusion score exceeds threshold τ_H = 0.20 (normalized entropy)</w:t>
      </w:r>
    </w:p>
    <w:p>
      <w:pPr>
        <w:pStyle w:val="ListParagraph"/>
        <w:numPr>
          <w:ilvl w:val="0"/>
          <w:numId w:val="2"/>
        </w:numPr>
        <w:spacing w:after="40" w:before="40"/>
      </w:pPr>
      <w:r>
        <w:rPr>
          <w:rFonts w:ascii="Arial" w:cs="Arial" w:eastAsia="Arial" w:hAnsi="Arial"/>
          <w:sz w:val="20"/>
          <w:szCs w:val="20"/>
        </w:rPr>
        <w:t xml:space="preserve">Embedding confusion score exceeds threshold τ_E = 0.15 (cosine similarity gap)</w:t>
      </w:r>
    </w:p>
    <w:p>
      <w:pPr>
        <w:pStyle w:val="ListParagraph"/>
        <w:numPr>
          <w:ilvl w:val="0"/>
          <w:numId w:val="2"/>
        </w:numPr>
        <w:spacing w:after="40" w:before="40"/>
      </w:pPr>
      <w:r>
        <w:rPr>
          <w:rFonts w:ascii="Arial" w:cs="Arial" w:eastAsia="Arial" w:hAnsi="Arial"/>
          <w:sz w:val="20"/>
          <w:szCs w:val="20"/>
        </w:rPr>
        <w:t xml:space="preserve">JEPA predictor reconstruction error exceeds the 85th percentile across the current batch</w:t>
      </w:r>
    </w:p>
    <w:p>
      <w:pPr>
        <w:spacing w:after="0" w:before="40"/>
      </w:pPr>
      <w:r>
        <w:t xml:space="preserve"/>
      </w:r>
    </w:p>
    <w:p>
      <w:pPr>
        <w:spacing w:after="80" w:before="80" w:line="276"/>
        <w:jc w:val="both"/>
      </w:pPr>
      <w:r>
        <w:rPr>
          <w:rFonts w:ascii="Arial" w:cs="Arial" w:eastAsia="Arial" w:hAnsi="Arial"/>
          <w:b w:val="false"/>
          <w:bCs w:val="false"/>
          <w:i w:val="false"/>
          <w:iCs w:val="false"/>
          <w:sz w:val="20"/>
          <w:szCs w:val="20"/>
        </w:rPr>
        <w:t xml:space="preserve">Patches not flagged are automatically accepted with no annotator intervention required. In our experiments, approximately 18-25% of patches per image are flagged, corresponding to a reduction from 256 patches to approximately 50-60 patches requiring human attention.</w:t>
      </w:r>
    </w:p>
    <w:p>
      <w:pPr>
        <w:pStyle w:val="Heading2"/>
        <w:spacing w:after="120" w:before="220"/>
      </w:pPr>
      <w:r>
        <w:rPr>
          <w:rFonts w:ascii="Arial" w:cs="Arial" w:eastAsia="Arial" w:hAnsi="Arial"/>
          <w:b/>
          <w:bCs/>
          <w:color w:val="2E5496"/>
          <w:sz w:val="22"/>
          <w:szCs w:val="22"/>
        </w:rPr>
        <w:t xml:space="preserve">4.5 Stage 3: WHY / WHAT / HOW Explainability Module</w:t>
      </w:r>
    </w:p>
    <w:p>
      <w:pPr>
        <w:spacing w:after="80" w:before="80" w:line="276"/>
        <w:jc w:val="both"/>
      </w:pPr>
      <w:r>
        <w:rPr>
          <w:rFonts w:ascii="Arial" w:cs="Arial" w:eastAsia="Arial" w:hAnsi="Arial"/>
          <w:b w:val="false"/>
          <w:bCs w:val="false"/>
          <w:i w:val="false"/>
          <w:iCs w:val="false"/>
          <w:sz w:val="20"/>
          <w:szCs w:val="20"/>
        </w:rPr>
        <w:t xml:space="preserve">For each flagged patch, the explainability module generates a three-part structured explanation:</w:t>
      </w:r>
    </w:p>
    <w:p>
      <w:pPr>
        <w:spacing w:after="0" w:before="40"/>
      </w:pPr>
      <w:r>
        <w:t xml:space="preserve"/>
      </w:r>
    </w:p>
    <w:p>
      <w:pPr>
        <w:spacing w:after="80" w:before="80" w:line="276"/>
        <w:jc w:val="both"/>
      </w:pPr>
      <w:r>
        <w:rPr>
          <w:rFonts w:ascii="Arial" w:cs="Arial" w:eastAsia="Arial" w:hAnsi="Arial"/>
          <w:b/>
          <w:bCs/>
          <w:sz w:val="20"/>
          <w:szCs w:val="20"/>
        </w:rPr>
        <w:t xml:space="preserve">WHY — Feature Attribution: </w:t>
      </w:r>
      <w:r>
        <w:rPr>
          <w:rFonts w:ascii="Arial" w:cs="Arial" w:eastAsia="Arial" w:hAnsi="Arial"/>
          <w:sz w:val="20"/>
          <w:szCs w:val="20"/>
        </w:rPr>
        <w:t xml:space="preserve">We extract DINOv2 self-attention maps from the last transformer layer. The CLS token attention over spatial positions identifies which sub-regions within the patch drove the overall patch-level prediction. This is overlaid on the patch image and highlighted for the annotator. Unlike GradCAM, DINOv2 attention is pixel-aligned and does not require backpropagation.</w:t>
      </w:r>
    </w:p>
    <w:p>
      <w:pPr>
        <w:spacing w:after="0" w:before="40"/>
      </w:pPr>
      <w:r>
        <w:t xml:space="preserve"/>
      </w:r>
    </w:p>
    <w:p>
      <w:pPr>
        <w:spacing w:after="80" w:before="80" w:line="276"/>
        <w:jc w:val="both"/>
      </w:pPr>
      <w:r>
        <w:rPr>
          <w:rFonts w:ascii="Arial" w:cs="Arial" w:eastAsia="Arial" w:hAnsi="Arial"/>
          <w:b/>
          <w:bCs/>
          <w:sz w:val="20"/>
          <w:szCs w:val="20"/>
        </w:rPr>
        <w:t xml:space="preserve">WHAT — Class Competition: </w:t>
      </w:r>
      <w:r>
        <w:rPr>
          <w:rFonts w:ascii="Arial" w:cs="Arial" w:eastAsia="Arial" w:hAnsi="Arial"/>
          <w:sz w:val="20"/>
          <w:szCs w:val="20"/>
        </w:rPr>
        <w:t xml:space="preserve">We report the top-2 competing classes with their softmax probabilities and embedding cosine similarities. For the Road vs. Developed Space confusion common in OpenEarthMap, this surfaces the specific class boundary at issue and provides the annotator with the binary decision framing: 'Is this Road (52%) or Developed Space (41%)?'</w:t>
      </w:r>
    </w:p>
    <w:p>
      <w:pPr>
        <w:spacing w:after="0" w:before="40"/>
      </w:pPr>
      <w:r>
        <w:t xml:space="preserve"/>
      </w:r>
    </w:p>
    <w:p>
      <w:pPr>
        <w:spacing w:after="80" w:before="80" w:line="276"/>
        <w:jc w:val="both"/>
      </w:pPr>
      <w:r>
        <w:rPr>
          <w:rFonts w:ascii="Arial" w:cs="Arial" w:eastAsia="Arial" w:hAnsi="Arial"/>
          <w:b/>
          <w:bCs/>
          <w:sz w:val="20"/>
          <w:szCs w:val="20"/>
        </w:rPr>
        <w:t xml:space="preserve">HOW — Spatial Localization: </w:t>
      </w:r>
      <w:r>
        <w:rPr>
          <w:rFonts w:ascii="Arial" w:cs="Arial" w:eastAsia="Arial" w:hAnsi="Arial"/>
          <w:sz w:val="20"/>
          <w:szCs w:val="20"/>
        </w:rPr>
        <w:t xml:space="preserve">We partition each flagged patch into four quadrants and compute the per-quadrant entropy. The quadrant with highest entropy is highlighted as the primary focus region. We additionally apply Integrated Gradients for the top-2 classes to produce per-pixel attribution maps within the patch, identifying the specific pixels most responsible for the class confusion.</w:t>
      </w:r>
    </w:p>
    <w:p>
      <w:pPr>
        <w:spacing w:after="0" w:before="120"/>
      </w:pPr>
      <w:r>
        <w:t xml:space="preserve"/>
      </w:r>
    </w:p>
    <w:p>
      <w:pPr>
        <w:pStyle w:val="Heading1"/>
        <w:spacing w:after="160" w:before="300"/>
      </w:pPr>
      <w:r>
        <w:rPr>
          <w:rFonts w:ascii="Arial" w:cs="Arial" w:eastAsia="Arial" w:hAnsi="Arial"/>
          <w:b/>
          <w:bCs/>
          <w:color w:val="1F3864"/>
          <w:sz w:val="26"/>
          <w:szCs w:val="26"/>
        </w:rPr>
        <w:t xml:space="preserve">5. Experiments</w:t>
      </w:r>
    </w:p>
    <w:p>
      <w:pPr>
        <w:pStyle w:val="Heading2"/>
        <w:spacing w:after="120" w:before="220"/>
      </w:pPr>
      <w:r>
        <w:rPr>
          <w:rFonts w:ascii="Arial" w:cs="Arial" w:eastAsia="Arial" w:hAnsi="Arial"/>
          <w:b/>
          <w:bCs/>
          <w:color w:val="2E5496"/>
          <w:sz w:val="22"/>
          <w:szCs w:val="22"/>
        </w:rPr>
        <w:t xml:space="preserve">5.1 Dataset and Setup</w:t>
      </w:r>
    </w:p>
    <w:p>
      <w:pPr>
        <w:spacing w:after="80" w:before="80" w:line="276"/>
        <w:jc w:val="both"/>
      </w:pPr>
      <w:r>
        <w:rPr>
          <w:rFonts w:ascii="Arial" w:cs="Arial" w:eastAsia="Arial" w:hAnsi="Arial"/>
          <w:b w:val="false"/>
          <w:bCs w:val="false"/>
          <w:i w:val="false"/>
          <w:iCs w:val="false"/>
          <w:sz w:val="20"/>
          <w:szCs w:val="20"/>
        </w:rPr>
        <w:t xml:space="preserve">We evaluate our approach on the OpenEarthMap Land Cover dataset, which comprises 5,000 high-resolution satellite images from 97 regions across 6 continents, annotated with 8 land cover classes at 0.25-0.5m resolution. Images are resized to 512×512 pixels for all experiments. We initialize the AL pool with 50 labeled samples and run 4 AL iterations, selecting 50 samples per iteration. The U-Net backbone uses a ResNet-50 encoder pretrained on ImageNet. The JEPA encoder is the ViT-B/16 I-JEPA model pretrained on ImageNet-1K. All experiments use PyTorch with a single NVIDIA A100 GPU. Performance is reported as mean Intersection over Union (mIoU) and macro F1-score.</w:t>
      </w:r>
    </w:p>
    <w:p>
      <w:pPr>
        <w:pStyle w:val="Heading2"/>
        <w:spacing w:after="120" w:before="220"/>
      </w:pPr>
      <w:r>
        <w:rPr>
          <w:rFonts w:ascii="Arial" w:cs="Arial" w:eastAsia="Arial" w:hAnsi="Arial"/>
          <w:b/>
          <w:bCs/>
          <w:color w:val="2E5496"/>
          <w:sz w:val="22"/>
          <w:szCs w:val="22"/>
        </w:rPr>
        <w:t xml:space="preserve">5.2 Baselines</w:t>
      </w:r>
    </w:p>
    <w:p>
      <w:pPr>
        <w:pStyle w:val="ListParagraph"/>
        <w:numPr>
          <w:ilvl w:val="0"/>
          <w:numId w:val="2"/>
        </w:numPr>
        <w:spacing w:after="40" w:before="40"/>
      </w:pPr>
      <w:r>
        <w:rPr>
          <w:rFonts w:ascii="Arial" w:cs="Arial" w:eastAsia="Arial" w:hAnsi="Arial"/>
          <w:sz w:val="20"/>
          <w:szCs w:val="20"/>
        </w:rPr>
        <w:t xml:space="preserve">AL + U-Net (baseline): Standard entropy-based active learning with no XAI.</w:t>
      </w:r>
    </w:p>
    <w:p>
      <w:pPr>
        <w:pStyle w:val="ListParagraph"/>
        <w:numPr>
          <w:ilvl w:val="0"/>
          <w:numId w:val="2"/>
        </w:numPr>
        <w:spacing w:after="40" w:before="40"/>
      </w:pPr>
      <w:r>
        <w:rPr>
          <w:rFonts w:ascii="Arial" w:cs="Arial" w:eastAsia="Arial" w:hAnsi="Arial"/>
          <w:sz w:val="20"/>
          <w:szCs w:val="20"/>
        </w:rPr>
        <w:t xml:space="preserve">AL + U-Net + GradCAM: Active learning with GradCAM overlays for annotator guidance.</w:t>
      </w:r>
    </w:p>
    <w:p>
      <w:pPr>
        <w:pStyle w:val="ListParagraph"/>
        <w:numPr>
          <w:ilvl w:val="0"/>
          <w:numId w:val="2"/>
        </w:numPr>
        <w:spacing w:after="40" w:before="40"/>
      </w:pPr>
      <w:r>
        <w:rPr>
          <w:rFonts w:ascii="Arial" w:cs="Arial" w:eastAsia="Arial" w:hAnsi="Arial"/>
          <w:sz w:val="20"/>
          <w:szCs w:val="20"/>
        </w:rPr>
        <w:t xml:space="preserve">AL + U-Net + MC Dropout: Monte Carlo Dropout uncertainty maps for annotation focus.</w:t>
      </w:r>
    </w:p>
    <w:p>
      <w:pPr>
        <w:pStyle w:val="ListParagraph"/>
        <w:numPr>
          <w:ilvl w:val="0"/>
          <w:numId w:val="2"/>
        </w:numPr>
        <w:spacing w:after="40" w:before="40"/>
      </w:pPr>
      <w:r>
        <w:rPr>
          <w:rFonts w:ascii="Arial" w:cs="Arial" w:eastAsia="Arial" w:hAnsi="Arial"/>
          <w:sz w:val="20"/>
          <w:szCs w:val="20"/>
        </w:rPr>
        <w:t xml:space="preserve">AL + JEPA + U-Net (ours): JEPA embeddings combined with U-Net predictions.</w:t>
      </w:r>
    </w:p>
    <w:p>
      <w:pPr>
        <w:pStyle w:val="ListParagraph"/>
        <w:numPr>
          <w:ilvl w:val="0"/>
          <w:numId w:val="2"/>
        </w:numPr>
        <w:spacing w:after="40" w:before="40"/>
      </w:pPr>
      <w:r>
        <w:rPr>
          <w:rFonts w:ascii="Arial" w:cs="Arial" w:eastAsia="Arial" w:hAnsi="Arial"/>
          <w:sz w:val="20"/>
          <w:szCs w:val="20"/>
        </w:rPr>
        <w:t xml:space="preserve">AL + JEPA + U-Net + Gate (ours): Full pipeline with confidence-confusion gate.</w:t>
      </w:r>
    </w:p>
    <w:p>
      <w:pPr>
        <w:pStyle w:val="ListParagraph"/>
        <w:numPr>
          <w:ilvl w:val="0"/>
          <w:numId w:val="2"/>
        </w:numPr>
        <w:spacing w:after="40" w:before="40"/>
      </w:pPr>
      <w:r>
        <w:rPr>
          <w:rFonts w:ascii="Arial" w:cs="Arial" w:eastAsia="Arial" w:hAnsi="Arial"/>
          <w:sz w:val="20"/>
          <w:szCs w:val="20"/>
        </w:rPr>
        <w:t xml:space="preserve">AL + Full Pipeline (ours): Complete system with WHY/WHAT/HOW module, 100 labels.</w:t>
      </w:r>
    </w:p>
    <w:p>
      <w:pPr>
        <w:pStyle w:val="Heading2"/>
        <w:spacing w:after="120" w:before="220"/>
      </w:pPr>
      <w:r>
        <w:rPr>
          <w:rFonts w:ascii="Arial" w:cs="Arial" w:eastAsia="Arial" w:hAnsi="Arial"/>
          <w:b/>
          <w:bCs/>
          <w:color w:val="2E5496"/>
          <w:sz w:val="22"/>
          <w:szCs w:val="22"/>
        </w:rPr>
        <w:t xml:space="preserve">5.3 Quantitative Results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1000"/>
        <w:gridCol w:w="1200"/>
        <w:gridCol w:w="1660"/>
      </w:tblGrid>
      <w:tr>
        <w:tc>
          <w:tcPr>
            <w:tcW w:type="dxa" w:w="26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9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18"/>
                <w:szCs w:val="18"/>
              </w:rPr>
              <w:t xml:space="preserve">Labels</w:t>
            </w:r>
          </w:p>
        </w:tc>
        <w:tc>
          <w:tcPr>
            <w:tcW w:type="dxa" w:w="1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18"/>
                <w:szCs w:val="18"/>
              </w:rPr>
              <w:t xml:space="preserve">mIoU ↑</w:t>
            </w:r>
          </w:p>
        </w:tc>
        <w:tc>
          <w:tcPr>
            <w:tcW w:type="dxa" w:w="1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18"/>
                <w:szCs w:val="18"/>
              </w:rPr>
              <w:t xml:space="preserve">F1 ↑</w:t>
            </w:r>
          </w:p>
        </w:tc>
        <w:tc>
          <w:tcPr>
            <w:tcW w:type="dxa" w:w="12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18"/>
                <w:szCs w:val="18"/>
              </w:rPr>
              <w:t xml:space="preserve">Annot. Time</w:t>
            </w:r>
          </w:p>
        </w:tc>
        <w:tc>
          <w:tcPr>
            <w:tcW w:type="dxa" w:w="16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18"/>
                <w:szCs w:val="18"/>
              </w:rPr>
              <w:t xml:space="preserve">Effort %</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AL + U-Net (baseline)</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50</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61.2</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0.31</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45 min</w:t>
            </w:r>
          </w:p>
        </w:tc>
        <w:tc>
          <w:tcPr>
            <w:tcW w:type="dxa" w:w="1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100%</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AL + U-Net + GradCAM</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50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61.8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0.33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38 min</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84%</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AL + U-Net + MC Dropout</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50</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64.5</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0.38</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22 min</w:t>
            </w:r>
          </w:p>
        </w:tc>
        <w:tc>
          <w:tcPr>
            <w:tcW w:type="dxa" w:w="1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49%</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AL + JEPA + U-Net (ours)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50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67.3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0.41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12 min</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27%</w:t>
            </w:r>
          </w:p>
        </w:tc>
      </w:tr>
      <w:tr>
        <w:tc>
          <w:tcPr>
            <w:tcW w:type="dxa" w:w="2600"/>
            <w:tcBorders>
              <w:top w:val="single" w:color="CCCCCC" w:sz="1"/>
              <w:left w:val="single" w:color="CCCCCC" w:sz="1"/>
              <w:bottom w:val="single" w:color="CCCCCC" w:sz="1"/>
              <w:right w:val="single" w:color="CCCCCC" w:sz="1"/>
            </w:tcBorders>
            <w:shd w:fill="E3F2FD" w:val="clear"/>
            <w:tcMar>
              <w:top w:type="dxa" w:w="70"/>
              <w:left w:type="dxa" w:w="120"/>
              <w:bottom w:type="dxa" w:w="70"/>
              <w:right w:type="dxa" w:w="120"/>
            </w:tcMar>
          </w:tcPr>
          <w:p>
            <w:r>
              <w:rPr>
                <w:rFonts w:ascii="Arial" w:cs="Arial" w:eastAsia="Arial" w:hAnsi="Arial"/>
                <w:b/>
                <w:bCs/>
                <w:sz w:val="18"/>
                <w:szCs w:val="18"/>
              </w:rPr>
              <w:t xml:space="preserve">AL + JEPA + U-Net + Gate (ours)</w:t>
            </w:r>
          </w:p>
        </w:tc>
        <w:tc>
          <w:tcPr>
            <w:tcW w:type="dxa" w:w="900"/>
            <w:tcBorders>
              <w:top w:val="single" w:color="CCCCCC" w:sz="1"/>
              <w:left w:val="single" w:color="CCCCCC" w:sz="1"/>
              <w:bottom w:val="single" w:color="CCCCCC" w:sz="1"/>
              <w:right w:val="single" w:color="CCCCCC" w:sz="1"/>
            </w:tcBorders>
            <w:shd w:fill="E3F2FD" w:val="clear"/>
            <w:tcMar>
              <w:top w:type="dxa" w:w="70"/>
              <w:left w:type="dxa" w:w="120"/>
              <w:bottom w:type="dxa" w:w="70"/>
              <w:right w:type="dxa" w:w="120"/>
            </w:tcMar>
          </w:tcPr>
          <w:p>
            <w:r>
              <w:rPr>
                <w:rFonts w:ascii="Arial" w:cs="Arial" w:eastAsia="Arial" w:hAnsi="Arial"/>
                <w:b/>
                <w:bCs/>
                <w:sz w:val="18"/>
                <w:szCs w:val="18"/>
              </w:rPr>
              <w:t xml:space="preserve">50</w:t>
            </w:r>
          </w:p>
        </w:tc>
        <w:tc>
          <w:tcPr>
            <w:tcW w:type="dxa" w:w="1000"/>
            <w:tcBorders>
              <w:top w:val="single" w:color="CCCCCC" w:sz="1"/>
              <w:left w:val="single" w:color="CCCCCC" w:sz="1"/>
              <w:bottom w:val="single" w:color="CCCCCC" w:sz="1"/>
              <w:right w:val="single" w:color="CCCCCC" w:sz="1"/>
            </w:tcBorders>
            <w:shd w:fill="E3F2FD" w:val="clear"/>
            <w:tcMar>
              <w:top w:type="dxa" w:w="70"/>
              <w:left w:type="dxa" w:w="120"/>
              <w:bottom w:type="dxa" w:w="70"/>
              <w:right w:type="dxa" w:w="120"/>
            </w:tcMar>
          </w:tcPr>
          <w:p>
            <w:r>
              <w:rPr>
                <w:rFonts w:ascii="Arial" w:cs="Arial" w:eastAsia="Arial" w:hAnsi="Arial"/>
                <w:b/>
                <w:bCs/>
                <w:sz w:val="18"/>
                <w:szCs w:val="18"/>
              </w:rPr>
              <w:t xml:space="preserve">68.9</w:t>
            </w:r>
          </w:p>
        </w:tc>
        <w:tc>
          <w:tcPr>
            <w:tcW w:type="dxa" w:w="1000"/>
            <w:tcBorders>
              <w:top w:val="single" w:color="CCCCCC" w:sz="1"/>
              <w:left w:val="single" w:color="CCCCCC" w:sz="1"/>
              <w:bottom w:val="single" w:color="CCCCCC" w:sz="1"/>
              <w:right w:val="single" w:color="CCCCCC" w:sz="1"/>
            </w:tcBorders>
            <w:shd w:fill="E3F2FD" w:val="clear"/>
            <w:tcMar>
              <w:top w:type="dxa" w:w="70"/>
              <w:left w:type="dxa" w:w="120"/>
              <w:bottom w:type="dxa" w:w="70"/>
              <w:right w:type="dxa" w:w="120"/>
            </w:tcMar>
          </w:tcPr>
          <w:p>
            <w:r>
              <w:rPr>
                <w:rFonts w:ascii="Arial" w:cs="Arial" w:eastAsia="Arial" w:hAnsi="Arial"/>
                <w:b/>
                <w:bCs/>
                <w:sz w:val="18"/>
                <w:szCs w:val="18"/>
              </w:rPr>
              <w:t xml:space="preserve">0.44</w:t>
            </w:r>
          </w:p>
        </w:tc>
        <w:tc>
          <w:tcPr>
            <w:tcW w:type="dxa" w:w="1200"/>
            <w:tcBorders>
              <w:top w:val="single" w:color="CCCCCC" w:sz="1"/>
              <w:left w:val="single" w:color="CCCCCC" w:sz="1"/>
              <w:bottom w:val="single" w:color="CCCCCC" w:sz="1"/>
              <w:right w:val="single" w:color="CCCCCC" w:sz="1"/>
            </w:tcBorders>
            <w:shd w:fill="E3F2FD" w:val="clear"/>
            <w:tcMar>
              <w:top w:type="dxa" w:w="70"/>
              <w:left w:type="dxa" w:w="120"/>
              <w:bottom w:type="dxa" w:w="70"/>
              <w:right w:type="dxa" w:w="120"/>
            </w:tcMar>
          </w:tcPr>
          <w:p>
            <w:r>
              <w:rPr>
                <w:rFonts w:ascii="Arial" w:cs="Arial" w:eastAsia="Arial" w:hAnsi="Arial"/>
                <w:b/>
                <w:bCs/>
                <w:sz w:val="18"/>
                <w:szCs w:val="18"/>
              </w:rPr>
              <w:t xml:space="preserve">8 min</w:t>
            </w:r>
          </w:p>
        </w:tc>
        <w:tc>
          <w:tcPr>
            <w:tcW w:type="dxa" w:w="1660"/>
            <w:tcBorders>
              <w:top w:val="single" w:color="CCCCCC" w:sz="1"/>
              <w:left w:val="single" w:color="CCCCCC" w:sz="1"/>
              <w:bottom w:val="single" w:color="CCCCCC" w:sz="1"/>
              <w:right w:val="single" w:color="CCCCCC" w:sz="1"/>
            </w:tcBorders>
            <w:shd w:fill="E3F2FD" w:val="clear"/>
            <w:tcMar>
              <w:top w:type="dxa" w:w="70"/>
              <w:left w:type="dxa" w:w="120"/>
              <w:bottom w:type="dxa" w:w="70"/>
              <w:right w:type="dxa" w:w="120"/>
            </w:tcMar>
          </w:tcPr>
          <w:p>
            <w:r>
              <w:rPr>
                <w:rFonts w:ascii="Arial" w:cs="Arial" w:eastAsia="Arial" w:hAnsi="Arial"/>
                <w:b/>
                <w:bCs/>
                <w:sz w:val="18"/>
                <w:szCs w:val="18"/>
              </w:rPr>
              <w:t xml:space="preserve">18%</w:t>
            </w:r>
          </w:p>
        </w:tc>
      </w:tr>
      <w:tr>
        <w:tc>
          <w:tcPr>
            <w:tcW w:type="dxa" w:w="26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AL + Full Pipeline (ours)</w:t>
            </w:r>
          </w:p>
        </w:tc>
        <w:tc>
          <w:tcPr>
            <w:tcW w:type="dxa" w:w="9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100</w:t>
            </w:r>
          </w:p>
        </w:tc>
        <w:tc>
          <w:tcPr>
            <w:tcW w:type="dxa" w:w="10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74.2</w:t>
            </w:r>
          </w:p>
        </w:tc>
        <w:tc>
          <w:tcPr>
            <w:tcW w:type="dxa" w:w="10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0.51</w:t>
            </w:r>
          </w:p>
        </w:tc>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8 min</w:t>
            </w:r>
          </w:p>
        </w:tc>
        <w:tc>
          <w:tcPr>
            <w:tcW w:type="dxa" w:w="166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18%</w:t>
            </w:r>
          </w:p>
        </w:tc>
      </w:tr>
    </w:tbl>
    <w:p>
      <w:pPr>
        <w:spacing w:after="0" w:before="60"/>
      </w:pPr>
      <w:r>
        <w:t xml:space="preserve"/>
      </w:r>
    </w:p>
    <w:p>
      <w:pPr>
        <w:spacing w:after="100" w:before="40"/>
        <w:jc w:val="center"/>
      </w:pPr>
      <w:r>
        <w:rPr>
          <w:rFonts w:ascii="Arial" w:cs="Arial" w:eastAsia="Arial" w:hAnsi="Arial"/>
          <w:i/>
          <w:iCs/>
          <w:color w:val="555555"/>
          <w:sz w:val="18"/>
          <w:szCs w:val="18"/>
        </w:rPr>
        <w:t xml:space="preserve">Table 2: Quantitative Results on OpenEarthMap (50 initial labels, 4 AL iterations)</w:t>
      </w:r>
    </w:p>
    <w:p>
      <w:pPr>
        <w:spacing w:after="80" w:before="80" w:line="276"/>
        <w:jc w:val="both"/>
      </w:pPr>
      <w:r>
        <w:rPr>
          <w:rFonts w:ascii="Arial" w:cs="Arial" w:eastAsia="Arial" w:hAnsi="Arial"/>
          <w:b w:val="false"/>
          <w:bCs w:val="false"/>
          <w:i w:val="false"/>
          <w:iCs w:val="false"/>
          <w:sz w:val="20"/>
          <w:szCs w:val="20"/>
        </w:rPr>
        <w:t xml:space="preserve">Our full pipeline achieves 74.2 mIoU with 100 labels compared to 61.2 mIoU for the baseline, representing a 21.2% relative improvement. Annotation time is reduced from approximately 45 minutes per image to 8 minutes — an 82% reduction. The addition of JEPA embeddings (row 4) provides a 2.8 mIoU gain over MC Dropout alone (row 3), attributable to the richer semantic structure of JEPA embeddings enabling more accurate class prototype matching.</w:t>
      </w:r>
    </w:p>
    <w:p>
      <w:pPr>
        <w:pStyle w:val="Heading2"/>
        <w:spacing w:after="120" w:before="220"/>
      </w:pPr>
      <w:r>
        <w:rPr>
          <w:rFonts w:ascii="Arial" w:cs="Arial" w:eastAsia="Arial" w:hAnsi="Arial"/>
          <w:b/>
          <w:bCs/>
          <w:color w:val="2E5496"/>
          <w:sz w:val="22"/>
          <w:szCs w:val="22"/>
        </w:rPr>
        <w:t xml:space="preserve">5.4 Patch Size Ablation</w:t>
      </w:r>
    </w:p>
    <w:p>
      <w:pPr>
        <w:spacing w:after="80" w:before="80" w:line="276"/>
        <w:jc w:val="both"/>
      </w:pPr>
      <w:r>
        <w:rPr>
          <w:rFonts w:ascii="Arial" w:cs="Arial" w:eastAsia="Arial" w:hAnsi="Arial"/>
          <w:b w:val="false"/>
          <w:bCs w:val="false"/>
          <w:i w:val="false"/>
          <w:iCs w:val="false"/>
          <w:sz w:val="20"/>
          <w:szCs w:val="20"/>
        </w:rPr>
        <w:t xml:space="preserve">We ablate patch sizes of 16×16, 32×32, and 64×64 pixels. The 32×32 configuration achieves the best balance: 16×16 patches produce excessive fragmentation with negligible per-patch context, while 64×64 patches dilute confusion signals from small boundary regions. The 32×32 setting flags an average of 22% of patches per image, yielding the best annotation effort vs. explanation quality tradeoff.</w:t>
      </w:r>
    </w:p>
    <w:p>
      <w:pPr>
        <w:pStyle w:val="Heading2"/>
        <w:spacing w:after="120" w:before="220"/>
      </w:pPr>
      <w:r>
        <w:rPr>
          <w:rFonts w:ascii="Arial" w:cs="Arial" w:eastAsia="Arial" w:hAnsi="Arial"/>
          <w:b/>
          <w:bCs/>
          <w:color w:val="2E5496"/>
          <w:sz w:val="22"/>
          <w:szCs w:val="22"/>
        </w:rPr>
        <w:t xml:space="preserve">5.5 Per-Class Analysis</w:t>
      </w:r>
    </w:p>
    <w:p>
      <w:pPr>
        <w:spacing w:after="80" w:before="80" w:line="276"/>
        <w:jc w:val="both"/>
      </w:pPr>
      <w:r>
        <w:rPr>
          <w:rFonts w:ascii="Arial" w:cs="Arial" w:eastAsia="Arial" w:hAnsi="Arial"/>
          <w:b w:val="false"/>
          <w:bCs w:val="false"/>
          <w:i w:val="false"/>
          <w:iCs w:val="false"/>
          <w:sz w:val="20"/>
          <w:szCs w:val="20"/>
        </w:rPr>
        <w:t xml:space="preserve">The most frequent confusion pairs on OpenEarthMap are: Road vs. Developed Space (embedding cosine similarity gap &lt; 0.08 in 34% of cases), Agriculture vs. Rangeland (gap &lt; 0.10 in 28% of cases), and Bareland vs. Developed Space (gap &lt; 0.12 in 19% of cases). Our pipeline correctly flags these boundary patches in 91% of cases, demonstrating strong alignment between the embedding-space confusion score and true annotation difficulty.</w:t>
      </w:r>
    </w:p>
    <w:p>
      <w:pPr>
        <w:spacing w:after="0" w:before="120"/>
      </w:pPr>
      <w:r>
        <w:t xml:space="preserve"/>
      </w:r>
    </w:p>
    <w:p>
      <w:pPr>
        <w:pStyle w:val="Heading1"/>
        <w:spacing w:after="160" w:before="300"/>
      </w:pPr>
      <w:r>
        <w:rPr>
          <w:rFonts w:ascii="Arial" w:cs="Arial" w:eastAsia="Arial" w:hAnsi="Arial"/>
          <w:b/>
          <w:bCs/>
          <w:color w:val="1F3864"/>
          <w:sz w:val="26"/>
          <w:szCs w:val="26"/>
        </w:rPr>
        <w:t xml:space="preserve">6. Comparison with Existing XAI Methods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3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Granularity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8-Class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Speed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GradCAM</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Region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Partial</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Fast</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Wrong granularity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SHAP</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Feature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Limited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Very Slow</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18"/>
                <w:szCs w:val="18"/>
              </w:rPr>
              <w:t xml:space="preserve">Computationally infeasible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LIME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Superpixel</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Limited</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Slow</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sz w:val="18"/>
                <w:szCs w:val="18"/>
              </w:rPr>
              <w:t xml:space="preserve">Region-level only</w:t>
            </w:r>
          </w:p>
        </w:tc>
      </w:tr>
      <w:tr>
        <w:tc>
          <w:tcPr>
            <w:tcW w:type="dxa" w:w="2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MC Dropout (ours)</w:t>
            </w:r>
          </w:p>
        </w:tc>
        <w:tc>
          <w:tcPr>
            <w:tcW w:type="dxa" w:w="14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Pixel</w:t>
            </w:r>
          </w:p>
        </w:tc>
        <w:tc>
          <w:tcPr>
            <w:tcW w:type="dxa" w:w="14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Full 8-class</w:t>
            </w:r>
          </w:p>
        </w:tc>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Fast</w:t>
            </w:r>
          </w:p>
        </w:tc>
        <w:tc>
          <w:tcPr>
            <w:tcW w:type="dxa" w:w="316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Directly applicable</w:t>
            </w:r>
          </w:p>
        </w:tc>
      </w:tr>
      <w:tr>
        <w:tc>
          <w:tcPr>
            <w:tcW w:type="dxa" w:w="2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Integrated Gradients (ours)</w:t>
            </w:r>
          </w:p>
        </w:tc>
        <w:tc>
          <w:tcPr>
            <w:tcW w:type="dxa" w:w="14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Pixel</w:t>
            </w:r>
          </w:p>
        </w:tc>
        <w:tc>
          <w:tcPr>
            <w:tcW w:type="dxa" w:w="14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Full 8-class</w:t>
            </w:r>
          </w:p>
        </w:tc>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Medium</w:t>
            </w:r>
          </w:p>
        </w:tc>
        <w:tc>
          <w:tcPr>
            <w:tcW w:type="dxa" w:w="316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Most accurate</w:t>
            </w:r>
          </w:p>
        </w:tc>
      </w:tr>
      <w:tr>
        <w:tc>
          <w:tcPr>
            <w:tcW w:type="dxa" w:w="2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JEPA Embedding (ours)</w:t>
            </w:r>
          </w:p>
        </w:tc>
        <w:tc>
          <w:tcPr>
            <w:tcW w:type="dxa" w:w="14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Patch</w:t>
            </w:r>
          </w:p>
        </w:tc>
        <w:tc>
          <w:tcPr>
            <w:tcW w:type="dxa" w:w="14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Full 8-class</w:t>
            </w:r>
          </w:p>
        </w:tc>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Fast</w:t>
            </w:r>
          </w:p>
        </w:tc>
        <w:tc>
          <w:tcPr>
            <w:tcW w:type="dxa" w:w="316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Free during forward pass</w:t>
            </w:r>
          </w:p>
        </w:tc>
      </w:tr>
      <w:tr>
        <w:tc>
          <w:tcPr>
            <w:tcW w:type="dxa" w:w="2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Patch Confusion Gate (ours)</w:t>
            </w:r>
          </w:p>
        </w:tc>
        <w:tc>
          <w:tcPr>
            <w:tcW w:type="dxa" w:w="14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Patch</w:t>
            </w:r>
          </w:p>
        </w:tc>
        <w:tc>
          <w:tcPr>
            <w:tcW w:type="dxa" w:w="14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Full 8-class</w:t>
            </w:r>
          </w:p>
        </w:tc>
        <w:tc>
          <w:tcPr>
            <w:tcW w:type="dxa" w:w="12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Very Fast</w:t>
            </w:r>
          </w:p>
        </w:tc>
        <w:tc>
          <w:tcPr>
            <w:tcW w:type="dxa" w:w="316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b/>
                <w:bCs/>
                <w:sz w:val="18"/>
                <w:szCs w:val="18"/>
              </w:rPr>
              <w:t xml:space="preserve">Reduces annotation 82%</w:t>
            </w:r>
          </w:p>
        </w:tc>
      </w:tr>
    </w:tbl>
    <w:p>
      <w:pPr>
        <w:spacing w:after="0" w:before="60"/>
      </w:pPr>
      <w:r>
        <w:t xml:space="preserve"/>
      </w:r>
    </w:p>
    <w:p>
      <w:pPr>
        <w:spacing w:after="100" w:before="40"/>
        <w:jc w:val="center"/>
      </w:pPr>
      <w:r>
        <w:rPr>
          <w:rFonts w:ascii="Arial" w:cs="Arial" w:eastAsia="Arial" w:hAnsi="Arial"/>
          <w:i/>
          <w:iCs/>
          <w:color w:val="555555"/>
          <w:sz w:val="18"/>
          <w:szCs w:val="18"/>
        </w:rPr>
        <w:t xml:space="preserve">Table 3: XAI Method Comparison for 8-Class Dense Segmentation</w:t>
      </w:r>
    </w:p>
    <w:p>
      <w:pPr>
        <w:spacing w:after="80" w:before="80" w:line="276"/>
        <w:jc w:val="both"/>
      </w:pPr>
      <w:r>
        <w:rPr>
          <w:rFonts w:ascii="Arial" w:cs="Arial" w:eastAsia="Arial" w:hAnsi="Arial"/>
          <w:b w:val="false"/>
          <w:bCs w:val="false"/>
          <w:i w:val="false"/>
          <w:iCs w:val="false"/>
          <w:sz w:val="20"/>
          <w:szCs w:val="20"/>
        </w:rPr>
        <w:t xml:space="preserve">The fundamental limitation of GradCAM, SHAP, and LIME for our setting is not implementation detail but architectural assumption: all three methods were designed to explain a scalar output (a single class score) with respect to a single input. In dense segmentation, the output space is H×W×C, making per-output explanation intractable for standard methods. Our approach sidesteps this by operating at the patch level and leveraging the geometry of the JEPA embedding space — where class confusion manifests as proximity to prototype boundaries — rather than gradient computation over the full output space.</w:t>
      </w:r>
    </w:p>
    <w:p>
      <w:pPr>
        <w:spacing w:after="0" w:before="120"/>
      </w:pPr>
      <w:r>
        <w:t xml:space="preserve"/>
      </w:r>
    </w:p>
    <w:p>
      <w:pPr>
        <w:pStyle w:val="Heading1"/>
        <w:spacing w:after="160" w:before="300"/>
      </w:pPr>
      <w:r>
        <w:rPr>
          <w:rFonts w:ascii="Arial" w:cs="Arial" w:eastAsia="Arial" w:hAnsi="Arial"/>
          <w:b/>
          <w:bCs/>
          <w:color w:val="1F3864"/>
          <w:sz w:val="26"/>
          <w:szCs w:val="26"/>
        </w:rPr>
        <w:t xml:space="preserve">7. Summary of Contributions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Contribution</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C1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Patch-based Uncertainty Pipeline</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both"/>
            </w:pPr>
            <w:r>
              <w:rPr>
                <w:rFonts w:ascii="Arial" w:cs="Arial" w:eastAsia="Arial" w:hAnsi="Arial"/>
                <w:sz w:val="18"/>
                <w:szCs w:val="18"/>
              </w:rPr>
              <w:t xml:space="preserve">First framework decomposing satellite segmentation uncertainty to patch level, enabling focused annotation rather than full-image review.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C2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JEPA Embedding as Free XAI</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Leveraging I-JEPA self-supervised embeddings as intrinsic confusion scores — requiring zero additional computation beyond the forward pass.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C3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Two-Stage WHY/WHAT/HOW Framework</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both"/>
            </w:pPr>
            <w:r>
              <w:rPr>
                <w:rFonts w:ascii="Arial" w:cs="Arial" w:eastAsia="Arial" w:hAnsi="Arial"/>
                <w:sz w:val="18"/>
                <w:szCs w:val="18"/>
              </w:rPr>
              <w:t xml:space="preserve">A structured annotator-facing explanation protocol combining embedding distance, class competition scores, and spatial attention maps.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C4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Class-Balanced AL Sample Selection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Uncertainty-aware selection strategy that accounts for per-class confusion, preventing rare-class starvation in early AL iterations.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C5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82% Annotation Effort Reduction</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both"/>
            </w:pPr>
            <w:r>
              <w:rPr>
                <w:rFonts w:ascii="Arial" w:cs="Arial" w:eastAsia="Arial" w:hAnsi="Arial"/>
                <w:sz w:val="18"/>
                <w:szCs w:val="18"/>
              </w:rPr>
              <w:t xml:space="preserve">Demonstrated reduction in human verification time from ~45 min to ~8 min per image on OpenEarthMap 8-class benchmark.</w:t>
            </w:r>
          </w:p>
        </w:tc>
      </w:tr>
    </w:tbl>
    <w:p>
      <w:pPr>
        <w:spacing w:after="0" w:before="120"/>
      </w:pPr>
      <w:r>
        <w:t xml:space="preserve"/>
      </w:r>
    </w:p>
    <w:p>
      <w:pPr>
        <w:pStyle w:val="Heading1"/>
        <w:spacing w:after="160" w:before="300"/>
      </w:pPr>
      <w:r>
        <w:rPr>
          <w:rFonts w:ascii="Arial" w:cs="Arial" w:eastAsia="Arial" w:hAnsi="Arial"/>
          <w:b/>
          <w:bCs/>
          <w:color w:val="1F3864"/>
          <w:sz w:val="26"/>
          <w:szCs w:val="26"/>
        </w:rPr>
        <w:t xml:space="preserve">8. Discussion</w:t>
      </w:r>
    </w:p>
    <w:p>
      <w:pPr>
        <w:pStyle w:val="Heading2"/>
        <w:spacing w:after="120" w:before="220"/>
      </w:pPr>
      <w:r>
        <w:rPr>
          <w:rFonts w:ascii="Arial" w:cs="Arial" w:eastAsia="Arial" w:hAnsi="Arial"/>
          <w:b/>
          <w:bCs/>
          <w:color w:val="2E5496"/>
          <w:sz w:val="22"/>
          <w:szCs w:val="22"/>
        </w:rPr>
        <w:t xml:space="preserve">8.1 Limitations</w:t>
      </w:r>
    </w:p>
    <w:p>
      <w:pPr>
        <w:spacing w:after="80" w:before="80" w:line="276"/>
        <w:jc w:val="both"/>
      </w:pPr>
      <w:r>
        <w:rPr>
          <w:rFonts w:ascii="Arial" w:cs="Arial" w:eastAsia="Arial" w:hAnsi="Arial"/>
          <w:b w:val="false"/>
          <w:bCs w:val="false"/>
          <w:i w:val="false"/>
          <w:iCs w:val="false"/>
          <w:sz w:val="20"/>
          <w:szCs w:val="20"/>
        </w:rPr>
        <w:t xml:space="preserve">Our approach has several limitations. First, the class prototype bank requires a minimum number of labeled samples per class to be reliable; in the earliest AL iterations with very few labels, prototype estimates may be noisy. Second, the 32×32 patch decomposition may miss very fine-grained boundary confusion at the pixel level — for example, a single-pixel-wide road. Third, the I-JEPA encoder adds inference latency; in resource-constrained deployment settings, TTA-based uncertainty may be preferred.</w:t>
      </w:r>
    </w:p>
    <w:p>
      <w:pPr>
        <w:pStyle w:val="Heading2"/>
        <w:spacing w:after="120" w:before="220"/>
      </w:pPr>
      <w:r>
        <w:rPr>
          <w:rFonts w:ascii="Arial" w:cs="Arial" w:eastAsia="Arial" w:hAnsi="Arial"/>
          <w:b/>
          <w:bCs/>
          <w:color w:val="2E5496"/>
          <w:sz w:val="22"/>
          <w:szCs w:val="22"/>
        </w:rPr>
        <w:t xml:space="preserve">8.2 Broader Impact</w:t>
      </w:r>
    </w:p>
    <w:p>
      <w:pPr>
        <w:spacing w:after="80" w:before="80" w:line="276"/>
        <w:jc w:val="both"/>
      </w:pPr>
      <w:r>
        <w:rPr>
          <w:rFonts w:ascii="Arial" w:cs="Arial" w:eastAsia="Arial" w:hAnsi="Arial"/>
          <w:b w:val="false"/>
          <w:bCs w:val="false"/>
          <w:i w:val="false"/>
          <w:iCs w:val="false"/>
          <w:sz w:val="20"/>
          <w:szCs w:val="20"/>
        </w:rPr>
        <w:t xml:space="preserve">By reducing annotation verification time by 82%, our pipeline makes active learning practically viable for satellite image segmentation at scale. This has direct applications in disaster response mapping, where rapid annotation of newly acquired imagery is critical. The patch-level explanation framework is also architecture-agnostic and can be extended to other dense prediction tasks including depth estimation, panoptic segmentation, and medical image segmentation.</w:t>
      </w:r>
    </w:p>
    <w:p>
      <w:pPr>
        <w:pStyle w:val="Heading2"/>
        <w:spacing w:after="120" w:before="220"/>
      </w:pPr>
      <w:r>
        <w:rPr>
          <w:rFonts w:ascii="Arial" w:cs="Arial" w:eastAsia="Arial" w:hAnsi="Arial"/>
          <w:b/>
          <w:bCs/>
          <w:color w:val="2E5496"/>
          <w:sz w:val="22"/>
          <w:szCs w:val="22"/>
        </w:rPr>
        <w:t xml:space="preserve">8.3 Future Work</w:t>
      </w:r>
    </w:p>
    <w:p>
      <w:pPr>
        <w:spacing w:after="80" w:before="80" w:line="276"/>
        <w:jc w:val="both"/>
      </w:pPr>
      <w:r>
        <w:rPr>
          <w:rFonts w:ascii="Arial" w:cs="Arial" w:eastAsia="Arial" w:hAnsi="Arial"/>
          <w:b w:val="false"/>
          <w:bCs w:val="false"/>
          <w:i w:val="false"/>
          <w:iCs w:val="false"/>
          <w:sz w:val="20"/>
          <w:szCs w:val="20"/>
        </w:rPr>
        <w:t xml:space="preserve">Future directions include: (1) integrating our pipeline with Segment Anything Model (SAM) for automatic region proposal within confused patches; (2) extending to multi-temporal analysis where class confusion may arise from seasonal change rather than model uncertainty; (3) developing an interactive annotator interface that accepts corrective feedback and updates prototype estimates in real time; and (4) investigating whether JEPA predictor error can serve as a primary AL selection criterion, replacing entropy-based sampling entirely.</w:t>
      </w:r>
    </w:p>
    <w:p>
      <w:pPr>
        <w:spacing w:after="0" w:before="120"/>
      </w:pPr>
      <w:r>
        <w:t xml:space="preserve"/>
      </w:r>
    </w:p>
    <w:p>
      <w:pPr>
        <w:pStyle w:val="Heading1"/>
        <w:spacing w:after="160" w:before="300"/>
      </w:pPr>
      <w:r>
        <w:rPr>
          <w:rFonts w:ascii="Arial" w:cs="Arial" w:eastAsia="Arial" w:hAnsi="Arial"/>
          <w:b/>
          <w:bCs/>
          <w:color w:val="1F3864"/>
          <w:sz w:val="26"/>
          <w:szCs w:val="26"/>
        </w:rPr>
        <w:t xml:space="preserve">9. Conclusion</w:t>
      </w:r>
    </w:p>
    <w:p>
      <w:pPr>
        <w:spacing w:after="80" w:before="80" w:line="276"/>
        <w:jc w:val="both"/>
      </w:pPr>
      <w:r>
        <w:rPr>
          <w:rFonts w:ascii="Arial" w:cs="Arial" w:eastAsia="Arial" w:hAnsi="Arial"/>
          <w:b w:val="false"/>
          <w:bCs w:val="false"/>
          <w:i w:val="false"/>
          <w:iCs w:val="false"/>
          <w:sz w:val="20"/>
          <w:szCs w:val="20"/>
        </w:rPr>
        <w:t xml:space="preserve">We presented a patch-level explainable active learning pipeline for satellite image semantic segmentation that addresses the annotation verification bottleneck in practical AL deployment. By decomposing 512×512 satellite images into 32×32 patches and scoring each patch through a combined U-Net confidence gate and I-JEPA embedding confusion score, we route only high-confusion patches — approximately 20% of the total — through a structured WHY/WHAT/HOW explainability module. This module leverages DINOv2 attention maps, embedding-space class prototype distances, and Integrated Gradients to provide actionable, annotator-facing explanations that precisely identify which visual features, competing classes, and spatial sub-regions require human attention.</w:t>
      </w:r>
    </w:p>
    <w:p>
      <w:pPr>
        <w:spacing w:after="0" w:before="60"/>
      </w:pPr>
      <w:r>
        <w:t xml:space="preserve"/>
      </w:r>
    </w:p>
    <w:p>
      <w:pPr>
        <w:spacing w:after="80" w:before="80" w:line="276"/>
        <w:jc w:val="both"/>
      </w:pPr>
      <w:r>
        <w:rPr>
          <w:rFonts w:ascii="Arial" w:cs="Arial" w:eastAsia="Arial" w:hAnsi="Arial"/>
          <w:b w:val="false"/>
          <w:bCs w:val="false"/>
          <w:i w:val="false"/>
          <w:iCs w:val="false"/>
          <w:sz w:val="20"/>
          <w:szCs w:val="20"/>
        </w:rPr>
        <w:t xml:space="preserve">Experiments on the OpenEarthMap 8-class land cover benchmark demonstrate that our full pipeline reduces annotation verification time by 82% — from 45 minutes to 8 minutes per image — while improving mIoU by 7.7 points over the baseline active learning system at 50 labeled samples. Our analysis of existing XAI methods (GradCAM, SHAP, LIME) establishes that their region-level, single-output design fundamentally precludes application to dense 8-class segmentation, motivating the patch-embedding approach introduced here. We believe this work opens a new research direction at the intersection of active learning, self-supervised representation learning, and explainable AI for remote sensing.</w:t>
      </w:r>
    </w:p>
    <w:p>
      <w:pPr>
        <w:spacing w:after="0" w:before="120"/>
      </w:pPr>
      <w:r>
        <w:t xml:space="preserve"/>
      </w:r>
    </w:p>
    <w:p>
      <w:pPr>
        <w:pBdr>
          <w:bottom w:val="single" w:color="2E5496" w:sz="4" w:space="1"/>
        </w:pBdr>
        <w:spacing w:after="120" w:before="120"/>
      </w:pPr>
      <w:r>
        <w:t xml:space="preserve"/>
      </w:r>
    </w:p>
    <w:p>
      <w:pPr>
        <w:pStyle w:val="Heading1"/>
        <w:spacing w:after="160" w:before="300"/>
      </w:pPr>
      <w:r>
        <w:rPr>
          <w:rFonts w:ascii="Arial" w:cs="Arial" w:eastAsia="Arial" w:hAnsi="Arial"/>
          <w:b/>
          <w:bCs/>
          <w:color w:val="1F3864"/>
          <w:sz w:val="26"/>
          <w:szCs w:val="26"/>
        </w:rPr>
        <w:t xml:space="preserve">References</w:t>
      </w:r>
    </w:p>
    <w:p>
      <w:pPr>
        <w:spacing w:after="80" w:before="80" w:line="276"/>
        <w:jc w:val="both"/>
      </w:pPr>
      <w:r>
        <w:rPr>
          <w:rFonts w:ascii="Arial" w:cs="Arial" w:eastAsia="Arial" w:hAnsi="Arial"/>
          <w:b w:val="false"/>
          <w:bCs w:val="false"/>
          <w:i w:val="false"/>
          <w:iCs w:val="false"/>
          <w:sz w:val="18"/>
          <w:szCs w:val="18"/>
        </w:rPr>
        <w:t xml:space="preserve">[1] Ronneberger, O., Fischer, P., &amp; Brox, T. (2015). U-Net: Convolutional networks for biomedical image segmentation. MICCAI.</w:t>
      </w:r>
    </w:p>
    <w:p>
      <w:pPr>
        <w:spacing w:after="80" w:before="80" w:line="276"/>
        <w:jc w:val="both"/>
      </w:pPr>
      <w:r>
        <w:rPr>
          <w:rFonts w:ascii="Arial" w:cs="Arial" w:eastAsia="Arial" w:hAnsi="Arial"/>
          <w:b w:val="false"/>
          <w:bCs w:val="false"/>
          <w:i w:val="false"/>
          <w:iCs w:val="false"/>
          <w:sz w:val="18"/>
          <w:szCs w:val="18"/>
        </w:rPr>
        <w:t xml:space="preserve">[2] Assran, M., et al. (2023). Self-supervised learning from images with a joint-embedding predictive architecture (I-JEPA). CVPR.</w:t>
      </w:r>
    </w:p>
    <w:p>
      <w:pPr>
        <w:spacing w:after="80" w:before="80" w:line="276"/>
        <w:jc w:val="both"/>
      </w:pPr>
      <w:r>
        <w:rPr>
          <w:rFonts w:ascii="Arial" w:cs="Arial" w:eastAsia="Arial" w:hAnsi="Arial"/>
          <w:b w:val="false"/>
          <w:bCs w:val="false"/>
          <w:i w:val="false"/>
          <w:iCs w:val="false"/>
          <w:sz w:val="18"/>
          <w:szCs w:val="18"/>
        </w:rPr>
        <w:t xml:space="preserve">[3] Oquab, M., et al. (2023). DINOv2: Learning robust visual features without supervision. TMLR.</w:t>
      </w:r>
    </w:p>
    <w:p>
      <w:pPr>
        <w:spacing w:after="80" w:before="80" w:line="276"/>
        <w:jc w:val="both"/>
      </w:pPr>
      <w:r>
        <w:rPr>
          <w:rFonts w:ascii="Arial" w:cs="Arial" w:eastAsia="Arial" w:hAnsi="Arial"/>
          <w:b w:val="false"/>
          <w:bCs w:val="false"/>
          <w:i w:val="false"/>
          <w:iCs w:val="false"/>
          <w:sz w:val="18"/>
          <w:szCs w:val="18"/>
        </w:rPr>
        <w:t xml:space="preserve">[4] Xia, J., et al. (2023). OpenEarthMap: A benchmark dataset for global high-resolution land cover mapping. WACV.</w:t>
      </w:r>
    </w:p>
    <w:p>
      <w:pPr>
        <w:spacing w:after="80" w:before="80" w:line="276"/>
        <w:jc w:val="both"/>
      </w:pPr>
      <w:r>
        <w:rPr>
          <w:rFonts w:ascii="Arial" w:cs="Arial" w:eastAsia="Arial" w:hAnsi="Arial"/>
          <w:b w:val="false"/>
          <w:bCs w:val="false"/>
          <w:i w:val="false"/>
          <w:iCs w:val="false"/>
          <w:sz w:val="18"/>
          <w:szCs w:val="18"/>
        </w:rPr>
        <w:t xml:space="preserve">[5] Settles, B. (2009). Active learning literature survey. University of Wisconsin-Madison.</w:t>
      </w:r>
    </w:p>
    <w:p>
      <w:pPr>
        <w:spacing w:after="80" w:before="80" w:line="276"/>
        <w:jc w:val="both"/>
      </w:pPr>
      <w:r>
        <w:rPr>
          <w:rFonts w:ascii="Arial" w:cs="Arial" w:eastAsia="Arial" w:hAnsi="Arial"/>
          <w:b w:val="false"/>
          <w:bCs w:val="false"/>
          <w:i w:val="false"/>
          <w:iCs w:val="false"/>
          <w:sz w:val="18"/>
          <w:szCs w:val="18"/>
        </w:rPr>
        <w:t xml:space="preserve">[6] Selvaraju, R. R., et al. (2017). Grad-CAM: Visual explanations from deep networks via gradient-based localization. ICCV.</w:t>
      </w:r>
    </w:p>
    <w:p>
      <w:pPr>
        <w:spacing w:after="80" w:before="80" w:line="276"/>
        <w:jc w:val="both"/>
      </w:pPr>
      <w:r>
        <w:rPr>
          <w:rFonts w:ascii="Arial" w:cs="Arial" w:eastAsia="Arial" w:hAnsi="Arial"/>
          <w:b w:val="false"/>
          <w:bCs w:val="false"/>
          <w:i w:val="false"/>
          <w:iCs w:val="false"/>
          <w:sz w:val="18"/>
          <w:szCs w:val="18"/>
        </w:rPr>
        <w:t xml:space="preserve">[7] Lundberg, S., &amp; Lee, S. I. (2017). A unified approach to interpreting model predictions. NeurIPS.</w:t>
      </w:r>
    </w:p>
    <w:p>
      <w:pPr>
        <w:spacing w:after="80" w:before="80" w:line="276"/>
        <w:jc w:val="both"/>
      </w:pPr>
      <w:r>
        <w:rPr>
          <w:rFonts w:ascii="Arial" w:cs="Arial" w:eastAsia="Arial" w:hAnsi="Arial"/>
          <w:b w:val="false"/>
          <w:bCs w:val="false"/>
          <w:i w:val="false"/>
          <w:iCs w:val="false"/>
          <w:sz w:val="18"/>
          <w:szCs w:val="18"/>
        </w:rPr>
        <w:t xml:space="preserve">[8] Ribeiro, M. T., et al. (2016). 'Why should I trust you?': Explaining the predictions of any classifier. KDD.</w:t>
      </w:r>
    </w:p>
    <w:p>
      <w:pPr>
        <w:spacing w:after="80" w:before="80" w:line="276"/>
        <w:jc w:val="both"/>
      </w:pPr>
      <w:r>
        <w:rPr>
          <w:rFonts w:ascii="Arial" w:cs="Arial" w:eastAsia="Arial" w:hAnsi="Arial"/>
          <w:b w:val="false"/>
          <w:bCs w:val="false"/>
          <w:i w:val="false"/>
          <w:iCs w:val="false"/>
          <w:sz w:val="18"/>
          <w:szCs w:val="18"/>
        </w:rPr>
        <w:t xml:space="preserve">[9] Sundararajan, M., et al. (2017). Axiomatic attribution for deep networks. ICML.</w:t>
      </w:r>
    </w:p>
    <w:p>
      <w:pPr>
        <w:spacing w:after="80" w:before="80" w:line="276"/>
        <w:jc w:val="both"/>
      </w:pPr>
      <w:r>
        <w:rPr>
          <w:rFonts w:ascii="Arial" w:cs="Arial" w:eastAsia="Arial" w:hAnsi="Arial"/>
          <w:b w:val="false"/>
          <w:bCs w:val="false"/>
          <w:i w:val="false"/>
          <w:iCs w:val="false"/>
          <w:sz w:val="18"/>
          <w:szCs w:val="18"/>
        </w:rPr>
        <w:t xml:space="preserve">[10] Gal, Y., &amp; Ghahramani, Z. (2016). Dropout as a Bayesian approximation. ICML.</w:t>
      </w:r>
    </w:p>
    <w:p>
      <w:pPr>
        <w:spacing w:after="80" w:before="80" w:line="276"/>
        <w:jc w:val="both"/>
      </w:pPr>
      <w:r>
        <w:rPr>
          <w:rFonts w:ascii="Arial" w:cs="Arial" w:eastAsia="Arial" w:hAnsi="Arial"/>
          <w:b w:val="false"/>
          <w:bCs w:val="false"/>
          <w:i w:val="false"/>
          <w:iCs w:val="false"/>
          <w:sz w:val="18"/>
          <w:szCs w:val="18"/>
        </w:rPr>
        <w:t xml:space="preserve">[11] Xie, E., et al. (2021). SegFormer: Simple and efficient design for semantic segmentation. NeurIPS.</w:t>
      </w:r>
    </w:p>
    <w:p>
      <w:pPr>
        <w:spacing w:after="80" w:before="80" w:line="276"/>
        <w:jc w:val="both"/>
      </w:pPr>
      <w:r>
        <w:rPr>
          <w:rFonts w:ascii="Arial" w:cs="Arial" w:eastAsia="Arial" w:hAnsi="Arial"/>
          <w:b w:val="false"/>
          <w:bCs w:val="false"/>
          <w:i w:val="false"/>
          <w:iCs w:val="false"/>
          <w:sz w:val="18"/>
          <w:szCs w:val="18"/>
        </w:rPr>
        <w:t xml:space="preserve">[12] Sener, O., &amp; Savarese, S. (2018). Active learning for convolutional neural networks: A core-set approach. ICLR.</w:t>
      </w:r>
    </w:p>
    <w:p>
      <w:pPr>
        <w:spacing w:after="80" w:before="80" w:line="276"/>
        <w:jc w:val="both"/>
      </w:pPr>
      <w:r>
        <w:rPr>
          <w:rFonts w:ascii="Arial" w:cs="Arial" w:eastAsia="Arial" w:hAnsi="Arial"/>
          <w:b w:val="false"/>
          <w:bCs w:val="false"/>
          <w:i w:val="false"/>
          <w:iCs w:val="false"/>
          <w:sz w:val="18"/>
          <w:szCs w:val="18"/>
        </w:rPr>
        <w:t xml:space="preserve">[13] Lakshminarayanan, B., et al. (2017). Simple and scalable predictive uncertainty estimation using deep ensembles. NeurIPS.</w:t>
      </w:r>
    </w:p>
    <w:p>
      <w:pPr>
        <w:spacing w:after="80" w:before="80" w:line="276"/>
        <w:jc w:val="both"/>
      </w:pPr>
      <w:r>
        <w:rPr>
          <w:rFonts w:ascii="Arial" w:cs="Arial" w:eastAsia="Arial" w:hAnsi="Arial"/>
          <w:b w:val="false"/>
          <w:bCs w:val="false"/>
          <w:i w:val="false"/>
          <w:iCs w:val="false"/>
          <w:sz w:val="18"/>
          <w:szCs w:val="18"/>
        </w:rPr>
        <w:t xml:space="preserve">[14] Cheng, B., et al. (2022). Masked-attention mask transformer for universal image segmentation. CVPR.</w:t>
      </w:r>
    </w:p>
    <w:p>
      <w:pPr>
        <w:spacing w:after="0" w:before="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1"/>
      </w:pBdr>
      <w:tabs>
        <w:tab w:val="right" w:pos="9360"/>
      </w:tabs>
      <w:spacing w:before="80"/>
    </w:pPr>
    <w:r>
      <w:rPr>
        <w:rFonts w:ascii="Arial" w:cs="Arial" w:eastAsia="Arial" w:hAnsi="Arial"/>
        <w:i/>
        <w:iCs/>
        <w:color w:val="555555"/>
        <w:sz w:val="16"/>
        <w:szCs w:val="16"/>
      </w:rPr>
      <w:t xml:space="preserve">Patch-Level XAI for Active Learning in Satellite Segmentation</w:t>
    </w:r>
    <w:r>
      <w:rPr>
        <w:rFonts w:ascii="Arial" w:cs="Arial" w:eastAsia="Arial" w:hAnsi="Arial"/>
        <w:sz w:val="16"/>
        <w:szCs w:val="16"/>
      </w:rPr>
      <w:t xml:space="preserv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spacing w:after="80"/>
    </w:pPr>
    <w:r>
      <w:rPr>
        <w:rFonts w:ascii="Arial" w:cs="Arial" w:eastAsia="Arial" w:hAnsi="Arial"/>
        <w:i/>
        <w:iCs/>
        <w:color w:val="555555"/>
        <w:sz w:val="16"/>
        <w:szCs w:val="16"/>
      </w:rPr>
      <w:t xml:space="preserve">CVPR/ICCV Workshop on Explainable AI for Remote Sensing  |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26"/>
      <w:szCs w:val="26"/>
    </w:rPr>
  </w:style>
  <w:style w:type="paragraph" w:styleId="Heading2">
    <w:name w:val="Heading 2"/>
    <w:basedOn w:val="Normal"/>
    <w:next w:val="Normal"/>
    <w:qFormat/>
    <w:pPr>
      <w:spacing w:after="120" w:before="220"/>
      <w:outlineLvl w:val="1"/>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2026-04-06T04:16:01.673Z</dcterms:created>
  <dcterms:modified xsi:type="dcterms:W3CDTF">2026-04-06T04:16:01.674Z</dcterms:modified>
</cp:coreProperties>
</file>

<file path=docProps/custom.xml><?xml version="1.0" encoding="utf-8"?>
<Properties xmlns="http://schemas.openxmlformats.org/officeDocument/2006/custom-properties" xmlns:vt="http://schemas.openxmlformats.org/officeDocument/2006/docPropsVTypes"/>
</file>