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Palatino Linotype" w:cs="Palatino Linotype" w:eastAsia="Palatino Linotype" w:hAnsi="Palatino Linotype"/>
          <w:b w:val="1"/>
          <w:sz w:val="44"/>
          <w:szCs w:val="44"/>
        </w:rPr>
      </w:pPr>
      <w:r w:rsidDel="00000000" w:rsidR="00000000" w:rsidRPr="00000000">
        <w:rPr>
          <w:rFonts w:ascii="Palatino Linotype" w:cs="Palatino Linotype" w:eastAsia="Palatino Linotype" w:hAnsi="Palatino Linotype"/>
          <w:b w:val="1"/>
          <w:sz w:val="44"/>
          <w:szCs w:val="44"/>
          <w:rtl w:val="0"/>
        </w:rPr>
        <w:t xml:space="preserve">Faros Legal</w:t>
      </w:r>
    </w:p>
    <w:p w:rsidR="00000000" w:rsidDel="00000000" w:rsidP="00000000" w:rsidRDefault="00000000" w:rsidRPr="00000000" w14:paraId="00000002">
      <w:pPr>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03">
      <w:pPr>
        <w:jc w:val="both"/>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b w:val="1"/>
          <w:rtl w:val="0"/>
        </w:rPr>
        <w:t xml:space="preserve">About Us</w:t>
      </w:r>
    </w:p>
    <w:p w:rsidR="00000000" w:rsidDel="00000000" w:rsidP="00000000" w:rsidRDefault="00000000" w:rsidRPr="00000000" w14:paraId="00000004">
      <w:pPr>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Faros Legal is a Bengaluru-based law firm providing holistic, end-to-end corporate legal services. Our passionate and dedicated team of lawyers brings rich experience from across a wide range of industries. This deep expertise enables us to provide meticulous, effective, and timely legal solutions to our clientele.</w:t>
      </w:r>
    </w:p>
    <w:p w:rsidR="00000000" w:rsidDel="00000000" w:rsidP="00000000" w:rsidRDefault="00000000" w:rsidRPr="00000000" w14:paraId="00000005">
      <w:pPr>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Set up with a desire to bring client service into sharper focus, we are committed to providing commercially viable legal advice and dedicated representation. Our professional-yet-personal approach allows us to collaborate closely with businesses, ensuring the best possible legal outcomes. We have successfully established a strong identity, handling complex domestic and international matters with significant depth.</w:t>
      </w:r>
    </w:p>
    <w:p w:rsidR="00000000" w:rsidDel="00000000" w:rsidP="00000000" w:rsidRDefault="00000000" w:rsidRPr="00000000" w14:paraId="00000006">
      <w:pPr>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07">
      <w:pPr>
        <w:jc w:val="both"/>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b w:val="1"/>
          <w:rtl w:val="0"/>
        </w:rPr>
        <w:t xml:space="preserve">Practice Areas</w:t>
      </w:r>
    </w:p>
    <w:p w:rsidR="00000000" w:rsidDel="00000000" w:rsidP="00000000" w:rsidRDefault="00000000" w:rsidRPr="00000000" w14:paraId="00000008">
      <w:pPr>
        <w:jc w:val="both"/>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b w:val="1"/>
          <w:rtl w:val="0"/>
        </w:rPr>
        <w:t xml:space="preserve">Commercial Contracts</w:t>
      </w:r>
    </w:p>
    <w:p w:rsidR="00000000" w:rsidDel="00000000" w:rsidP="00000000" w:rsidRDefault="00000000" w:rsidRPr="00000000" w14:paraId="00000009">
      <w:pPr>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Our firm has well-recognized expertise in advising on corporate and commercial contracts, joint ventures, inbound and outbound investments, and regulatory and compliance matters. We provide strategic counsel on corporate governance and operational structuring across a broad range of sectors, including:</w:t>
      </w:r>
    </w:p>
    <w:p w:rsidR="00000000" w:rsidDel="00000000" w:rsidP="00000000" w:rsidRDefault="00000000" w:rsidRPr="00000000" w14:paraId="0000000A">
      <w:pPr>
        <w:numPr>
          <w:ilvl w:val="0"/>
          <w:numId w:val="2"/>
        </w:numPr>
        <w:ind w:left="72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Manufacturing</w:t>
      </w:r>
    </w:p>
    <w:p w:rsidR="00000000" w:rsidDel="00000000" w:rsidP="00000000" w:rsidRDefault="00000000" w:rsidRPr="00000000" w14:paraId="0000000B">
      <w:pPr>
        <w:numPr>
          <w:ilvl w:val="0"/>
          <w:numId w:val="2"/>
        </w:numPr>
        <w:ind w:left="72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Real Estate</w:t>
      </w:r>
    </w:p>
    <w:p w:rsidR="00000000" w:rsidDel="00000000" w:rsidP="00000000" w:rsidRDefault="00000000" w:rsidRPr="00000000" w14:paraId="0000000C">
      <w:pPr>
        <w:numPr>
          <w:ilvl w:val="0"/>
          <w:numId w:val="2"/>
        </w:numPr>
        <w:ind w:left="72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Mergers, Acquisitions and Investments</w:t>
      </w:r>
    </w:p>
    <w:p w:rsidR="00000000" w:rsidDel="00000000" w:rsidP="00000000" w:rsidRDefault="00000000" w:rsidRPr="00000000" w14:paraId="0000000D">
      <w:pPr>
        <w:numPr>
          <w:ilvl w:val="0"/>
          <w:numId w:val="2"/>
        </w:numPr>
        <w:ind w:left="72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Information Technology</w:t>
      </w:r>
    </w:p>
    <w:p w:rsidR="00000000" w:rsidDel="00000000" w:rsidP="00000000" w:rsidRDefault="00000000" w:rsidRPr="00000000" w14:paraId="0000000E">
      <w:pPr>
        <w:numPr>
          <w:ilvl w:val="0"/>
          <w:numId w:val="2"/>
        </w:numPr>
        <w:ind w:left="72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Media and Entertainment</w:t>
      </w:r>
    </w:p>
    <w:p w:rsidR="00000000" w:rsidDel="00000000" w:rsidP="00000000" w:rsidRDefault="00000000" w:rsidRPr="00000000" w14:paraId="0000000F">
      <w:pPr>
        <w:numPr>
          <w:ilvl w:val="0"/>
          <w:numId w:val="2"/>
        </w:numPr>
        <w:ind w:left="72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Advertising</w:t>
      </w:r>
    </w:p>
    <w:p w:rsidR="00000000" w:rsidDel="00000000" w:rsidP="00000000" w:rsidRDefault="00000000" w:rsidRPr="00000000" w14:paraId="00000010">
      <w:pPr>
        <w:numPr>
          <w:ilvl w:val="0"/>
          <w:numId w:val="2"/>
        </w:numPr>
        <w:ind w:left="72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Consumer Products</w:t>
      </w:r>
    </w:p>
    <w:p w:rsidR="00000000" w:rsidDel="00000000" w:rsidP="00000000" w:rsidRDefault="00000000" w:rsidRPr="00000000" w14:paraId="00000011">
      <w:pPr>
        <w:numPr>
          <w:ilvl w:val="0"/>
          <w:numId w:val="2"/>
        </w:numPr>
        <w:ind w:left="72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Food and Beverage</w:t>
      </w:r>
    </w:p>
    <w:p w:rsidR="00000000" w:rsidDel="00000000" w:rsidP="00000000" w:rsidRDefault="00000000" w:rsidRPr="00000000" w14:paraId="00000012">
      <w:pPr>
        <w:numPr>
          <w:ilvl w:val="0"/>
          <w:numId w:val="2"/>
        </w:numPr>
        <w:ind w:left="72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Financial Services</w:t>
      </w:r>
    </w:p>
    <w:p w:rsidR="00000000" w:rsidDel="00000000" w:rsidP="00000000" w:rsidRDefault="00000000" w:rsidRPr="00000000" w14:paraId="00000013">
      <w:pPr>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We are proud to represent reputable Indian and international companies in various domestic and cross-border investments.</w:t>
      </w:r>
    </w:p>
    <w:p w:rsidR="00000000" w:rsidDel="00000000" w:rsidP="00000000" w:rsidRDefault="00000000" w:rsidRPr="00000000" w14:paraId="00000014">
      <w:pPr>
        <w:jc w:val="both"/>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b w:val="1"/>
          <w:rtl w:val="0"/>
        </w:rPr>
        <w:t xml:space="preserve">General Corporate Advisory</w:t>
      </w:r>
    </w:p>
    <w:p w:rsidR="00000000" w:rsidDel="00000000" w:rsidP="00000000" w:rsidRDefault="00000000" w:rsidRPr="00000000" w14:paraId="00000015">
      <w:pPr>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We offer a wide range of corporate legal services to a diverse clientele, from start-ups to large business houses. Our services go beyond basic advice; we provide comprehensive strategies for structuring the scope and nature of a prospective or established business, with a strong emphasis on tax and regulatory aspects.</w:t>
      </w:r>
    </w:p>
    <w:p w:rsidR="00000000" w:rsidDel="00000000" w:rsidP="00000000" w:rsidRDefault="00000000" w:rsidRPr="00000000" w14:paraId="00000016">
      <w:pPr>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Our services include:</w:t>
      </w:r>
    </w:p>
    <w:p w:rsidR="00000000" w:rsidDel="00000000" w:rsidP="00000000" w:rsidRDefault="00000000" w:rsidRPr="00000000" w14:paraId="00000017">
      <w:pPr>
        <w:numPr>
          <w:ilvl w:val="0"/>
          <w:numId w:val="3"/>
        </w:numPr>
        <w:ind w:left="72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Incorporation of companies in India and abroad</w:t>
      </w:r>
    </w:p>
    <w:p w:rsidR="00000000" w:rsidDel="00000000" w:rsidP="00000000" w:rsidRDefault="00000000" w:rsidRPr="00000000" w14:paraId="00000018">
      <w:pPr>
        <w:numPr>
          <w:ilvl w:val="0"/>
          <w:numId w:val="3"/>
        </w:numPr>
        <w:ind w:left="72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Regulatory compliance with statutory authorities (e.g., Registrar of Companies, Reserve Bank of India, labour departments)</w:t>
      </w:r>
    </w:p>
    <w:p w:rsidR="00000000" w:rsidDel="00000000" w:rsidP="00000000" w:rsidRDefault="00000000" w:rsidRPr="00000000" w14:paraId="00000019">
      <w:pPr>
        <w:numPr>
          <w:ilvl w:val="0"/>
          <w:numId w:val="3"/>
        </w:numPr>
        <w:ind w:left="72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Due diligence and internal audits</w:t>
      </w:r>
    </w:p>
    <w:p w:rsidR="00000000" w:rsidDel="00000000" w:rsidP="00000000" w:rsidRDefault="00000000" w:rsidRPr="00000000" w14:paraId="0000001A">
      <w:pPr>
        <w:numPr>
          <w:ilvl w:val="0"/>
          <w:numId w:val="3"/>
        </w:numPr>
        <w:ind w:left="72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End-to-end assistance on domestic and foreign investments</w:t>
      </w:r>
    </w:p>
    <w:p w:rsidR="00000000" w:rsidDel="00000000" w:rsidP="00000000" w:rsidRDefault="00000000" w:rsidRPr="00000000" w14:paraId="0000001B">
      <w:pPr>
        <w:numPr>
          <w:ilvl w:val="0"/>
          <w:numId w:val="3"/>
        </w:numPr>
        <w:ind w:left="72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Corporate restructuring</w:t>
      </w:r>
    </w:p>
    <w:p w:rsidR="00000000" w:rsidDel="00000000" w:rsidP="00000000" w:rsidRDefault="00000000" w:rsidRPr="00000000" w14:paraId="0000001C">
      <w:pPr>
        <w:jc w:val="both"/>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b w:val="1"/>
          <w:rtl w:val="0"/>
        </w:rPr>
        <w:t xml:space="preserve">Real Estate</w:t>
      </w:r>
    </w:p>
    <w:p w:rsidR="00000000" w:rsidDel="00000000" w:rsidP="00000000" w:rsidRDefault="00000000" w:rsidRPr="00000000" w14:paraId="0000001D">
      <w:pPr>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Our firm’s real estate practice provides a full range of services. We assist developers, corporations, and individuals in high-value sales and leases, conduct complete title verification and due diligence, and advise on pre- and post-transaction financing. We also coordinate with local authorities on property documentation, dispute resolution, and other liaison works.</w:t>
      </w:r>
    </w:p>
    <w:p w:rsidR="00000000" w:rsidDel="00000000" w:rsidP="00000000" w:rsidRDefault="00000000" w:rsidRPr="00000000" w14:paraId="0000001E">
      <w:pPr>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With the growth of opportunities and investments in India's real estate sector, our lawyers have acquired a thorough understanding of its complex legal and commercial practices. We have extensive experience advising all participants in the sector, including real estate developers, financial institutions, funds, lessors, lessees, and buyers on a wide range of matters, including real estate disputes and insolvency.</w:t>
      </w:r>
    </w:p>
    <w:p w:rsidR="00000000" w:rsidDel="00000000" w:rsidP="00000000" w:rsidRDefault="00000000" w:rsidRPr="00000000" w14:paraId="0000001F">
      <w:pPr>
        <w:jc w:val="both"/>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b w:val="1"/>
          <w:rtl w:val="0"/>
        </w:rPr>
        <w:t xml:space="preserve">Intellectual Property</w:t>
      </w:r>
    </w:p>
    <w:p w:rsidR="00000000" w:rsidDel="00000000" w:rsidP="00000000" w:rsidRDefault="00000000" w:rsidRPr="00000000" w14:paraId="00000020">
      <w:pPr>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We advise clients on all advisory, transactional, and enforcement issues relating to Intellectual Property, including copyrights, trademarks, designs, geographical indications, and patents.</w:t>
      </w:r>
    </w:p>
    <w:p w:rsidR="00000000" w:rsidDel="00000000" w:rsidP="00000000" w:rsidRDefault="00000000" w:rsidRPr="00000000" w14:paraId="00000021">
      <w:pPr>
        <w:numPr>
          <w:ilvl w:val="0"/>
          <w:numId w:val="4"/>
        </w:numPr>
        <w:ind w:left="72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 xml:space="preserve">Prosecution and Strategy:</w:t>
      </w:r>
      <w:r w:rsidDel="00000000" w:rsidR="00000000" w:rsidRPr="00000000">
        <w:rPr>
          <w:rFonts w:ascii="Palatino Linotype" w:cs="Palatino Linotype" w:eastAsia="Palatino Linotype" w:hAnsi="Palatino Linotype"/>
          <w:rtl w:val="0"/>
        </w:rPr>
        <w:t xml:space="preserve"> Our IP prosecution practice includes expert trademark and patent attorneys with varied scientific backgrounds. We handle brand portfolios before the trademark and copyright offices and advise on brand protection strategies. Our patent experts provide patentability and prior art search opinions, freedom-to-operate assessments, and patent illustration services.</w:t>
      </w:r>
    </w:p>
    <w:p w:rsidR="00000000" w:rsidDel="00000000" w:rsidP="00000000" w:rsidRDefault="00000000" w:rsidRPr="00000000" w14:paraId="00000022">
      <w:pPr>
        <w:numPr>
          <w:ilvl w:val="0"/>
          <w:numId w:val="4"/>
        </w:numPr>
        <w:ind w:left="72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 xml:space="preserve">Enforcement:</w:t>
      </w:r>
      <w:r w:rsidDel="00000000" w:rsidR="00000000" w:rsidRPr="00000000">
        <w:rPr>
          <w:rFonts w:ascii="Palatino Linotype" w:cs="Palatino Linotype" w:eastAsia="Palatino Linotype" w:hAnsi="Palatino Linotype"/>
          <w:rtl w:val="0"/>
        </w:rPr>
        <w:t xml:space="preserve"> Our firm has extensive experience in trademark prosecution and maintains an equally strong team for enforcement, covering civil, criminal, and border enforcement of trademark rights.</w:t>
      </w:r>
    </w:p>
    <w:p w:rsidR="00000000" w:rsidDel="00000000" w:rsidP="00000000" w:rsidRDefault="00000000" w:rsidRPr="00000000" w14:paraId="00000023">
      <w:pPr>
        <w:numPr>
          <w:ilvl w:val="0"/>
          <w:numId w:val="4"/>
        </w:numPr>
        <w:ind w:left="72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 xml:space="preserve">Transactional IP:</w:t>
      </w:r>
      <w:r w:rsidDel="00000000" w:rsidR="00000000" w:rsidRPr="00000000">
        <w:rPr>
          <w:rFonts w:ascii="Palatino Linotype" w:cs="Palatino Linotype" w:eastAsia="Palatino Linotype" w:hAnsi="Palatino Linotype"/>
          <w:rtl w:val="0"/>
        </w:rPr>
        <w:t xml:space="preserve"> Our lawyers have acted on cross-border deals involving the transfer and use of IP rights, such as copyright acquisitions, franchising models, trademark licenses, technology transfers, and software development agreements. We conduct IP-focused due diligence for target companies and advise on structuring options to acquire and protect those rights. We also regularly advise on data protection and privacy issues under Indian law.</w:t>
      </w:r>
    </w:p>
    <w:p w:rsidR="00000000" w:rsidDel="00000000" w:rsidP="00000000" w:rsidRDefault="00000000" w:rsidRPr="00000000" w14:paraId="00000024">
      <w:pPr>
        <w:jc w:val="both"/>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b w:val="1"/>
          <w:rtl w:val="0"/>
        </w:rPr>
        <w:t xml:space="preserve">Mergers &amp; Acquisitions</w:t>
      </w:r>
    </w:p>
    <w:p w:rsidR="00000000" w:rsidDel="00000000" w:rsidP="00000000" w:rsidRDefault="00000000" w:rsidRPr="00000000" w14:paraId="00000025">
      <w:pPr>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Our lawyers’ transaction experience covers the entire spectrum, from large acquisitions in the listed space and global business transfers to acquisitions in the start-up ecosystem. Our M&amp;A practice involves advising clients from the initial due diligence stage through the negotiation and finalization of transaction documents.</w:t>
      </w:r>
    </w:p>
    <w:p w:rsidR="00000000" w:rsidDel="00000000" w:rsidP="00000000" w:rsidRDefault="00000000" w:rsidRPr="00000000" w14:paraId="00000026">
      <w:pPr>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Our partners have acted for both investors and target companies, giving us a holistic and commercially sensitive perspective on investment transactions.</w:t>
      </w:r>
    </w:p>
    <w:p w:rsidR="00000000" w:rsidDel="00000000" w:rsidP="00000000" w:rsidRDefault="00000000" w:rsidRPr="00000000" w14:paraId="00000027">
      <w:pPr>
        <w:jc w:val="both"/>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b w:val="1"/>
          <w:rtl w:val="0"/>
        </w:rPr>
        <w:t xml:space="preserve">Investment Transactions</w:t>
      </w:r>
    </w:p>
    <w:p w:rsidR="00000000" w:rsidDel="00000000" w:rsidP="00000000" w:rsidRDefault="00000000" w:rsidRPr="00000000" w14:paraId="00000028">
      <w:pPr>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We provide innovative and all-inclusive advice aimed at maximizing value for our clients, leveraging our expertise in complimentary practice areas. We handle the various corporate, litigation, employee benefits, tax, regulatory, competition, and intellectual property issues related to these transactions.</w:t>
      </w:r>
    </w:p>
    <w:p w:rsidR="00000000" w:rsidDel="00000000" w:rsidP="00000000" w:rsidRDefault="00000000" w:rsidRPr="00000000" w14:paraId="00000029">
      <w:pPr>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We support our clients through each stage of a transaction, including due diligence, finalization of structure, preparation and negotiation of transaction documents, seeking regulatory approvals, and post-acquisition integration. Our clients include multinational corporations, well-known Indian business groups, listed and unlisted companies, private equity groups, and financial institutions.</w:t>
      </w:r>
    </w:p>
    <w:p w:rsidR="00000000" w:rsidDel="00000000" w:rsidP="00000000" w:rsidRDefault="00000000" w:rsidRPr="00000000" w14:paraId="0000002A">
      <w:pPr>
        <w:jc w:val="both"/>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b w:val="1"/>
          <w:rtl w:val="0"/>
        </w:rPr>
        <w:t xml:space="preserve">Foreign Investment &amp; Exchange Control</w:t>
      </w:r>
    </w:p>
    <w:p w:rsidR="00000000" w:rsidDel="00000000" w:rsidP="00000000" w:rsidRDefault="00000000" w:rsidRPr="00000000" w14:paraId="0000002B">
      <w:pPr>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We have successfully assisted many multinational corporations in establishing their presence in India. We counsel organizations across all sectors—including highly regulated areas like insurance, retail, and defence—on the changing regulatory environment for foreign investment. Our practice regularly advises non-resident and resident clients looking to create business synergies through international tie-ups, either via equity investments or technology collaborations.</w:t>
      </w:r>
    </w:p>
    <w:p w:rsidR="00000000" w:rsidDel="00000000" w:rsidP="00000000" w:rsidRDefault="00000000" w:rsidRPr="00000000" w14:paraId="0000002C">
      <w:pPr>
        <w:jc w:val="both"/>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b w:val="1"/>
          <w:rtl w:val="0"/>
        </w:rPr>
        <w:t xml:space="preserve">Human Resources and Employment</w:t>
      </w:r>
    </w:p>
    <w:p w:rsidR="00000000" w:rsidDel="00000000" w:rsidP="00000000" w:rsidRDefault="00000000" w:rsidRPr="00000000" w14:paraId="0000002D">
      <w:pPr>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We understand the sensitivity involved in handling labour and employment matters. We help our clients meet the complex challenges of today's work environment, including acquisitions, outsourcings, expansions, reductions-in-force, international employee relations, cross-border litigation, and multi-jurisdictional compliance.</w:t>
      </w:r>
    </w:p>
    <w:p w:rsidR="00000000" w:rsidDel="00000000" w:rsidP="00000000" w:rsidRDefault="00000000" w:rsidRPr="00000000" w14:paraId="0000002E">
      <w:pPr>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Our expertise is not limited to India; we cater to international clients on complex regulatory and legal aspects of employment law. Our tailor-made employment documentation aids clients in dealing with a wide range of issues, including:</w:t>
      </w:r>
    </w:p>
    <w:p w:rsidR="00000000" w:rsidDel="00000000" w:rsidP="00000000" w:rsidRDefault="00000000" w:rsidRPr="00000000" w14:paraId="0000002F">
      <w:pPr>
        <w:numPr>
          <w:ilvl w:val="0"/>
          <w:numId w:val="5"/>
        </w:numPr>
        <w:ind w:left="72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Structuring of ESOPs</w:t>
      </w:r>
    </w:p>
    <w:p w:rsidR="00000000" w:rsidDel="00000000" w:rsidP="00000000" w:rsidRDefault="00000000" w:rsidRPr="00000000" w14:paraId="00000030">
      <w:pPr>
        <w:numPr>
          <w:ilvl w:val="0"/>
          <w:numId w:val="5"/>
        </w:numPr>
        <w:ind w:left="72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Transfer of employees</w:t>
      </w:r>
    </w:p>
    <w:p w:rsidR="00000000" w:rsidDel="00000000" w:rsidP="00000000" w:rsidRDefault="00000000" w:rsidRPr="00000000" w14:paraId="00000031">
      <w:pPr>
        <w:numPr>
          <w:ilvl w:val="0"/>
          <w:numId w:val="5"/>
        </w:numPr>
        <w:ind w:left="72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Employment termination</w:t>
      </w:r>
    </w:p>
    <w:p w:rsidR="00000000" w:rsidDel="00000000" w:rsidP="00000000" w:rsidRDefault="00000000" w:rsidRPr="00000000" w14:paraId="00000032">
      <w:pPr>
        <w:numPr>
          <w:ilvl w:val="0"/>
          <w:numId w:val="5"/>
        </w:numPr>
        <w:ind w:left="72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Restrictive covenants in employment arrangements</w:t>
      </w:r>
    </w:p>
    <w:p w:rsidR="00000000" w:rsidDel="00000000" w:rsidP="00000000" w:rsidRDefault="00000000" w:rsidRPr="00000000" w14:paraId="00000033">
      <w:pPr>
        <w:numPr>
          <w:ilvl w:val="0"/>
          <w:numId w:val="5"/>
        </w:numPr>
        <w:ind w:left="72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Corporate restructuring (M&amp;A, outsourcing initiatives)</w:t>
      </w:r>
    </w:p>
    <w:p w:rsidR="00000000" w:rsidDel="00000000" w:rsidP="00000000" w:rsidRDefault="00000000" w:rsidRPr="00000000" w14:paraId="00000034">
      <w:pPr>
        <w:jc w:val="both"/>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b w:val="1"/>
          <w:rtl w:val="0"/>
        </w:rPr>
        <w:t xml:space="preserve">Communication, Technology and Media</w:t>
      </w:r>
    </w:p>
    <w:p w:rsidR="00000000" w:rsidDel="00000000" w:rsidP="00000000" w:rsidRDefault="00000000" w:rsidRPr="00000000" w14:paraId="00000035">
      <w:pPr>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Our firm specializes in advising clients on matters relating to information technology law, cybersecurity, and intellectual property issues.</w:t>
      </w:r>
    </w:p>
    <w:p w:rsidR="00000000" w:rsidDel="00000000" w:rsidP="00000000" w:rsidRDefault="00000000" w:rsidRPr="00000000" w14:paraId="00000036">
      <w:pPr>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We routinely assist clients in the IT sector with drafting, reviewing, and negotiating agreements in areas such as:</w:t>
      </w:r>
    </w:p>
    <w:p w:rsidR="00000000" w:rsidDel="00000000" w:rsidP="00000000" w:rsidRDefault="00000000" w:rsidRPr="00000000" w14:paraId="00000037">
      <w:pPr>
        <w:numPr>
          <w:ilvl w:val="0"/>
          <w:numId w:val="6"/>
        </w:numPr>
        <w:ind w:left="72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Software development, licensing, resale, and distribution</w:t>
      </w:r>
    </w:p>
    <w:p w:rsidR="00000000" w:rsidDel="00000000" w:rsidP="00000000" w:rsidRDefault="00000000" w:rsidRPr="00000000" w14:paraId="00000038">
      <w:pPr>
        <w:numPr>
          <w:ilvl w:val="0"/>
          <w:numId w:val="6"/>
        </w:numPr>
        <w:ind w:left="72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Cloud services (SaaS, PaaS, IaaS models)</w:t>
      </w:r>
    </w:p>
    <w:p w:rsidR="00000000" w:rsidDel="00000000" w:rsidP="00000000" w:rsidRDefault="00000000" w:rsidRPr="00000000" w14:paraId="00000039">
      <w:pPr>
        <w:numPr>
          <w:ilvl w:val="0"/>
          <w:numId w:val="6"/>
        </w:numPr>
        <w:ind w:left="72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IT outsourcing and professional services</w:t>
      </w:r>
    </w:p>
    <w:p w:rsidR="00000000" w:rsidDel="00000000" w:rsidP="00000000" w:rsidRDefault="00000000" w:rsidRPr="00000000" w14:paraId="0000003A">
      <w:pPr>
        <w:numPr>
          <w:ilvl w:val="0"/>
          <w:numId w:val="6"/>
        </w:numPr>
        <w:ind w:left="72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Business partnerships and alliances</w:t>
      </w:r>
    </w:p>
    <w:p w:rsidR="00000000" w:rsidDel="00000000" w:rsidP="00000000" w:rsidRDefault="00000000" w:rsidRPr="00000000" w14:paraId="0000003B">
      <w:pPr>
        <w:numPr>
          <w:ilvl w:val="0"/>
          <w:numId w:val="6"/>
        </w:numPr>
        <w:ind w:left="72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Website and e-commerce documentation</w:t>
      </w:r>
    </w:p>
    <w:p w:rsidR="00000000" w:rsidDel="00000000" w:rsidP="00000000" w:rsidRDefault="00000000" w:rsidRPr="00000000" w14:paraId="0000003C">
      <w:pPr>
        <w:jc w:val="both"/>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b w:val="1"/>
          <w:rtl w:val="0"/>
        </w:rPr>
        <w:t xml:space="preserve">Maritime</w:t>
      </w:r>
    </w:p>
    <w:p w:rsidR="00000000" w:rsidDel="00000000" w:rsidP="00000000" w:rsidRDefault="00000000" w:rsidRPr="00000000" w14:paraId="0000003D">
      <w:pPr>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Faros Legal's Maritime team provides experienced legal counsel in business-critical maritime and offshore industry transactions. Our team has a thorough understanding of the maritime industry worldwide and is strategically located in offices along India's coast, enabling us to provide prompt and comprehensive representation.</w:t>
      </w:r>
    </w:p>
    <w:p w:rsidR="00000000" w:rsidDel="00000000" w:rsidP="00000000" w:rsidRDefault="00000000" w:rsidRPr="00000000" w14:paraId="0000003E">
      <w:pPr>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Our team has extensive experience in ship finance, acquisition and sale of vessels, shipbuilding contracts, vessel arrest, litigation, and regulatory matters. Adding to this industry knowledge, our corporate lawyers regularly execute all types of maritime industry transactions, including M&amp;A, public and private debt/equity offerings, joint ventures, and the formation of private investment vehicles.</w:t>
      </w:r>
    </w:p>
    <w:p w:rsidR="00000000" w:rsidDel="00000000" w:rsidP="00000000" w:rsidRDefault="00000000" w:rsidRPr="00000000" w14:paraId="0000003F">
      <w:pPr>
        <w:jc w:val="both"/>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b w:val="1"/>
          <w:rtl w:val="0"/>
        </w:rPr>
        <w:t xml:space="preserve">Agribusiness and FMCG</w:t>
      </w:r>
    </w:p>
    <w:p w:rsidR="00000000" w:rsidDel="00000000" w:rsidP="00000000" w:rsidRDefault="00000000" w:rsidRPr="00000000" w14:paraId="00000040">
      <w:pPr>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We help clients create new businesses, bring products to market, diversify operations, manage supply chain pressures, and navigate the complex issues and opportunities in the agriculture and food industries.</w:t>
      </w:r>
    </w:p>
    <w:p w:rsidR="00000000" w:rsidDel="00000000" w:rsidP="00000000" w:rsidRDefault="00000000" w:rsidRPr="00000000" w14:paraId="00000041">
      <w:pPr>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For our retail and FMCG clients, our advisory and litigation teams advise on a variety of matters, including:</w:t>
      </w:r>
    </w:p>
    <w:p w:rsidR="00000000" w:rsidDel="00000000" w:rsidP="00000000" w:rsidRDefault="00000000" w:rsidRPr="00000000" w14:paraId="00000042">
      <w:pPr>
        <w:numPr>
          <w:ilvl w:val="0"/>
          <w:numId w:val="7"/>
        </w:numPr>
        <w:ind w:left="72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Advertising claims and comparative advertising</w:t>
      </w:r>
    </w:p>
    <w:p w:rsidR="00000000" w:rsidDel="00000000" w:rsidP="00000000" w:rsidRDefault="00000000" w:rsidRPr="00000000" w14:paraId="00000043">
      <w:pPr>
        <w:numPr>
          <w:ilvl w:val="0"/>
          <w:numId w:val="7"/>
        </w:numPr>
        <w:ind w:left="72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Legal Metrology and product labeling laws</w:t>
      </w:r>
    </w:p>
    <w:p w:rsidR="00000000" w:rsidDel="00000000" w:rsidP="00000000" w:rsidRDefault="00000000" w:rsidRPr="00000000" w14:paraId="00000044">
      <w:pPr>
        <w:numPr>
          <w:ilvl w:val="0"/>
          <w:numId w:val="7"/>
        </w:numPr>
        <w:ind w:left="72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Product liability and consumer claims</w:t>
      </w:r>
    </w:p>
    <w:p w:rsidR="00000000" w:rsidDel="00000000" w:rsidP="00000000" w:rsidRDefault="00000000" w:rsidRPr="00000000" w14:paraId="00000045">
      <w:pPr>
        <w:numPr>
          <w:ilvl w:val="0"/>
          <w:numId w:val="7"/>
        </w:numPr>
        <w:ind w:left="72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Brand protection and enforcement</w:t>
      </w:r>
    </w:p>
    <w:p w:rsidR="00000000" w:rsidDel="00000000" w:rsidP="00000000" w:rsidRDefault="00000000" w:rsidRPr="00000000" w14:paraId="00000046">
      <w:pPr>
        <w:numPr>
          <w:ilvl w:val="0"/>
          <w:numId w:val="7"/>
        </w:numPr>
        <w:ind w:left="720" w:hanging="360"/>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E-labelling regulations and the impact of GST on retail pricing</w:t>
      </w:r>
    </w:p>
    <w:p w:rsidR="00000000" w:rsidDel="00000000" w:rsidP="00000000" w:rsidRDefault="00000000" w:rsidRPr="00000000" w14:paraId="00000047">
      <w:pPr>
        <w:jc w:val="both"/>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b w:val="1"/>
          <w:rtl w:val="0"/>
        </w:rPr>
        <w:t xml:space="preserve">Litigation</w:t>
      </w:r>
    </w:p>
    <w:p w:rsidR="00000000" w:rsidDel="00000000" w:rsidP="00000000" w:rsidRDefault="00000000" w:rsidRPr="00000000" w14:paraId="00000048">
      <w:pPr>
        <w:spacing w:after="240" w:before="240" w:lineRule="auto"/>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Our firm’s litigation practice provides end-to-end legal representation and dispute resolution services across a broad spectrum of industries. We advise and represent clients before courts, tribunals, and regulatory authorities across India, including the Supreme Court, various High Courts, and the National Company Law Tribunals (NCLTs).</w:t>
      </w:r>
    </w:p>
    <w:p w:rsidR="00000000" w:rsidDel="00000000" w:rsidP="00000000" w:rsidRDefault="00000000" w:rsidRPr="00000000" w14:paraId="00000049">
      <w:pPr>
        <w:spacing w:after="240" w:before="240" w:lineRule="auto"/>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Our team combines strategic insight with practical, business-oriented solutions to ensure efficient and effective dispute resolution. We focus on safeguarding our clients’ interests while minimizing legal and commercial risks.</w:t>
      </w:r>
    </w:p>
    <w:p w:rsidR="00000000" w:rsidDel="00000000" w:rsidP="00000000" w:rsidRDefault="00000000" w:rsidRPr="00000000" w14:paraId="0000004A">
      <w:pPr>
        <w:spacing w:after="240" w:before="240" w:lineRule="auto"/>
        <w:jc w:val="both"/>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Our expertise includes:</w:t>
      </w:r>
    </w:p>
    <w:p w:rsidR="00000000" w:rsidDel="00000000" w:rsidP="00000000" w:rsidRDefault="00000000" w:rsidRPr="00000000" w14:paraId="0000004B">
      <w:pPr>
        <w:numPr>
          <w:ilvl w:val="0"/>
          <w:numId w:val="1"/>
        </w:numPr>
        <w:spacing w:after="0" w:afterAutospacing="0" w:before="240" w:lineRule="auto"/>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 xml:space="preserve">Commercial and Contractual Disputes</w:t>
      </w:r>
      <w:r w:rsidDel="00000000" w:rsidR="00000000" w:rsidRPr="00000000">
        <w:rPr>
          <w:rFonts w:ascii="Palatino Linotype" w:cs="Palatino Linotype" w:eastAsia="Palatino Linotype" w:hAnsi="Palatino Linotype"/>
          <w:rtl w:val="0"/>
        </w:rPr>
        <w:t xml:space="preserve"> – Breach of contract, shareholder and partnership disputes, joint ventures, and recovery actions.</w:t>
        <w:br w:type="textWrapping"/>
      </w:r>
    </w:p>
    <w:p w:rsidR="00000000" w:rsidDel="00000000" w:rsidP="00000000" w:rsidRDefault="00000000" w:rsidRPr="00000000" w14:paraId="0000004C">
      <w:pPr>
        <w:numPr>
          <w:ilvl w:val="0"/>
          <w:numId w:val="1"/>
        </w:numPr>
        <w:spacing w:after="0" w:afterAutospacing="0" w:before="0" w:beforeAutospacing="0" w:lineRule="auto"/>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 xml:space="preserve">Corporate and Insolvency Matters</w:t>
      </w:r>
      <w:r w:rsidDel="00000000" w:rsidR="00000000" w:rsidRPr="00000000">
        <w:rPr>
          <w:rFonts w:ascii="Palatino Linotype" w:cs="Palatino Linotype" w:eastAsia="Palatino Linotype" w:hAnsi="Palatino Linotype"/>
          <w:rtl w:val="0"/>
        </w:rPr>
        <w:t xml:space="preserve"> – Representation before the NCLT and NCLAT on insolvency and restructuring issues.</w:t>
        <w:br w:type="textWrapping"/>
      </w:r>
    </w:p>
    <w:p w:rsidR="00000000" w:rsidDel="00000000" w:rsidP="00000000" w:rsidRDefault="00000000" w:rsidRPr="00000000" w14:paraId="0000004D">
      <w:pPr>
        <w:numPr>
          <w:ilvl w:val="0"/>
          <w:numId w:val="1"/>
        </w:numPr>
        <w:spacing w:after="0" w:afterAutospacing="0" w:before="0" w:beforeAutospacing="0" w:lineRule="auto"/>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 xml:space="preserve">Real Estate Disputes</w:t>
      </w:r>
      <w:r w:rsidDel="00000000" w:rsidR="00000000" w:rsidRPr="00000000">
        <w:rPr>
          <w:rFonts w:ascii="Palatino Linotype" w:cs="Palatino Linotype" w:eastAsia="Palatino Linotype" w:hAnsi="Palatino Linotype"/>
          <w:rtl w:val="0"/>
        </w:rPr>
        <w:t xml:space="preserve"> – Title, development, and lease-related matters.</w:t>
        <w:br w:type="textWrapping"/>
      </w:r>
    </w:p>
    <w:p w:rsidR="00000000" w:rsidDel="00000000" w:rsidP="00000000" w:rsidRDefault="00000000" w:rsidRPr="00000000" w14:paraId="0000004E">
      <w:pPr>
        <w:numPr>
          <w:ilvl w:val="0"/>
          <w:numId w:val="1"/>
        </w:numPr>
        <w:spacing w:after="0" w:afterAutospacing="0" w:before="0" w:beforeAutospacing="0" w:lineRule="auto"/>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 xml:space="preserve">Employment and Labour Disputes</w:t>
      </w:r>
      <w:r w:rsidDel="00000000" w:rsidR="00000000" w:rsidRPr="00000000">
        <w:rPr>
          <w:rFonts w:ascii="Palatino Linotype" w:cs="Palatino Linotype" w:eastAsia="Palatino Linotype" w:hAnsi="Palatino Linotype"/>
          <w:rtl w:val="0"/>
        </w:rPr>
        <w:t xml:space="preserve"> – Termination, non-compete, and industrial relations issues.</w:t>
        <w:br w:type="textWrapping"/>
      </w:r>
    </w:p>
    <w:p w:rsidR="00000000" w:rsidDel="00000000" w:rsidP="00000000" w:rsidRDefault="00000000" w:rsidRPr="00000000" w14:paraId="0000004F">
      <w:pPr>
        <w:numPr>
          <w:ilvl w:val="0"/>
          <w:numId w:val="1"/>
        </w:numPr>
        <w:spacing w:after="0" w:afterAutospacing="0" w:before="0" w:beforeAutospacing="0" w:lineRule="auto"/>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 xml:space="preserve">Intellectual Property Enforcement</w:t>
      </w:r>
      <w:r w:rsidDel="00000000" w:rsidR="00000000" w:rsidRPr="00000000">
        <w:rPr>
          <w:rFonts w:ascii="Palatino Linotype" w:cs="Palatino Linotype" w:eastAsia="Palatino Linotype" w:hAnsi="Palatino Linotype"/>
          <w:rtl w:val="0"/>
        </w:rPr>
        <w:t xml:space="preserve"> – Trademark and copyright infringement, passing off, and trade secret protection.</w:t>
        <w:br w:type="textWrapping"/>
      </w:r>
    </w:p>
    <w:p w:rsidR="00000000" w:rsidDel="00000000" w:rsidP="00000000" w:rsidRDefault="00000000" w:rsidRPr="00000000" w14:paraId="00000050">
      <w:pPr>
        <w:numPr>
          <w:ilvl w:val="0"/>
          <w:numId w:val="1"/>
        </w:numPr>
        <w:spacing w:after="0" w:afterAutospacing="0" w:before="0" w:beforeAutospacing="0" w:lineRule="auto"/>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 xml:space="preserve">Banking and Financial Services Litigation</w:t>
      </w:r>
      <w:r w:rsidDel="00000000" w:rsidR="00000000" w:rsidRPr="00000000">
        <w:rPr>
          <w:rFonts w:ascii="Palatino Linotype" w:cs="Palatino Linotype" w:eastAsia="Palatino Linotype" w:hAnsi="Palatino Linotype"/>
          <w:rtl w:val="0"/>
        </w:rPr>
        <w:t xml:space="preserve"> – Recovery proceedings and regulatory disputes.</w:t>
        <w:br w:type="textWrapping"/>
      </w:r>
    </w:p>
    <w:p w:rsidR="00000000" w:rsidDel="00000000" w:rsidP="00000000" w:rsidRDefault="00000000" w:rsidRPr="00000000" w14:paraId="00000051">
      <w:pPr>
        <w:numPr>
          <w:ilvl w:val="0"/>
          <w:numId w:val="1"/>
        </w:numPr>
        <w:spacing w:after="0" w:afterAutospacing="0" w:before="0" w:beforeAutospacing="0" w:lineRule="auto"/>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 xml:space="preserve">Arbitration and Alternate Dispute Resolution</w:t>
      </w:r>
      <w:r w:rsidDel="00000000" w:rsidR="00000000" w:rsidRPr="00000000">
        <w:rPr>
          <w:rFonts w:ascii="Palatino Linotype" w:cs="Palatino Linotype" w:eastAsia="Palatino Linotype" w:hAnsi="Palatino Linotype"/>
          <w:rtl w:val="0"/>
        </w:rPr>
        <w:t xml:space="preserve"> – Representation in domestic and international arbitrations and enforcement of awards.</w:t>
        <w:br w:type="textWrapping"/>
      </w:r>
    </w:p>
    <w:p w:rsidR="00000000" w:rsidDel="00000000" w:rsidP="00000000" w:rsidRDefault="00000000" w:rsidRPr="00000000" w14:paraId="00000052">
      <w:pPr>
        <w:numPr>
          <w:ilvl w:val="0"/>
          <w:numId w:val="1"/>
        </w:numPr>
        <w:spacing w:after="240" w:before="0" w:beforeAutospacing="0" w:lineRule="auto"/>
        <w:ind w:left="720" w:hanging="360"/>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 xml:space="preserve">Regulatory and White-Collar Matters</w:t>
      </w:r>
      <w:r w:rsidDel="00000000" w:rsidR="00000000" w:rsidRPr="00000000">
        <w:rPr>
          <w:rFonts w:ascii="Palatino Linotype" w:cs="Palatino Linotype" w:eastAsia="Palatino Linotype" w:hAnsi="Palatino Linotype"/>
          <w:rtl w:val="0"/>
        </w:rPr>
        <w:t xml:space="preserve"> – Advisory and representation in investigations and enforcement proceedings.</w:t>
      </w:r>
    </w:p>
    <w:p w:rsidR="00000000" w:rsidDel="00000000" w:rsidP="00000000" w:rsidRDefault="00000000" w:rsidRPr="00000000" w14:paraId="00000053">
      <w:pPr>
        <w:spacing w:after="240" w:before="240" w:lineRule="auto"/>
        <w:jc w:val="both"/>
        <w:rPr>
          <w:rFonts w:ascii="Palatino Linotype" w:cs="Palatino Linotype" w:eastAsia="Palatino Linotype" w:hAnsi="Palatino Linotype"/>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DF2E1D"/>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DF2E1D"/>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DF2E1D"/>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F2E1D"/>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DF2E1D"/>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DF2E1D"/>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DF2E1D"/>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DF2E1D"/>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DF2E1D"/>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F2E1D"/>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F2E1D"/>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F2E1D"/>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DF2E1D"/>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DF2E1D"/>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DF2E1D"/>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DF2E1D"/>
    <w:rPr>
      <w:i w:val="1"/>
      <w:iCs w:val="1"/>
      <w:color w:val="404040" w:themeColor="text1" w:themeTint="0000BF"/>
    </w:rPr>
  </w:style>
  <w:style w:type="paragraph" w:styleId="ListParagraph">
    <w:name w:val="List Paragraph"/>
    <w:basedOn w:val="Normal"/>
    <w:uiPriority w:val="34"/>
    <w:qFormat w:val="1"/>
    <w:rsid w:val="00DF2E1D"/>
    <w:pPr>
      <w:ind w:left="720"/>
      <w:contextualSpacing w:val="1"/>
    </w:pPr>
  </w:style>
  <w:style w:type="character" w:styleId="IntenseEmphasis">
    <w:name w:val="Intense Emphasis"/>
    <w:basedOn w:val="DefaultParagraphFont"/>
    <w:uiPriority w:val="21"/>
    <w:qFormat w:val="1"/>
    <w:rsid w:val="00DF2E1D"/>
    <w:rPr>
      <w:i w:val="1"/>
      <w:iCs w:val="1"/>
      <w:color w:val="2f5496" w:themeColor="accent1" w:themeShade="0000BF"/>
    </w:rPr>
  </w:style>
  <w:style w:type="paragraph" w:styleId="IntenseQuote">
    <w:name w:val="Intense Quote"/>
    <w:basedOn w:val="Normal"/>
    <w:next w:val="Normal"/>
    <w:link w:val="IntenseQuoteChar"/>
    <w:uiPriority w:val="30"/>
    <w:qFormat w:val="1"/>
    <w:rsid w:val="00DF2E1D"/>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DF2E1D"/>
    <w:rPr>
      <w:i w:val="1"/>
      <w:iCs w:val="1"/>
      <w:color w:val="2f5496" w:themeColor="accent1" w:themeShade="0000BF"/>
    </w:rPr>
  </w:style>
  <w:style w:type="character" w:styleId="IntenseReference">
    <w:name w:val="Intense Reference"/>
    <w:basedOn w:val="DefaultParagraphFont"/>
    <w:uiPriority w:val="32"/>
    <w:qFormat w:val="1"/>
    <w:rsid w:val="00DF2E1D"/>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C9PwR9jVh4vvd2Cicg0Fc1/g==">CgMxLjA4AHIhMWZYdUxrbThTWS1sZFdaZmo3U2k1cFNJSGdNTUdSSmJI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2025-10-29T07:49:00Z</dcterms:created>
  <dc:creator>Dechamma M C</dc:creator>
</cp:coreProperties>
</file>