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28"/>
          <w:szCs w:val="28"/>
        </w:rPr>
        <w:t xml:space="preserve">Ideation Phase</w:t>
      </w:r>
    </w:p>
    <w:p>
      <w:pPr>
        <w:spacing w:after="200"/>
      </w:pPr>
      <w:r>
        <w:rPr>
          <w:b/>
          <w:bCs/>
          <w:color w:val="1F3864"/>
          <w:sz w:val="26"/>
          <w:szCs w:val="26"/>
        </w:rPr>
        <w:t xml:space="preserve">Brainstorm &amp; Idea Prioritization Template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tcBorders>
              <w:top w:val="single" w:color="999999" w:sz="4"/>
              <w:left w:val="single" w:color="999999" w:sz="4"/>
              <w:bottom w:val="single" w:color="999999" w:sz="4"/>
              <w:right w:val="single" w:color="999999" w:sz="4"/>
            </w:tcBorders>
            <w:shd w:fill="D9E2F3" w:val="clear"/>
            <w:vAlign w:val="center"/>
          </w:tcPr>
          <w:p>
            <w:r>
              <w:rPr>
                <w:b/>
                <w:bCs/>
              </w:rPr>
              <w:t xml:space="preserve">Date</w:t>
            </w:r>
          </w:p>
        </w:tc>
        <w:tc>
          <w:tcPr>
            <w:tcW w:type="dxa" w:w="6350"/>
            <w:tcBorders>
              <w:top w:val="single" w:color="999999" w:sz="4"/>
              <w:left w:val="single" w:color="999999" w:sz="4"/>
              <w:bottom w:val="single" w:color="999999" w:sz="4"/>
              <w:right w:val="single" w:color="999999" w:sz="4"/>
            </w:tcBorders>
            <w:vAlign w:val="center"/>
          </w:tcPr>
          <w:p>
            <w:r>
              <w:t xml:space="preserve">31 January 2025</w:t>
            </w:r>
          </w:p>
        </w:tc>
      </w:tr>
      <w:tr>
        <w:tc>
          <w:tcPr>
            <w:tcW w:type="dxa" w:w="3000"/>
            <w:tcBorders>
              <w:top w:val="single" w:color="999999" w:sz="4"/>
              <w:left w:val="single" w:color="999999" w:sz="4"/>
              <w:bottom w:val="single" w:color="999999" w:sz="4"/>
              <w:right w:val="single" w:color="999999" w:sz="4"/>
            </w:tcBorders>
            <w:shd w:fill="D9E2F3" w:val="clear"/>
            <w:vAlign w:val="center"/>
          </w:tcPr>
          <w:p>
            <w:r>
              <w:rPr>
                <w:b/>
                <w:bCs/>
              </w:rPr>
              <w:t xml:space="preserve">Team ID</w:t>
            </w:r>
          </w:p>
        </w:tc>
        <w:tc>
          <w:tcPr>
            <w:tcW w:type="dxa" w:w="6350"/>
            <w:tcBorders>
              <w:top w:val="single" w:color="999999" w:sz="4"/>
              <w:left w:val="single" w:color="999999" w:sz="4"/>
              <w:bottom w:val="single" w:color="999999" w:sz="4"/>
              <w:right w:val="single" w:color="999999" w:sz="4"/>
            </w:tcBorders>
            <w:vAlign w:val="center"/>
          </w:tcPr>
          <w:p>
            <w:r>
              <w:t xml:space="preserve">PNT2025TMID_FOBCT_01</w:t>
            </w:r>
          </w:p>
        </w:tc>
      </w:tr>
      <w:tr>
        <w:tc>
          <w:tcPr>
            <w:tcW w:type="dxa" w:w="3000"/>
            <w:tcBorders>
              <w:top w:val="single" w:color="999999" w:sz="4"/>
              <w:left w:val="single" w:color="999999" w:sz="4"/>
              <w:bottom w:val="single" w:color="999999" w:sz="4"/>
              <w:right w:val="single" w:color="999999" w:sz="4"/>
            </w:tcBorders>
            <w:shd w:fill="D9E2F3" w:val="clear"/>
            <w:vAlign w:val="center"/>
          </w:tcPr>
          <w:p>
            <w:r>
              <w:rPr>
                <w:b/>
                <w:bCs/>
              </w:rPr>
              <w:t xml:space="preserve">Project Name</w:t>
            </w:r>
          </w:p>
        </w:tc>
        <w:tc>
          <w:tcPr>
            <w:tcW w:type="dxa" w:w="6350"/>
            <w:tcBorders>
              <w:top w:val="single" w:color="999999" w:sz="4"/>
              <w:left w:val="single" w:color="999999" w:sz="4"/>
              <w:bottom w:val="single" w:color="999999" w:sz="4"/>
              <w:right w:val="single" w:color="999999" w:sz="4"/>
            </w:tcBorders>
            <w:vAlign w:val="center"/>
          </w:tcPr>
          <w:p>
            <w:r>
              <w:t xml:space="preserve">Food Ordering Behaviour and Consumer Trends</w:t>
            </w:r>
          </w:p>
        </w:tc>
      </w:tr>
      <w:tr>
        <w:tc>
          <w:tcPr>
            <w:tcW w:type="dxa" w:w="3000"/>
            <w:tcBorders>
              <w:top w:val="single" w:color="999999" w:sz="4"/>
              <w:left w:val="single" w:color="999999" w:sz="4"/>
              <w:bottom w:val="single" w:color="999999" w:sz="4"/>
              <w:right w:val="single" w:color="999999" w:sz="4"/>
            </w:tcBorders>
            <w:shd w:fill="D9E2F3" w:val="clear"/>
            <w:vAlign w:val="center"/>
          </w:tcPr>
          <w:p>
            <w:r>
              <w:rPr>
                <w:b/>
                <w:bCs/>
              </w:rPr>
              <w:t xml:space="preserve">Maximum Marks</w:t>
            </w:r>
          </w:p>
        </w:tc>
        <w:tc>
          <w:tcPr>
            <w:tcW w:type="dxa" w:w="6350"/>
            <w:tcBorders>
              <w:top w:val="single" w:color="999999" w:sz="4"/>
              <w:left w:val="single" w:color="999999" w:sz="4"/>
              <w:bottom w:val="single" w:color="999999" w:sz="4"/>
              <w:right w:val="single" w:color="999999" w:sz="4"/>
            </w:tcBorders>
            <w:vAlign w:val="center"/>
          </w:tcPr>
          <w:p>
            <w:r>
              <w:t xml:space="preserve">4 Marks</w:t>
            </w:r>
          </w:p>
        </w:tc>
      </w:tr>
    </w:tbl>
    <w:p>
      <w:pPr>
        <w:spacing w:after="200"/>
      </w:pPr>
    </w:p>
    <w:p>
      <w:pPr>
        <w:spacing w:after="150" w:before="300"/>
      </w:pPr>
      <w:r>
        <w:rPr>
          <w:b/>
          <w:bCs/>
          <w:color w:val="1F3864"/>
          <w:sz w:val="24"/>
          <w:szCs w:val="24"/>
        </w:rPr>
        <w:t xml:space="preserve">Step 1: Team Gathering, Collaboration and Problem Statement Selection</w:t>
      </w:r>
    </w:p>
    <w:p>
      <w:pPr>
        <w:spacing w:after="120"/>
      </w:pPr>
      <w:r>
        <w:rPr>
          <w:i w:val="false"/>
          <w:iCs w:val="false"/>
        </w:rPr>
        <w:t xml:space="preserve">The team reviewed the Empathy Map and the two Problem Statements (PS-1: delivery reliability, PS-2: pricing transparency) and agreed that both should be addressed together, since they represent the two biggest drivers of consumer trust in online food ordering. The team selected these as the guiding focus for the analytics project: understand what drives delays and what drives value perception, using real order data.</w:t>
      </w:r>
    </w:p>
    <w:p>
      <w:pPr>
        <w:spacing w:after="150" w:before="300"/>
      </w:pPr>
      <w:r>
        <w:rPr>
          <w:b/>
          <w:bCs/>
          <w:color w:val="1F3864"/>
          <w:sz w:val="24"/>
          <w:szCs w:val="24"/>
        </w:rPr>
        <w:t xml:space="preserve">Step 2: Brainstorm, Idea Listing and Grouping</w:t>
      </w:r>
    </w:p>
    <w:p>
      <w:pPr>
        <w:spacing w:after="120"/>
      </w:pPr>
      <w:r>
        <w:rPr>
          <w:i w:val="false"/>
          <w:iCs w:val="false"/>
        </w:rPr>
        <w:t xml:space="preserve">Ideas generated by the team were grouped into four themes:</w:t>
      </w:r>
    </w:p>
    <w:p>
      <w:pPr>
        <w:spacing w:after="80" w:before="150"/>
      </w:pPr>
      <w:r>
        <w:rPr>
          <w:b/>
          <w:bCs/>
          <w:color w:val="1F3864"/>
        </w:rPr>
        <w:t xml:space="preserve">Delivery Time &amp; Reliability Analysis</w:t>
      </w:r>
    </w:p>
    <w:p>
      <w:pPr>
        <w:pStyle w:val="ListParagraph"/>
        <w:numPr>
          <w:ilvl w:val="0"/>
          <w:numId w:val="1"/>
        </w:numPr>
        <w:spacing w:after="80"/>
      </w:pPr>
      <w:r>
        <w:t xml:space="preserve">Analyse average delivery time by area, restaurant, and time-of-day to spot delay patterns</w:t>
      </w:r>
    </w:p>
    <w:p>
      <w:pPr>
        <w:pStyle w:val="ListParagraph"/>
        <w:numPr>
          <w:ilvl w:val="0"/>
          <w:numId w:val="1"/>
        </w:numPr>
        <w:spacing w:after="80"/>
      </w:pPr>
      <w:r>
        <w:t xml:space="preserve">Identify peak-hour bottlenecks (lunch/dinner rush) using order-timestamp data</w:t>
      </w:r>
    </w:p>
    <w:p>
      <w:pPr>
        <w:pStyle w:val="ListParagraph"/>
        <w:numPr>
          <w:ilvl w:val="0"/>
          <w:numId w:val="1"/>
        </w:numPr>
        <w:spacing w:after="80"/>
      </w:pPr>
      <w:r>
        <w:t xml:space="preserve">Flag restaurants/zones with consistently high delay rates</w:t>
      </w:r>
    </w:p>
    <w:p>
      <w:pPr>
        <w:spacing w:after="80" w:before="150"/>
      </w:pPr>
      <w:r>
        <w:rPr>
          <w:b/>
          <w:bCs/>
          <w:color w:val="1F3864"/>
        </w:rPr>
        <w:t xml:space="preserve">Pricing &amp; Value Trends</w:t>
      </w:r>
    </w:p>
    <w:p>
      <w:pPr>
        <w:pStyle w:val="ListParagraph"/>
        <w:numPr>
          <w:ilvl w:val="0"/>
          <w:numId w:val="1"/>
        </w:numPr>
        <w:spacing w:after="80"/>
      </w:pPr>
      <w:r>
        <w:t xml:space="preserve">Track how delivery fees and discounts vary by order value, time, and platform</w:t>
      </w:r>
    </w:p>
    <w:p>
      <w:pPr>
        <w:pStyle w:val="ListParagraph"/>
        <w:numPr>
          <w:ilvl w:val="0"/>
          <w:numId w:val="1"/>
        </w:numPr>
        <w:spacing w:after="80"/>
      </w:pPr>
      <w:r>
        <w:t xml:space="preserve">Analyse coupon/offer usage patterns and their effect on order frequency</w:t>
      </w:r>
    </w:p>
    <w:p>
      <w:pPr>
        <w:pStyle w:val="ListParagraph"/>
        <w:numPr>
          <w:ilvl w:val="0"/>
          <w:numId w:val="1"/>
        </w:numPr>
        <w:spacing w:after="80"/>
      </w:pPr>
      <w:r>
        <w:t xml:space="preserve">Compare average order value across customer segments</w:t>
      </w:r>
    </w:p>
    <w:p>
      <w:pPr>
        <w:spacing w:after="80" w:before="150"/>
      </w:pPr>
      <w:r>
        <w:rPr>
          <w:b/>
          <w:bCs/>
          <w:color w:val="1F3864"/>
        </w:rPr>
        <w:t xml:space="preserve">Consumer Behaviour Segmentation</w:t>
      </w:r>
    </w:p>
    <w:p>
      <w:pPr>
        <w:pStyle w:val="ListParagraph"/>
        <w:numPr>
          <w:ilvl w:val="0"/>
          <w:numId w:val="1"/>
        </w:numPr>
        <w:spacing w:after="80"/>
      </w:pPr>
      <w:r>
        <w:t xml:space="preserve">Segment customers by ordering frequency, spend, and cuisine preference</w:t>
      </w:r>
    </w:p>
    <w:p>
      <w:pPr>
        <w:pStyle w:val="ListParagraph"/>
        <w:numPr>
          <w:ilvl w:val="0"/>
          <w:numId w:val="1"/>
        </w:numPr>
        <w:spacing w:after="80"/>
      </w:pPr>
      <w:r>
        <w:t xml:space="preserve">Study day-of-week and time-of-day ordering patterns</w:t>
      </w:r>
    </w:p>
    <w:p>
      <w:pPr>
        <w:pStyle w:val="ListParagraph"/>
        <w:numPr>
          <w:ilvl w:val="0"/>
          <w:numId w:val="1"/>
        </w:numPr>
        <w:spacing w:after="80"/>
      </w:pPr>
      <w:r>
        <w:t xml:space="preserve">Analyse repeat-order and customer-retention trends</w:t>
      </w:r>
    </w:p>
    <w:p>
      <w:pPr>
        <w:spacing w:after="80" w:before="150"/>
      </w:pPr>
      <w:r>
        <w:rPr>
          <w:b/>
          <w:bCs/>
          <w:color w:val="1F3864"/>
        </w:rPr>
        <w:t xml:space="preserve">Restaurant &amp; Platform Performance</w:t>
      </w:r>
    </w:p>
    <w:p>
      <w:pPr>
        <w:pStyle w:val="ListParagraph"/>
        <w:numPr>
          <w:ilvl w:val="0"/>
          <w:numId w:val="1"/>
        </w:numPr>
        <w:spacing w:after="80"/>
      </w:pPr>
      <w:r>
        <w:t xml:space="preserve">Correlate restaurant ratings with order volume and repeat orders</w:t>
      </w:r>
    </w:p>
    <w:p>
      <w:pPr>
        <w:pStyle w:val="ListParagraph"/>
        <w:numPr>
          <w:ilvl w:val="0"/>
          <w:numId w:val="1"/>
        </w:numPr>
        <w:spacing w:after="80"/>
      </w:pPr>
      <w:r>
        <w:t xml:space="preserve">Identify top-performing cuisines/categories by region</w:t>
      </w:r>
    </w:p>
    <w:p>
      <w:pPr>
        <w:pStyle w:val="ListParagraph"/>
        <w:numPr>
          <w:ilvl w:val="0"/>
          <w:numId w:val="1"/>
        </w:numPr>
        <w:spacing w:after="80"/>
      </w:pPr>
      <w:r>
        <w:t xml:space="preserve">Analyse cancellation and refund trends by restaurant</w:t>
      </w:r>
    </w:p>
    <w:p>
      <w:pPr>
        <w:spacing w:after="150" w:before="300"/>
      </w:pPr>
      <w:r>
        <w:rPr>
          <w:b/>
          <w:bCs/>
          <w:color w:val="1F3864"/>
          <w:sz w:val="24"/>
          <w:szCs w:val="24"/>
        </w:rPr>
        <w:t xml:space="preserve">Step 3: Idea Prioritization</w:t>
      </w:r>
    </w:p>
    <w:p>
      <w:pPr>
        <w:spacing w:after="120"/>
      </w:pPr>
      <w:r>
        <w:rPr>
          <w:i w:val="false"/>
          <w:iCs w:val="false"/>
        </w:rPr>
        <w:t xml:space="preserve">Ideas were prioritised on Impact (value to understanding consumer trends) and Feasibility (data availability and analysis effort), and sorted into Now / Next / Later.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50"/>
        <w:gridCol w:w="1550"/>
        <w:gridCol w:w="1550"/>
        <w:gridCol w:w="1600"/>
      </w:tblGrid>
      <w:tr>
        <w:tc>
          <w:tcPr>
            <w:tcW w:type="dxa" w:w="4650"/>
            <w:tcBorders>
              <w:top w:val="single" w:color="999999" w:sz="4"/>
              <w:left w:val="single" w:color="999999" w:sz="4"/>
              <w:bottom w:val="single" w:color="999999" w:sz="4"/>
              <w:right w:val="single" w:color="999999" w:sz="4"/>
            </w:tcBorders>
            <w:shd w:fill="1F3864" w:val="clear"/>
            <w:tcMar>
              <w:top w:type="dxa" w:w="100"/>
              <w:left w:type="dxa" w:w="100"/>
              <w:bottom w:type="dxa" w:w="100"/>
              <w:right w:type="dxa" w:w="100"/>
            </w:tcMar>
            <w:vAlign w:val="center"/>
          </w:tcPr>
          <w:p>
            <w:pPr>
              <w:jc w:val="center"/>
            </w:pPr>
            <w:r>
              <w:rPr>
                <w:b/>
                <w:bCs/>
                <w:color w:val="FFFFFF"/>
                <w:sz w:val="20"/>
                <w:szCs w:val="20"/>
              </w:rPr>
              <w:t xml:space="preserve">Idea</w:t>
            </w:r>
          </w:p>
        </w:tc>
        <w:tc>
          <w:tcPr>
            <w:tcW w:type="dxa" w:w="1550"/>
            <w:tcBorders>
              <w:top w:val="single" w:color="999999" w:sz="4"/>
              <w:left w:val="single" w:color="999999" w:sz="4"/>
              <w:bottom w:val="single" w:color="999999" w:sz="4"/>
              <w:right w:val="single" w:color="999999" w:sz="4"/>
            </w:tcBorders>
            <w:shd w:fill="1F3864" w:val="clear"/>
            <w:tcMar>
              <w:top w:type="dxa" w:w="100"/>
              <w:left w:type="dxa" w:w="100"/>
              <w:bottom w:type="dxa" w:w="100"/>
              <w:right w:type="dxa" w:w="100"/>
            </w:tcMar>
            <w:vAlign w:val="center"/>
          </w:tcPr>
          <w:p>
            <w:pPr>
              <w:jc w:val="center"/>
            </w:pPr>
            <w:r>
              <w:rPr>
                <w:b/>
                <w:bCs/>
                <w:color w:val="FFFFFF"/>
                <w:sz w:val="20"/>
                <w:szCs w:val="20"/>
              </w:rPr>
              <w:t xml:space="preserve">Impact</w:t>
            </w:r>
          </w:p>
        </w:tc>
        <w:tc>
          <w:tcPr>
            <w:tcW w:type="dxa" w:w="1550"/>
            <w:tcBorders>
              <w:top w:val="single" w:color="999999" w:sz="4"/>
              <w:left w:val="single" w:color="999999" w:sz="4"/>
              <w:bottom w:val="single" w:color="999999" w:sz="4"/>
              <w:right w:val="single" w:color="999999" w:sz="4"/>
            </w:tcBorders>
            <w:shd w:fill="1F3864" w:val="clear"/>
            <w:tcMar>
              <w:top w:type="dxa" w:w="100"/>
              <w:left w:type="dxa" w:w="100"/>
              <w:bottom w:type="dxa" w:w="100"/>
              <w:right w:type="dxa" w:w="100"/>
            </w:tcMar>
            <w:vAlign w:val="center"/>
          </w:tcPr>
          <w:p>
            <w:pPr>
              <w:jc w:val="center"/>
            </w:pPr>
            <w:r>
              <w:rPr>
                <w:b/>
                <w:bCs/>
                <w:color w:val="FFFFFF"/>
                <w:sz w:val="20"/>
                <w:szCs w:val="20"/>
              </w:rPr>
              <w:t xml:space="preserve">Feasibility</w:t>
            </w:r>
          </w:p>
        </w:tc>
        <w:tc>
          <w:tcPr>
            <w:tcW w:type="dxa" w:w="1600"/>
            <w:tcBorders>
              <w:top w:val="single" w:color="999999" w:sz="4"/>
              <w:left w:val="single" w:color="999999" w:sz="4"/>
              <w:bottom w:val="single" w:color="999999" w:sz="4"/>
              <w:right w:val="single" w:color="999999" w:sz="4"/>
            </w:tcBorders>
            <w:shd w:fill="1F3864" w:val="clear"/>
            <w:tcMar>
              <w:top w:type="dxa" w:w="100"/>
              <w:left w:type="dxa" w:w="100"/>
              <w:bottom w:type="dxa" w:w="100"/>
              <w:right w:type="dxa" w:w="100"/>
            </w:tcMar>
            <w:vAlign w:val="center"/>
          </w:tcPr>
          <w:p>
            <w:pPr>
              <w:jc w:val="center"/>
            </w:pPr>
            <w:r>
              <w:rPr>
                <w:b/>
                <w:bCs/>
                <w:color w:val="FFFFFF"/>
                <w:sz w:val="20"/>
                <w:szCs w:val="20"/>
              </w:rPr>
              <w:t xml:space="preserve">Priority</w:t>
            </w:r>
          </w:p>
        </w:tc>
      </w:tr>
      <w:tr>
        <w:tc>
          <w:tcPr>
            <w:tcW w:type="dxa" w:w="465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left"/>
            </w:pPr>
            <w:r>
              <w:rPr>
                <w:b w:val="false"/>
                <w:bCs w:val="false"/>
                <w:sz w:val="20"/>
                <w:szCs w:val="20"/>
              </w:rPr>
              <w:t xml:space="preserve">Delivery-time delay pattern analysis by area/time-of-day</w:t>
            </w:r>
          </w:p>
        </w:tc>
        <w:tc>
          <w:tcPr>
            <w:tcW w:type="dxa" w:w="155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center"/>
            </w:pPr>
            <w:r>
              <w:rPr>
                <w:b w:val="false"/>
                <w:bCs w:val="false"/>
                <w:sz w:val="20"/>
                <w:szCs w:val="20"/>
              </w:rPr>
              <w:t xml:space="preserve">High</w:t>
            </w:r>
          </w:p>
        </w:tc>
        <w:tc>
          <w:tcPr>
            <w:tcW w:type="dxa" w:w="155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center"/>
            </w:pPr>
            <w:r>
              <w:rPr>
                <w:b w:val="false"/>
                <w:bCs w:val="false"/>
                <w:sz w:val="20"/>
                <w:szCs w:val="20"/>
              </w:rPr>
              <w:t xml:space="preserve">High</w:t>
            </w:r>
          </w:p>
        </w:tc>
        <w:tc>
          <w:tcPr>
            <w:tcW w:type="dxa" w:w="160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center"/>
            </w:pPr>
            <w:r>
              <w:rPr>
                <w:b w:val="false"/>
                <w:bCs w:val="false"/>
                <w:sz w:val="20"/>
                <w:szCs w:val="20"/>
              </w:rPr>
              <w:t xml:space="preserve">Now</w:t>
            </w:r>
          </w:p>
        </w:tc>
      </w:tr>
      <w:tr>
        <w:tc>
          <w:tcPr>
            <w:tcW w:type="dxa" w:w="465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left"/>
            </w:pPr>
            <w:r>
              <w:rPr>
                <w:b w:val="false"/>
                <w:bCs w:val="false"/>
                <w:sz w:val="20"/>
                <w:szCs w:val="20"/>
              </w:rPr>
              <w:t xml:space="preserve">Customer segmentation by frequency, spend, and cuisine preference</w:t>
            </w:r>
          </w:p>
        </w:tc>
        <w:tc>
          <w:tcPr>
            <w:tcW w:type="dxa" w:w="155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center"/>
            </w:pPr>
            <w:r>
              <w:rPr>
                <w:b w:val="false"/>
                <w:bCs w:val="false"/>
                <w:sz w:val="20"/>
                <w:szCs w:val="20"/>
              </w:rPr>
              <w:t xml:space="preserve">High</w:t>
            </w:r>
          </w:p>
        </w:tc>
        <w:tc>
          <w:tcPr>
            <w:tcW w:type="dxa" w:w="155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center"/>
            </w:pPr>
            <w:r>
              <w:rPr>
                <w:b w:val="false"/>
                <w:bCs w:val="false"/>
                <w:sz w:val="20"/>
                <w:szCs w:val="20"/>
              </w:rPr>
              <w:t xml:space="preserve">High</w:t>
            </w:r>
          </w:p>
        </w:tc>
        <w:tc>
          <w:tcPr>
            <w:tcW w:type="dxa" w:w="160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center"/>
            </w:pPr>
            <w:r>
              <w:rPr>
                <w:b w:val="false"/>
                <w:bCs w:val="false"/>
                <w:sz w:val="20"/>
                <w:szCs w:val="20"/>
              </w:rPr>
              <w:t xml:space="preserve">Now</w:t>
            </w:r>
          </w:p>
        </w:tc>
      </w:tr>
      <w:tr>
        <w:tc>
          <w:tcPr>
            <w:tcW w:type="dxa" w:w="465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left"/>
            </w:pPr>
            <w:r>
              <w:rPr>
                <w:b w:val="false"/>
                <w:bCs w:val="false"/>
                <w:sz w:val="20"/>
                <w:szCs w:val="20"/>
              </w:rPr>
              <w:t xml:space="preserve">Pricing &amp; discount trend analysis across platforms</w:t>
            </w:r>
          </w:p>
        </w:tc>
        <w:tc>
          <w:tcPr>
            <w:tcW w:type="dxa" w:w="155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center"/>
            </w:pPr>
            <w:r>
              <w:rPr>
                <w:b w:val="false"/>
                <w:bCs w:val="false"/>
                <w:sz w:val="20"/>
                <w:szCs w:val="20"/>
              </w:rPr>
              <w:t xml:space="preserve">High</w:t>
            </w:r>
          </w:p>
        </w:tc>
        <w:tc>
          <w:tcPr>
            <w:tcW w:type="dxa" w:w="155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center"/>
            </w:pPr>
            <w:r>
              <w:rPr>
                <w:b w:val="false"/>
                <w:bCs w:val="false"/>
                <w:sz w:val="20"/>
                <w:szCs w:val="20"/>
              </w:rPr>
              <w:t xml:space="preserve">Medium</w:t>
            </w:r>
          </w:p>
        </w:tc>
        <w:tc>
          <w:tcPr>
            <w:tcW w:type="dxa" w:w="160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center"/>
            </w:pPr>
            <w:r>
              <w:rPr>
                <w:b w:val="false"/>
                <w:bCs w:val="false"/>
                <w:sz w:val="20"/>
                <w:szCs w:val="20"/>
              </w:rPr>
              <w:t xml:space="preserve">Now</w:t>
            </w:r>
          </w:p>
        </w:tc>
      </w:tr>
      <w:tr>
        <w:tc>
          <w:tcPr>
            <w:tcW w:type="dxa" w:w="465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left"/>
            </w:pPr>
            <w:r>
              <w:rPr>
                <w:b w:val="false"/>
                <w:bCs w:val="false"/>
                <w:sz w:val="20"/>
                <w:szCs w:val="20"/>
              </w:rPr>
              <w:t xml:space="preserve">Restaurant rating vs. order-volume correlation</w:t>
            </w:r>
          </w:p>
        </w:tc>
        <w:tc>
          <w:tcPr>
            <w:tcW w:type="dxa" w:w="155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center"/>
            </w:pPr>
            <w:r>
              <w:rPr>
                <w:b w:val="false"/>
                <w:bCs w:val="false"/>
                <w:sz w:val="20"/>
                <w:szCs w:val="20"/>
              </w:rPr>
              <w:t xml:space="preserve">Medium</w:t>
            </w:r>
          </w:p>
        </w:tc>
        <w:tc>
          <w:tcPr>
            <w:tcW w:type="dxa" w:w="155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center"/>
            </w:pPr>
            <w:r>
              <w:rPr>
                <w:b w:val="false"/>
                <w:bCs w:val="false"/>
                <w:sz w:val="20"/>
                <w:szCs w:val="20"/>
              </w:rPr>
              <w:t xml:space="preserve">High</w:t>
            </w:r>
          </w:p>
        </w:tc>
        <w:tc>
          <w:tcPr>
            <w:tcW w:type="dxa" w:w="160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center"/>
            </w:pPr>
            <w:r>
              <w:rPr>
                <w:b w:val="false"/>
                <w:bCs w:val="false"/>
                <w:sz w:val="20"/>
                <w:szCs w:val="20"/>
              </w:rPr>
              <w:t xml:space="preserve">Next</w:t>
            </w:r>
          </w:p>
        </w:tc>
      </w:tr>
      <w:tr>
        <w:tc>
          <w:tcPr>
            <w:tcW w:type="dxa" w:w="465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left"/>
            </w:pPr>
            <w:r>
              <w:rPr>
                <w:b w:val="false"/>
                <w:bCs w:val="false"/>
                <w:sz w:val="20"/>
                <w:szCs w:val="20"/>
              </w:rPr>
              <w:t xml:space="preserve">Repeat-order / retention trend analysis</w:t>
            </w:r>
          </w:p>
        </w:tc>
        <w:tc>
          <w:tcPr>
            <w:tcW w:type="dxa" w:w="155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center"/>
            </w:pPr>
            <w:r>
              <w:rPr>
                <w:b w:val="false"/>
                <w:bCs w:val="false"/>
                <w:sz w:val="20"/>
                <w:szCs w:val="20"/>
              </w:rPr>
              <w:t xml:space="preserve">Medium</w:t>
            </w:r>
          </w:p>
        </w:tc>
        <w:tc>
          <w:tcPr>
            <w:tcW w:type="dxa" w:w="155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center"/>
            </w:pPr>
            <w:r>
              <w:rPr>
                <w:b w:val="false"/>
                <w:bCs w:val="false"/>
                <w:sz w:val="20"/>
                <w:szCs w:val="20"/>
              </w:rPr>
              <w:t xml:space="preserve">Medium</w:t>
            </w:r>
          </w:p>
        </w:tc>
        <w:tc>
          <w:tcPr>
            <w:tcW w:type="dxa" w:w="160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center"/>
            </w:pPr>
            <w:r>
              <w:rPr>
                <w:b w:val="false"/>
                <w:bCs w:val="false"/>
                <w:sz w:val="20"/>
                <w:szCs w:val="20"/>
              </w:rPr>
              <w:t xml:space="preserve">Next</w:t>
            </w:r>
          </w:p>
        </w:tc>
      </w:tr>
      <w:tr>
        <w:tc>
          <w:tcPr>
            <w:tcW w:type="dxa" w:w="465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left"/>
            </w:pPr>
            <w:r>
              <w:rPr>
                <w:b w:val="false"/>
                <w:bCs w:val="false"/>
                <w:sz w:val="20"/>
                <w:szCs w:val="20"/>
              </w:rPr>
              <w:t xml:space="preserve">Cuisine popularity trends by region</w:t>
            </w:r>
          </w:p>
        </w:tc>
        <w:tc>
          <w:tcPr>
            <w:tcW w:type="dxa" w:w="155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center"/>
            </w:pPr>
            <w:r>
              <w:rPr>
                <w:b w:val="false"/>
                <w:bCs w:val="false"/>
                <w:sz w:val="20"/>
                <w:szCs w:val="20"/>
              </w:rPr>
              <w:t xml:space="preserve">Medium</w:t>
            </w:r>
          </w:p>
        </w:tc>
        <w:tc>
          <w:tcPr>
            <w:tcW w:type="dxa" w:w="155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center"/>
            </w:pPr>
            <w:r>
              <w:rPr>
                <w:b w:val="false"/>
                <w:bCs w:val="false"/>
                <w:sz w:val="20"/>
                <w:szCs w:val="20"/>
              </w:rPr>
              <w:t xml:space="preserve">Medium</w:t>
            </w:r>
          </w:p>
        </w:tc>
        <w:tc>
          <w:tcPr>
            <w:tcW w:type="dxa" w:w="160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center"/>
            </w:pPr>
            <w:r>
              <w:rPr>
                <w:b w:val="false"/>
                <w:bCs w:val="false"/>
                <w:sz w:val="20"/>
                <w:szCs w:val="20"/>
              </w:rPr>
              <w:t xml:space="preserve">Next</w:t>
            </w:r>
          </w:p>
        </w:tc>
      </w:tr>
      <w:tr>
        <w:tc>
          <w:tcPr>
            <w:tcW w:type="dxa" w:w="465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left"/>
            </w:pPr>
            <w:r>
              <w:rPr>
                <w:b w:val="false"/>
                <w:bCs w:val="false"/>
                <w:sz w:val="20"/>
                <w:szCs w:val="20"/>
              </w:rPr>
              <w:t xml:space="preserve">Cancellation &amp; refund trend analysis</w:t>
            </w:r>
          </w:p>
        </w:tc>
        <w:tc>
          <w:tcPr>
            <w:tcW w:type="dxa" w:w="155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center"/>
            </w:pPr>
            <w:r>
              <w:rPr>
                <w:b w:val="false"/>
                <w:bCs w:val="false"/>
                <w:sz w:val="20"/>
                <w:szCs w:val="20"/>
              </w:rPr>
              <w:t xml:space="preserve">Low</w:t>
            </w:r>
          </w:p>
        </w:tc>
        <w:tc>
          <w:tcPr>
            <w:tcW w:type="dxa" w:w="155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center"/>
            </w:pPr>
            <w:r>
              <w:rPr>
                <w:b w:val="false"/>
                <w:bCs w:val="false"/>
                <w:sz w:val="20"/>
                <w:szCs w:val="20"/>
              </w:rPr>
              <w:t xml:space="preserve">Medium</w:t>
            </w:r>
          </w:p>
        </w:tc>
        <w:tc>
          <w:tcPr>
            <w:tcW w:type="dxa" w:w="160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center"/>
            </w:pPr>
            <w:r>
              <w:rPr>
                <w:b w:val="false"/>
                <w:bCs w:val="false"/>
                <w:sz w:val="20"/>
                <w:szCs w:val="20"/>
              </w:rPr>
              <w:t xml:space="preserve">Later</w:t>
            </w:r>
          </w:p>
        </w:tc>
      </w:tr>
      <w:tr>
        <w:tc>
          <w:tcPr>
            <w:tcW w:type="dxa" w:w="465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left"/>
            </w:pPr>
            <w:r>
              <w:rPr>
                <w:b w:val="false"/>
                <w:bCs w:val="false"/>
                <w:sz w:val="20"/>
                <w:szCs w:val="20"/>
              </w:rPr>
              <w:t xml:space="preserve">Sentiment analysis of customer reviews</w:t>
            </w:r>
          </w:p>
        </w:tc>
        <w:tc>
          <w:tcPr>
            <w:tcW w:type="dxa" w:w="155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center"/>
            </w:pPr>
            <w:r>
              <w:rPr>
                <w:b w:val="false"/>
                <w:bCs w:val="false"/>
                <w:sz w:val="20"/>
                <w:szCs w:val="20"/>
              </w:rPr>
              <w:t xml:space="preserve">Low</w:t>
            </w:r>
          </w:p>
        </w:tc>
        <w:tc>
          <w:tcPr>
            <w:tcW w:type="dxa" w:w="155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center"/>
            </w:pPr>
            <w:r>
              <w:rPr>
                <w:b w:val="false"/>
                <w:bCs w:val="false"/>
                <w:sz w:val="20"/>
                <w:szCs w:val="20"/>
              </w:rPr>
              <w:t xml:space="preserve">Low</w:t>
            </w:r>
          </w:p>
        </w:tc>
        <w:tc>
          <w:tcPr>
            <w:tcW w:type="dxa" w:w="1600"/>
            <w:tcBorders>
              <w:top w:val="single" w:color="999999" w:sz="4"/>
              <w:left w:val="single" w:color="999999" w:sz="4"/>
              <w:bottom w:val="single" w:color="999999" w:sz="4"/>
              <w:right w:val="single" w:color="999999" w:sz="4"/>
            </w:tcBorders>
            <w:tcMar>
              <w:top w:type="dxa" w:w="100"/>
              <w:left w:type="dxa" w:w="100"/>
              <w:bottom w:type="dxa" w:w="100"/>
              <w:right w:type="dxa" w:w="100"/>
            </w:tcMar>
            <w:vAlign w:val="center"/>
          </w:tcPr>
          <w:p>
            <w:pPr>
              <w:jc w:val="center"/>
            </w:pPr>
            <w:r>
              <w:rPr>
                <w:b w:val="false"/>
                <w:bCs w:val="false"/>
                <w:sz w:val="20"/>
                <w:szCs w:val="20"/>
              </w:rPr>
              <w:t xml:space="preserve">Later</w:t>
            </w:r>
          </w:p>
        </w:tc>
      </w:tr>
    </w:tbl>
    <w:p>
      <w:pPr>
        <w:spacing w:after="200"/>
      </w:pPr>
    </w:p>
    <w:p>
      <w:pPr>
        <w:spacing w:after="150" w:before="300"/>
      </w:pPr>
      <w:r>
        <w:rPr>
          <w:b/>
          <w:bCs/>
          <w:color w:val="1F3864"/>
          <w:sz w:val="24"/>
          <w:szCs w:val="24"/>
        </w:rPr>
        <w:t xml:space="preserve">Final Selected Ideas</w:t>
      </w:r>
    </w:p>
    <w:p>
      <w:pPr>
        <w:pStyle w:val="ListParagraph"/>
        <w:numPr>
          <w:ilvl w:val="0"/>
          <w:numId w:val="1"/>
        </w:numPr>
        <w:spacing w:after="80"/>
      </w:pPr>
      <w:r>
        <w:t xml:space="preserve">Delivery-time delay pattern analysis by area and time-of-day (addresses PS-1)</w:t>
      </w:r>
    </w:p>
    <w:p>
      <w:pPr>
        <w:pStyle w:val="ListParagraph"/>
        <w:numPr>
          <w:ilvl w:val="0"/>
          <w:numId w:val="1"/>
        </w:numPr>
        <w:spacing w:after="80"/>
      </w:pPr>
      <w:r>
        <w:t xml:space="preserve">Customer segmentation by ordering frequency, spend, and cuisine preference (addresses PS-2)</w:t>
      </w:r>
    </w:p>
    <w:p>
      <w:pPr>
        <w:pStyle w:val="ListParagraph"/>
        <w:numPr>
          <w:ilvl w:val="0"/>
          <w:numId w:val="1"/>
        </w:numPr>
        <w:spacing w:after="80"/>
      </w:pPr>
      <w:r>
        <w:t xml:space="preserve">Pricing and discount trend analysis across platforms (addresses PS-2)</w:t>
      </w:r>
    </w:p>
    <w:p>
      <w:pPr>
        <w:spacing w:after="120"/>
      </w:pPr>
      <w:r>
        <w:rPr>
          <w:i w:val="false"/>
          <w:iCs w:val="false"/>
        </w:rPr>
        <w:t xml:space="preserve">These three ideas were carried forward into the project requirement and design phases as the core analyses to be built into the dashboards.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2026-07-19T17:06:46.368Z</dcterms:created>
  <dcterms:modified xsi:type="dcterms:W3CDTF">2026-07-19T17:06:46.368Z</dcterms:modified>
</cp:coreProperties>
</file>

<file path=docProps/custom.xml><?xml version="1.0" encoding="utf-8"?>
<Properties xmlns="http://schemas.openxmlformats.org/officeDocument/2006/custom-properties" xmlns:vt="http://schemas.openxmlformats.org/officeDocument/2006/docPropsVTypes"/>
</file>