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1F3864"/>
          <w:sz w:val="28"/>
          <w:szCs w:val="28"/>
        </w:rPr>
        <w:t xml:space="preserve">Project Design Phase</w:t>
      </w:r>
    </w:p>
    <w:p>
      <w:pPr>
        <w:spacing w:after="200"/>
      </w:pPr>
      <w:r>
        <w:rPr>
          <w:b/>
          <w:bCs/>
          <w:color w:val="1F3864"/>
          <w:sz w:val="26"/>
          <w:szCs w:val="26"/>
        </w:rPr>
        <w:t xml:space="preserve">Problem - Solution Fit Template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50"/>
      </w:tblGrid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vAlign w:val="center"/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63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15 February 2025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vAlign w:val="center"/>
          </w:tcPr>
          <w:p>
            <w:r>
              <w:rPr>
                <w:b/>
                <w:bCs/>
              </w:rPr>
              <w:t xml:space="preserve">Team ID</w:t>
            </w:r>
          </w:p>
        </w:tc>
        <w:tc>
          <w:tcPr>
            <w:tcW w:type="dxa" w:w="63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PNT2025TMID_FOBCT_01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vAlign w:val="center"/>
          </w:tcPr>
          <w:p>
            <w:r>
              <w:rPr>
                <w:b/>
                <w:bCs/>
              </w:rPr>
              <w:t xml:space="preserve">Project Name</w:t>
            </w:r>
          </w:p>
        </w:tc>
        <w:tc>
          <w:tcPr>
            <w:tcW w:type="dxa" w:w="63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Food Ordering Behaviour and Consumer Trends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vAlign w:val="center"/>
          </w:tcPr>
          <w:p>
            <w:r>
              <w:rPr>
                <w:b/>
                <w:bCs/>
              </w:rPr>
              <w:t xml:space="preserve">Maximum Marks</w:t>
            </w:r>
          </w:p>
        </w:tc>
        <w:tc>
          <w:tcPr>
            <w:tcW w:type="dxa" w:w="63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2 Marks</w:t>
            </w:r>
          </w:p>
        </w:tc>
      </w:tr>
    </w:tbl>
    <w:p>
      <w:pPr>
        <w:spacing w:after="200"/>
      </w:pPr>
    </w:p>
    <w:p>
      <w:pPr>
        <w:spacing w:after="150" w:before="300"/>
      </w:pPr>
      <w:r>
        <w:rPr>
          <w:b/>
          <w:bCs/>
          <w:color w:val="1F3864"/>
          <w:sz w:val="24"/>
          <w:szCs w:val="24"/>
        </w:rPr>
        <w:t xml:space="preserve">Problem - Solution Fit</w:t>
      </w:r>
    </w:p>
    <w:p>
      <w:pPr>
        <w:spacing w:after="120"/>
      </w:pPr>
      <w:r>
        <w:t xml:space="preserve">The canvas below validates that the proposed analytics platform actually addresses the food-ordering customer's real problem - unpredictable delivery times and unclear pricing - rather than a problem the team assumed existed.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16"/>
        <w:gridCol w:w="3116"/>
        <w:gridCol w:w="3116"/>
      </w:tblGrid>
      <w:tr>
        <w:tc>
          <w:tcPr>
            <w:tcW w:type="dxa" w:w="31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hd w:fill="2E75B6" w:val="clear"/>
              <w:spacing w:after="10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1. Customer Segment(s)</w:t>
            </w:r>
          </w:p>
          <w:p>
            <w:pPr>
              <w:spacing w:after="60"/>
            </w:pPr>
            <w:r>
              <w:rPr>
                <w:sz w:val="18"/>
                <w:szCs w:val="18"/>
              </w:rPr>
              <w:t xml:space="preserve">Urban working professionals and students (25-40 yrs) who order food online 3-4 times a week via delivery apps for lunch, dinner, or weekend meals.</w:t>
            </w:r>
          </w:p>
        </w:tc>
        <w:tc>
          <w:tcPr>
            <w:tcW w:type="dxa" w:w="31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hd w:fill="C00000" w:val="clear"/>
              <w:spacing w:after="10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2. Problem / Root Cause</w:t>
            </w:r>
          </w:p>
          <w:p>
            <w:pPr>
              <w:spacing w:after="60"/>
            </w:pPr>
            <w:r>
              <w:rPr>
                <w:sz w:val="18"/>
                <w:szCs w:val="18"/>
              </w:rPr>
              <w:t xml:space="preserve">Delivery times are unpredictable and pricing/fees are unclear, caused by unoptimised prep-time &amp; routing estimates and inconsistent, late-disclosed fee structures.</w:t>
            </w:r>
          </w:p>
        </w:tc>
        <w:tc>
          <w:tcPr>
            <w:tcW w:type="dxa" w:w="31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hd w:fill="BF8F00" w:val="clear"/>
              <w:spacing w:after="10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3. Trigger</w:t>
            </w:r>
          </w:p>
          <w:p>
            <w:pPr>
              <w:spacing w:after="60"/>
            </w:pPr>
            <w:r>
              <w:rPr>
                <w:sz w:val="18"/>
                <w:szCs w:val="18"/>
              </w:rPr>
              <w:t xml:space="preserve">Hunger during a busy workday, no time/energy to cook, social gatherings, or craving a specific cuisine.</w:t>
            </w:r>
          </w:p>
        </w:tc>
      </w:tr>
      <w:tr>
        <w:tc>
          <w:tcPr>
            <w:tcW w:type="dxa" w:w="31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hd w:fill="9C0006" w:val="clear"/>
              <w:spacing w:after="10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4. Emotional Response (Before)</w:t>
            </w:r>
          </w:p>
          <w:p>
            <w:pPr>
              <w:spacing w:after="60"/>
            </w:pPr>
            <w:r>
              <w:rPr>
                <w:sz w:val="18"/>
                <w:szCs w:val="18"/>
              </w:rPr>
              <w:t xml:space="preserve">Frustration when food is late or cold; distrust and anxiety about being overcharged or misled by “discounts”.</w:t>
            </w:r>
          </w:p>
        </w:tc>
        <w:tc>
          <w:tcPr>
            <w:tcW w:type="dxa" w:w="31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hd w:fill="548235" w:val="clear"/>
              <w:spacing w:after="10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5. Existing Alternatives / Current Behaviour</w:t>
            </w:r>
          </w:p>
          <w:p>
            <w:pPr>
              <w:spacing w:after="60"/>
            </w:pPr>
            <w:r>
              <w:rPr>
                <w:sz w:val="18"/>
                <w:szCs w:val="18"/>
              </w:rPr>
              <w:t xml:space="preserve">Manually comparing 2-3 apps before ordering, cooking at home out of frustration, calling the restaurant directly, or switching platforms after a bad experience.</w:t>
            </w:r>
          </w:p>
        </w:tc>
        <w:tc>
          <w:tcPr>
            <w:tcW w:type="dxa" w:w="31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hd w:fill="2E75B6" w:val="clear"/>
              <w:spacing w:after="10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6. Solution</w:t>
            </w:r>
          </w:p>
          <w:p>
            <w:pPr>
              <w:spacing w:after="60"/>
            </w:pPr>
            <w:r>
              <w:rPr>
                <w:sz w:val="18"/>
                <w:szCs w:val="18"/>
              </w:rPr>
              <w:t xml:space="preserve">A consumer-behaviour &amp; trends analytics platform that continuously analyses order, delivery, and pricing data to improve ETA accuracy, surface transparent pricing patterns, and flag recurring delay/fee issues so the business can fix them.</w:t>
            </w:r>
          </w:p>
        </w:tc>
      </w:tr>
      <w:tr>
        <w:tc>
          <w:tcPr>
            <w:tcW w:type="dxa" w:w="31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hd w:fill="375623" w:val="clear"/>
              <w:spacing w:after="10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7. Channels of Behaviour</w:t>
            </w:r>
          </w:p>
          <w:p>
            <w:pPr>
              <w:spacing w:after="60"/>
            </w:pPr>
            <w:r>
              <w:rPr>
                <w:sz w:val="18"/>
                <w:szCs w:val="18"/>
              </w:rPr>
              <w:t xml:space="preserve">In-app order tracking screen, push notifications, email confirmations/reminders, customer support chat, post-order rating prompts.</w:t>
            </w:r>
          </w:p>
        </w:tc>
        <w:tc>
          <w:tcPr>
            <w:tcW w:type="dxa" w:w="31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hd w:fill="BF8F00" w:val="clear"/>
              <w:spacing w:after="10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8. Customer Constraints</w:t>
            </w:r>
          </w:p>
          <w:p>
            <w:pPr>
              <w:spacing w:after="60"/>
            </w:pPr>
            <w:r>
              <w:rPr>
                <w:sz w:val="18"/>
                <w:szCs w:val="18"/>
              </w:rPr>
              <w:t xml:space="preserve">Time: low tolerance for delay/ambiguity.</w:t>
            </w:r>
          </w:p>
          <w:p>
            <w:pPr>
              <w:spacing w:after="60"/>
            </w:pPr>
            <w:r>
              <w:rPr>
                <w:sz w:val="18"/>
                <w:szCs w:val="18"/>
              </w:rPr>
              <w:t xml:space="preserve">Money: sensitive to hidden or surprise fees.</w:t>
            </w:r>
          </w:p>
          <w:p>
            <w:pPr>
              <w:spacing w:after="60"/>
            </w:pPr>
            <w:r>
              <w:rPr>
                <w:sz w:val="18"/>
                <w:szCs w:val="18"/>
              </w:rPr>
              <w:t xml:space="preserve">Trust: reduced after repeated bad experiences; slow to switch back once lost.</w:t>
            </w:r>
          </w:p>
        </w:tc>
        <w:tc>
          <w:tcPr>
            <w:tcW w:type="dxa" w:w="31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hd w:fill="375623" w:val="clear"/>
              <w:spacing w:after="10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9. Emotional Response (After)</w:t>
            </w:r>
          </w:p>
          <w:p>
            <w:pPr>
              <w:spacing w:after="60"/>
            </w:pPr>
            <w:r>
              <w:rPr>
                <w:sz w:val="18"/>
                <w:szCs w:val="18"/>
              </w:rPr>
              <w:t xml:space="preserve">Increased confidence from accurate delivery estimates and upfront pricing, leading to repeat orders, higher ratings, and stronger platform loyalty.</w:t>
            </w:r>
          </w:p>
        </w:tc>
      </w:tr>
    </w:tbl>
    <w:p>
      <w:pPr>
        <w:spacing w:after="200"/>
      </w:pPr>
    </w:p>
    <w:p>
      <w:pPr>
        <w:spacing w:after="150" w:before="300"/>
      </w:pPr>
      <w:r>
        <w:rPr>
          <w:b/>
          <w:bCs/>
          <w:color w:val="1F3864"/>
          <w:sz w:val="24"/>
          <w:szCs w:val="24"/>
        </w:rPr>
        <w:t xml:space="preserve">References</w:t>
      </w:r>
    </w:p>
    <w:p>
      <w:pPr>
        <w:spacing w:after="80"/>
      </w:pPr>
      <w:hyperlink w:history="1" r:id="rId9xelfcaelysqy-a1hcvyv">
        <w:r>
          <w:rPr>
            <w:rStyle w:val="Hyperlink"/>
            <w:color w:val="0563C1"/>
            <w:u w:val="single"/>
          </w:rPr>
          <w:t xml:space="preserve">ideahackers.network - Problem-Solution Fit Canvas</w:t>
        </w:r>
      </w:hyperlink>
    </w:p>
    <w:p>
      <w:pPr>
        <w:spacing w:after="80"/>
      </w:pPr>
      <w:hyperlink w:history="1" r:id="rId3v-6ipt0gbbemh5amv_5g">
        <w:r>
          <w:rPr>
            <w:rStyle w:val="Hyperlink"/>
            <w:color w:val="0563C1"/>
            <w:u w:val="single"/>
          </w:rPr>
          <w:t xml:space="preserve">Medium - Problem-Solution Fit Canvas</w:t>
        </w:r>
      </w:hyperlink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9xelfcaelysqy-a1hcvyv" Type="http://schemas.openxmlformats.org/officeDocument/2006/relationships/hyperlink" Target="https://www.ideahackers.network/problem-solution-fit-canvas/" TargetMode="External"/><Relationship Id="rId3v-6ipt0gbbemh5amv_5g" Type="http://schemas.openxmlformats.org/officeDocument/2006/relationships/hyperlink" Target="https://medium.com/@epicantus/problem-solution-fit-canvas-aa3dd59cb4fe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2026-07-19T17:23:04.298Z</dcterms:created>
  <dcterms:modified xsi:type="dcterms:W3CDTF">2026-07-19T17:23:04.314Z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