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28"/>
          <w:szCs w:val="28"/>
        </w:rPr>
        <w:t xml:space="preserve">Project Design Phase</w:t>
      </w:r>
    </w:p>
    <w:p>
      <w:pPr>
        <w:spacing w:after="200"/>
      </w:pPr>
      <w:r>
        <w:rPr>
          <w:b/>
          <w:bCs/>
          <w:color w:val="1F3864"/>
          <w:sz w:val="26"/>
          <w:szCs w:val="26"/>
        </w:rPr>
        <w:t xml:space="preserve">Proposed Solution Template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15 February 2025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PNT2025TMID_FOBCT_01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Food Ordering Behaviour and Consumer Trends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2 Marks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color w:val="1F3864"/>
          <w:sz w:val="24"/>
          <w:szCs w:val="24"/>
        </w:rPr>
        <w:t xml:space="preserve">Proposed Solution</w:t>
      </w:r>
    </w:p>
    <w:p>
      <w:pPr>
        <w:spacing w:after="120"/>
      </w:pPr>
      <w:r>
        <w:t xml:space="preserve">Project team's proposed solution, filled as per the template below.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500"/>
        <w:gridCol w:w="6000"/>
      </w:tblGrid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S.No.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Problem Statement (Problem to be solved)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Customers ordering food online face unpredictable delivery times and unclear/inconsistent pricing, driven by unoptimised delivery-time estimation and non-transparent fee structures across platforms (PS-1, PS-2).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Idea / Solution description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Food Ordering Behaviour &amp; Consumer Trends Analytics Platform that ingests order, delivery, and pricing data; cleans and aggregates it; analyses delivery-time patterns, customer segments, and pricing trends; and presents actionable dashboards and threshold-based alerts so platform teams can identify and fix recurring delay and pricing-transparency issues before they affect more customers.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Novelty / Uniqueness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Combines three analyses that are usually done separately - delivery-time prediction, customer segmentation, and pricing-trend transparency - in a single connected pipeline, with automated alerts that surface problems proactively rather than relying on customers to complain or churn.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Social Impact / Customer Satisfaction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Improves trust and satisfaction for end customers through more accurate ETAs and transparent pricing; reduces food waste from repeatedly late/cancelled orders; helps smaller restaurants understand and improve their service quality using the same data-driven insights as large platforms.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Business Model (Revenue Model)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SaaS subscription for food-delivery platforms and restaurant chains, tiered by data volume/number of outlets (Basic / Pro / Enterprise); optional pay-per-insight API access for smaller restaurants; premium tier for real-time alerting and predictive ML features.</w:t>
            </w:r>
          </w:p>
        </w:tc>
      </w:tr>
      <w:tr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Scalability of the Solution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Cloud-native, modular architecture (ingestion, processing, analytics, and presentation layers scale independently) allows the platform to expand from a single city/platform to multiple cities, delivery platforms, and languages, and can be adapted to other e-commerce verticals (grocery, pharmacy delivery) with minimal changes.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2026-07-19T17:23:04.360Z</dcterms:created>
  <dcterms:modified xsi:type="dcterms:W3CDTF">2026-07-19T17:23:04.360Z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