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28"/>
          <w:szCs w:val="28"/>
        </w:rPr>
        <w:t xml:space="preserve">Project Design Phase</w:t>
      </w:r>
    </w:p>
    <w:p>
      <w:pPr>
        <w:spacing w:after="200"/>
      </w:pPr>
      <w:r>
        <w:rPr>
          <w:b/>
          <w:bCs/>
          <w:color w:val="1F3864"/>
          <w:sz w:val="26"/>
          <w:szCs w:val="26"/>
        </w:rPr>
        <w:t xml:space="preserve">Solution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PNT2025TMID_FOBCT_01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Food Ordering Behaviour and Consumer Trends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Solution Architecture</w:t>
      </w:r>
    </w:p>
    <w:p>
      <w:pPr>
        <w:spacing w:after="120"/>
      </w:pPr>
      <w:r>
        <w:t xml:space="preserve">Solution architecture is a complex process - with many sub-processes -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specifications according to which the solution is defined, managed, and delivered.</w:t>
      </w:r>
    </w:p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Solution Architecture Diagram</w:t>
      </w:r>
    </w:p>
    <w:p>
      <w:pPr>
        <w:spacing w:after="150"/>
        <w:jc w:val="center"/>
      </w:pPr>
      <w:r>
        <w:drawing>
          <wp:inline distT="0" distB="0" distL="0" distR="0">
            <wp:extent cx="3619500" cy="705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sz w:val="18"/>
          <w:szCs w:val="18"/>
        </w:rPr>
        <w:t xml:space="preserve">Figure 1: Architecture and data flow of the Food Ordering Behaviour &amp; Consumer Trends Analytics Platform</w:t>
      </w:r>
    </w:p>
    <w:p>
      <w:pPr>
        <w:spacing w:after="100" w:before="220"/>
      </w:pPr>
      <w:r>
        <w:rPr>
          <w:b/>
          <w:bCs/>
          <w:color w:val="1F3864"/>
          <w:sz w:val="21"/>
          <w:szCs w:val="21"/>
        </w:rPr>
        <w:t xml:space="preserve">Flow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Order, delivery, pricing, and rating data flow from the Food Delivery Platform into the system via batch upload (API Gateway) or a near real-time stream (Kinesis Data Streams).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Glue / Lambda cleans, validates, and transforms incoming records before writing processed data to an Amazon S3 data lake and Amazon Redshift / RDS data warehouse.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Amazon SageMaker reads warehouse data to train and run models for delivery-time prediction and customer segmentation.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Dashboard UI (Amazon QuickSight or a custom React app backed by an API) reads aggregated metrics and model outputs to render interactive trend dashboards for Business Analysts and Administrators.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CloudWatch continuously monitors pipeline metrics and model anomaly scores; when a threshold is breached (e.g. delivery delay spike in a zone), SNS pushes an email/in-app alert to the analyst.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IAM roles and KMS-managed encryption keys enforce access control and protect data at rest and in transit across every layer.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033502999d61b430f65f1708432230e0b27c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2026-07-19T17:23:04.589Z</dcterms:created>
  <dcterms:modified xsi:type="dcterms:W3CDTF">2026-07-19T17:23:04.589Z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