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Student Electric Racing Vehicle using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Student Electric Racing Vehicle for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Gross Vehicle Mass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From the Drive Cycle data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1.8585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0.2286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 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540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distance (One Lap)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0.825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of laps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