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4E79"/>
          <w:sz w:val="44"/>
          <w:szCs w:val="44"/>
        </w:rPr>
        <w:t xml:space="preserve">INTERNSHIP PROJECT REPORT</w:t>
      </w:r>
    </w:p>
    <w:p>
      <w:pPr>
        <w:pBdr>
          <w:bottom w:val="single" w:color="2E75B6" w:sz="10" w:space="10"/>
        </w:pBdr>
        <w:spacing w:after="480"/>
        <w:jc w:val="center"/>
      </w:pPr>
      <w:r>
        <w:rPr>
          <w:sz w:val="2"/>
          <w:szCs w:val="2"/>
        </w:rPr>
        <w:t xml:space="preserve"/>
      </w:r>
    </w:p>
    <w:p>
      <w:pPr>
        <w:spacing w:after="160"/>
      </w:pPr>
      <w:r>
        <w:t xml:space="preserve"/>
      </w:r>
    </w:p>
    <w:p>
      <w:pPr>
        <w:spacing w:after="100" w:before="0"/>
        <w:jc w:val="center"/>
      </w:pPr>
      <w:r>
        <w:rPr>
          <w:rFonts w:ascii="Arial" w:cs="Arial" w:eastAsia="Arial" w:hAnsi="Arial"/>
          <w:b/>
          <w:bCs/>
          <w:color w:val="1F4E79"/>
          <w:sz w:val="56"/>
          <w:szCs w:val="56"/>
        </w:rPr>
        <w:t xml:space="preserve">Jal Sanchay Tracker</w:t>
      </w:r>
    </w:p>
    <w:p>
      <w:pPr>
        <w:spacing w:after="500" w:before="0"/>
        <w:jc w:val="center"/>
      </w:pPr>
      <w:r>
        <w:rPr>
          <w:rFonts w:ascii="Times New Roman" w:cs="Times New Roman" w:eastAsia="Times New Roman" w:hAnsi="Times New Roman"/>
          <w:i/>
          <w:iCs/>
          <w:color w:val="555555"/>
          <w:sz w:val="28"/>
          <w:szCs w:val="28"/>
        </w:rPr>
        <w:t xml:space="preserve">An Android Application for Rainwater Harvesting and Sustainability Tracking</w:t>
      </w:r>
    </w:p>
    <w:p>
      <w:pPr>
        <w:spacing w:after="80" w:before="0"/>
        <w:jc w:val="center"/>
      </w:pPr>
      <w:r>
        <w:rPr>
          <w:rFonts w:ascii="Times New Roman" w:cs="Times New Roman" w:eastAsia="Times New Roman" w:hAnsi="Times New Roman"/>
          <w:sz w:val="24"/>
          <w:szCs w:val="24"/>
        </w:rPr>
        <w:t xml:space="preserve">Submitted in partial fulfilment of the requirements for the</w:t>
      </w:r>
    </w:p>
    <w:p>
      <w:pPr>
        <w:spacing w:after="500" w:before="0"/>
        <w:jc w:val="center"/>
      </w:pPr>
      <w:r>
        <w:rPr>
          <w:rFonts w:ascii="Times New Roman" w:cs="Times New Roman" w:eastAsia="Times New Roman" w:hAnsi="Times New Roman"/>
          <w:b/>
          <w:bCs/>
          <w:sz w:val="26"/>
          <w:szCs w:val="26"/>
        </w:rPr>
        <w:t xml:space="preserve">Bachelor of Engineering — Information Science and Engineering</w:t>
      </w:r>
    </w:p>
    <w:p>
      <w:pPr>
        <w:spacing w:after="60" w:before="0"/>
        <w:jc w:val="center"/>
      </w:pPr>
      <w:r>
        <w:rPr>
          <w:rFonts w:ascii="Arial" w:cs="Arial" w:eastAsia="Arial" w:hAnsi="Arial"/>
          <w:b/>
          <w:bCs/>
          <w:color w:val="2E75B6"/>
          <w:sz w:val="22"/>
          <w:szCs w:val="22"/>
        </w:rPr>
        <w:t xml:space="preserve">Internship Organisation</w:t>
      </w:r>
    </w:p>
    <w:p>
      <w:pPr>
        <w:spacing w:after="60" w:before="0"/>
        <w:jc w:val="center"/>
      </w:pPr>
      <w:r>
        <w:rPr>
          <w:rFonts w:ascii="Arial" w:cs="Arial" w:eastAsia="Arial" w:hAnsi="Arial"/>
          <w:b/>
          <w:bCs/>
          <w:color w:val="1F4E79"/>
          <w:sz w:val="32"/>
          <w:szCs w:val="32"/>
        </w:rPr>
        <w:t xml:space="preserve">MindMatrix.io</w:t>
      </w:r>
    </w:p>
    <w:p>
      <w:pPr>
        <w:spacing w:after="60" w:before="0"/>
        <w:jc w:val="center"/>
      </w:pPr>
      <w:r>
        <w:rPr>
          <w:rFonts w:ascii="Times New Roman" w:cs="Times New Roman" w:eastAsia="Times New Roman" w:hAnsi="Times New Roman"/>
          <w:sz w:val="22"/>
          <w:szCs w:val="22"/>
        </w:rPr>
        <w:t xml:space="preserve">Kiran Arcade, 4th Floor, Sector 1, HSR Layout, Bengaluru, Karnataka</w:t>
      </w:r>
    </w:p>
    <w:p>
      <w:pPr>
        <w:spacing w:after="60" w:before="0"/>
        <w:jc w:val="center"/>
      </w:pPr>
      <w:r>
        <w:rPr>
          <w:rFonts w:ascii="Times New Roman" w:cs="Times New Roman" w:eastAsia="Times New Roman" w:hAnsi="Times New Roman"/>
          <w:i/>
          <w:iCs/>
          <w:color w:val="555555"/>
          <w:sz w:val="22"/>
          <w:szCs w:val="22"/>
        </w:rPr>
        <w:t xml:space="preserve">Programme: Android App Development Using Generative AI</w:t>
      </w:r>
    </w:p>
    <w:p>
      <w:pPr>
        <w:spacing w:after="320"/>
      </w:pPr>
      <w:r>
        <w:t xml:space="preserve"/>
      </w:r>
    </w:p>
    <w:p>
      <w:pPr>
        <w:spacing w:after="60" w:before="0"/>
        <w:jc w:val="center"/>
      </w:pPr>
      <w:r>
        <w:rPr>
          <w:rFonts w:ascii="Arial" w:cs="Arial" w:eastAsia="Arial" w:hAnsi="Arial"/>
          <w:b/>
          <w:bCs/>
          <w:color w:val="1F4E79"/>
          <w:sz w:val="24"/>
          <w:szCs w:val="24"/>
        </w:rPr>
        <w:t xml:space="preserve">JSS Academy of Technical Education, Bengaluru (JSSATEB)</w:t>
      </w:r>
    </w:p>
    <w:p>
      <w:pPr>
        <w:spacing w:after="60" w:before="0"/>
        <w:jc w:val="center"/>
      </w:pPr>
      <w:r>
        <w:rPr>
          <w:rFonts w:ascii="Arial" w:cs="Arial" w:eastAsia="Arial" w:hAnsi="Arial"/>
          <w:sz w:val="22"/>
          <w:szCs w:val="22"/>
        </w:rPr>
        <w:t xml:space="preserve">Department of Information Science and Engineering</w:t>
      </w:r>
    </w:p>
    <w:p>
      <w:pPr>
        <w:spacing w:after="60" w:before="0"/>
        <w:jc w:val="center"/>
      </w:pPr>
      <w:r>
        <w:rPr>
          <w:rFonts w:ascii="Arial" w:cs="Arial" w:eastAsia="Arial" w:hAnsi="Arial"/>
          <w:sz w:val="22"/>
          <w:szCs w:val="22"/>
        </w:rPr>
        <w:t xml:space="preserve">Academic Year 2024–25</w:t>
      </w:r>
    </w:p>
    <w:p>
      <w:r>
        <w:br w:type="page"/>
      </w:r>
    </w:p>
    <w:p>
      <w:pPr>
        <w:pBdr>
          <w:bottom w:val="single" w:color="2E75B6" w:sz="8" w:space="8"/>
        </w:pBdr>
        <w:spacing w:after="400" w:before="0"/>
        <w:jc w:val="center"/>
      </w:pPr>
      <w:r>
        <w:rPr>
          <w:rFonts w:ascii="Arial" w:cs="Arial" w:eastAsia="Arial" w:hAnsi="Arial"/>
          <w:b/>
          <w:bCs/>
          <w:color w:val="1F4E79"/>
          <w:sz w:val="36"/>
          <w:szCs w:val="36"/>
        </w:rPr>
        <w:t xml:space="preserve">TABLE OF CONTENTS</w:t>
      </w:r>
    </w:p>
    <w:p>
      <w:pPr>
        <w:tabs>
          <w:tab w:val="right" w:pos="9600" w:leader="dot"/>
        </w:tabs>
        <w:spacing w:after="60" w:before="180"/>
      </w:pPr>
      <w:r>
        <w:rPr>
          <w:rFonts w:ascii="Arial" w:cs="Arial" w:eastAsia="Arial" w:hAnsi="Arial"/>
          <w:b/>
          <w:bCs/>
          <w:color w:val="1F4E79"/>
          <w:sz w:val="24"/>
          <w:szCs w:val="24"/>
        </w:rPr>
        <w:t xml:space="preserve">About the Organisation</w:t>
      </w:r>
      <w:r>
        <w:rPr>
          <w:rFonts w:ascii="Arial" w:cs="Arial" w:eastAsia="Arial" w:hAnsi="Arial"/>
          <w:b/>
          <w:bCs/>
          <w:color w:val="1F4E79"/>
          <w:sz w:val="24"/>
          <w:szCs w:val="24"/>
        </w:rPr>
        <w:t xml:space="preserve">	1</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Background and Overview of MindMatrix.io</w:t>
      </w:r>
      <w:r>
        <w:rPr>
          <w:rFonts w:ascii="Times New Roman" w:cs="Times New Roman" w:eastAsia="Times New Roman" w:hAnsi="Times New Roman"/>
          <w:color w:val="555555"/>
          <w:sz w:val="22"/>
          <w:szCs w:val="22"/>
        </w:rPr>
        <w:t xml:space="preserve">	1</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Vision and Mission</w:t>
      </w:r>
      <w:r>
        <w:rPr>
          <w:rFonts w:ascii="Times New Roman" w:cs="Times New Roman" w:eastAsia="Times New Roman" w:hAnsi="Times New Roman"/>
          <w:color w:val="555555"/>
          <w:sz w:val="22"/>
          <w:szCs w:val="22"/>
        </w:rPr>
        <w:t xml:space="preserve">	2</w:t>
      </w:r>
    </w:p>
    <w:p>
      <w:pPr>
        <w:tabs>
          <w:tab w:val="right" w:pos="9600" w:leader="dot"/>
        </w:tabs>
        <w:spacing w:after="40" w:before="40"/>
        <w:ind w:left="900"/>
      </w:pPr>
      <w:r>
        <w:rPr>
          <w:rFonts w:ascii="Times New Roman" w:cs="Times New Roman" w:eastAsia="Times New Roman" w:hAnsi="Times New Roman"/>
          <w:color w:val="555555"/>
          <w:sz w:val="20"/>
          <w:szCs w:val="20"/>
        </w:rPr>
        <w:t xml:space="preserve">Vision</w:t>
      </w:r>
      <w:r>
        <w:rPr>
          <w:rFonts w:ascii="Times New Roman" w:cs="Times New Roman" w:eastAsia="Times New Roman" w:hAnsi="Times New Roman"/>
          <w:color w:val="777777"/>
          <w:sz w:val="20"/>
          <w:szCs w:val="20"/>
        </w:rPr>
        <w:t xml:space="preserve">	2</w:t>
      </w:r>
    </w:p>
    <w:p>
      <w:pPr>
        <w:tabs>
          <w:tab w:val="right" w:pos="9600" w:leader="dot"/>
        </w:tabs>
        <w:spacing w:after="40" w:before="40"/>
        <w:ind w:left="900"/>
      </w:pPr>
      <w:r>
        <w:rPr>
          <w:rFonts w:ascii="Times New Roman" w:cs="Times New Roman" w:eastAsia="Times New Roman" w:hAnsi="Times New Roman"/>
          <w:color w:val="555555"/>
          <w:sz w:val="20"/>
          <w:szCs w:val="20"/>
        </w:rPr>
        <w:t xml:space="preserve">Mission</w:t>
      </w:r>
      <w:r>
        <w:rPr>
          <w:rFonts w:ascii="Times New Roman" w:cs="Times New Roman" w:eastAsia="Times New Roman" w:hAnsi="Times New Roman"/>
          <w:color w:val="777777"/>
          <w:sz w:val="20"/>
          <w:szCs w:val="20"/>
        </w:rPr>
        <w:t xml:space="preserve">	2</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Core Values</w:t>
      </w:r>
      <w:r>
        <w:rPr>
          <w:rFonts w:ascii="Times New Roman" w:cs="Times New Roman" w:eastAsia="Times New Roman" w:hAnsi="Times New Roman"/>
          <w:color w:val="555555"/>
          <w:sz w:val="22"/>
          <w:szCs w:val="22"/>
        </w:rPr>
        <w:t xml:space="preserve">	2</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Organisational Milestones</w:t>
      </w:r>
      <w:r>
        <w:rPr>
          <w:rFonts w:ascii="Times New Roman" w:cs="Times New Roman" w:eastAsia="Times New Roman" w:hAnsi="Times New Roman"/>
          <w:color w:val="555555"/>
          <w:sz w:val="22"/>
          <w:szCs w:val="22"/>
        </w:rPr>
        <w:t xml:space="preserve">	3</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Scale and Impact</w:t>
      </w:r>
      <w:r>
        <w:rPr>
          <w:rFonts w:ascii="Times New Roman" w:cs="Times New Roman" w:eastAsia="Times New Roman" w:hAnsi="Times New Roman"/>
          <w:color w:val="555555"/>
          <w:sz w:val="22"/>
          <w:szCs w:val="22"/>
        </w:rPr>
        <w:t xml:space="preserve">	3</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The 7P Framework</w:t>
      </w:r>
      <w:r>
        <w:rPr>
          <w:rFonts w:ascii="Times New Roman" w:cs="Times New Roman" w:eastAsia="Times New Roman" w:hAnsi="Times New Roman"/>
          <w:color w:val="555555"/>
          <w:sz w:val="22"/>
          <w:szCs w:val="22"/>
        </w:rPr>
        <w:t xml:space="preserve">	4</w:t>
      </w:r>
    </w:p>
    <w:p>
      <w:pPr>
        <w:tabs>
          <w:tab w:val="right" w:pos="9600" w:leader="dot"/>
        </w:tabs>
        <w:spacing w:after="60" w:before="180"/>
      </w:pPr>
      <w:r>
        <w:rPr>
          <w:rFonts w:ascii="Arial" w:cs="Arial" w:eastAsia="Arial" w:hAnsi="Arial"/>
          <w:b/>
          <w:bCs/>
          <w:color w:val="1F4E79"/>
          <w:sz w:val="24"/>
          <w:szCs w:val="24"/>
        </w:rPr>
        <w:t xml:space="preserve">Objective of Internship</w:t>
      </w:r>
      <w:r>
        <w:rPr>
          <w:rFonts w:ascii="Arial" w:cs="Arial" w:eastAsia="Arial" w:hAnsi="Arial"/>
          <w:b/>
          <w:bCs/>
          <w:color w:val="1F4E79"/>
          <w:sz w:val="24"/>
          <w:szCs w:val="24"/>
        </w:rPr>
        <w:t xml:space="preserve">	5</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Primary Objectives</w:t>
      </w:r>
      <w:r>
        <w:rPr>
          <w:rFonts w:ascii="Times New Roman" w:cs="Times New Roman" w:eastAsia="Times New Roman" w:hAnsi="Times New Roman"/>
          <w:color w:val="555555"/>
          <w:sz w:val="22"/>
          <w:szCs w:val="22"/>
        </w:rPr>
        <w:t xml:space="preserve">	5</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Secondary Objectives</w:t>
      </w:r>
      <w:r>
        <w:rPr>
          <w:rFonts w:ascii="Times New Roman" w:cs="Times New Roman" w:eastAsia="Times New Roman" w:hAnsi="Times New Roman"/>
          <w:color w:val="555555"/>
          <w:sz w:val="22"/>
          <w:szCs w:val="22"/>
        </w:rPr>
        <w:t xml:space="preserve">	6</w:t>
      </w:r>
    </w:p>
    <w:p>
      <w:pPr>
        <w:tabs>
          <w:tab w:val="right" w:pos="9600" w:leader="dot"/>
        </w:tabs>
        <w:spacing w:after="60" w:before="180"/>
      </w:pPr>
      <w:r>
        <w:rPr>
          <w:rFonts w:ascii="Arial" w:cs="Arial" w:eastAsia="Arial" w:hAnsi="Arial"/>
          <w:b/>
          <w:bCs/>
          <w:color w:val="1F4E79"/>
          <w:sz w:val="24"/>
          <w:szCs w:val="24"/>
        </w:rPr>
        <w:t xml:space="preserve">Learning Experiences</w:t>
      </w:r>
      <w:r>
        <w:rPr>
          <w:rFonts w:ascii="Arial" w:cs="Arial" w:eastAsia="Arial" w:hAnsi="Arial"/>
          <w:b/>
          <w:bCs/>
          <w:color w:val="1F4E79"/>
          <w:sz w:val="24"/>
          <w:szCs w:val="24"/>
        </w:rPr>
        <w:t xml:space="preserve">	7</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Understanding Modular Application Architecture</w:t>
      </w:r>
      <w:r>
        <w:rPr>
          <w:rFonts w:ascii="Times New Roman" w:cs="Times New Roman" w:eastAsia="Times New Roman" w:hAnsi="Times New Roman"/>
          <w:color w:val="555555"/>
          <w:sz w:val="22"/>
          <w:szCs w:val="22"/>
        </w:rPr>
        <w:t xml:space="preserve">	7</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The Importance of Base Data Quality</w:t>
      </w:r>
      <w:r>
        <w:rPr>
          <w:rFonts w:ascii="Times New Roman" w:cs="Times New Roman" w:eastAsia="Times New Roman" w:hAnsi="Times New Roman"/>
          <w:color w:val="555555"/>
          <w:sz w:val="22"/>
          <w:szCs w:val="22"/>
        </w:rPr>
        <w:t xml:space="preserve">	8</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Data Flow Across Application Layers</w:t>
      </w:r>
      <w:r>
        <w:rPr>
          <w:rFonts w:ascii="Times New Roman" w:cs="Times New Roman" w:eastAsia="Times New Roman" w:hAnsi="Times New Roman"/>
          <w:color w:val="555555"/>
          <w:sz w:val="22"/>
          <w:szCs w:val="22"/>
        </w:rPr>
        <w:t xml:space="preserve">	9</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Data Integrity and Validation Logic</w:t>
      </w:r>
      <w:r>
        <w:rPr>
          <w:rFonts w:ascii="Times New Roman" w:cs="Times New Roman" w:eastAsia="Times New Roman" w:hAnsi="Times New Roman"/>
          <w:color w:val="555555"/>
          <w:sz w:val="22"/>
          <w:szCs w:val="22"/>
        </w:rPr>
        <w:t xml:space="preserve">	10</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Data Aggregation and Reporting</w:t>
      </w:r>
      <w:r>
        <w:rPr>
          <w:rFonts w:ascii="Times New Roman" w:cs="Times New Roman" w:eastAsia="Times New Roman" w:hAnsi="Times New Roman"/>
          <w:color w:val="555555"/>
          <w:sz w:val="22"/>
          <w:szCs w:val="22"/>
        </w:rPr>
        <w:t xml:space="preserve">	11</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Product Consistency — The Score Inconsistency Problem</w:t>
      </w:r>
      <w:r>
        <w:rPr>
          <w:rFonts w:ascii="Times New Roman" w:cs="Times New Roman" w:eastAsia="Times New Roman" w:hAnsi="Times New Roman"/>
          <w:color w:val="555555"/>
          <w:sz w:val="22"/>
          <w:szCs w:val="22"/>
        </w:rPr>
        <w:t xml:space="preserve">	12</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MVVM and Separation of Concerns</w:t>
      </w:r>
      <w:r>
        <w:rPr>
          <w:rFonts w:ascii="Times New Roman" w:cs="Times New Roman" w:eastAsia="Times New Roman" w:hAnsi="Times New Roman"/>
          <w:color w:val="555555"/>
          <w:sz w:val="22"/>
          <w:szCs w:val="22"/>
        </w:rPr>
        <w:t xml:space="preserve">	13</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The AI Advisor Module and Deterministic Recommendation Logic</w:t>
      </w:r>
      <w:r>
        <w:rPr>
          <w:rFonts w:ascii="Times New Roman" w:cs="Times New Roman" w:eastAsia="Times New Roman" w:hAnsi="Times New Roman"/>
          <w:color w:val="555555"/>
          <w:sz w:val="22"/>
          <w:szCs w:val="22"/>
        </w:rPr>
        <w:t xml:space="preserve">	14</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Weather Integration as a Supporting Feature</w:t>
      </w:r>
      <w:r>
        <w:rPr>
          <w:rFonts w:ascii="Times New Roman" w:cs="Times New Roman" w:eastAsia="Times New Roman" w:hAnsi="Times New Roman"/>
          <w:color w:val="555555"/>
          <w:sz w:val="22"/>
          <w:szCs w:val="22"/>
        </w:rPr>
        <w:t xml:space="preserve">	14</w:t>
      </w:r>
    </w:p>
    <w:p>
      <w:pPr>
        <w:tabs>
          <w:tab w:val="right" w:pos="9600" w:leader="dot"/>
        </w:tabs>
        <w:spacing w:after="60" w:before="180"/>
      </w:pPr>
      <w:r>
        <w:rPr>
          <w:rFonts w:ascii="Arial" w:cs="Arial" w:eastAsia="Arial" w:hAnsi="Arial"/>
          <w:b/>
          <w:bCs/>
          <w:color w:val="1F4E79"/>
          <w:sz w:val="24"/>
          <w:szCs w:val="24"/>
        </w:rPr>
        <w:t xml:space="preserve">Learning Outcomes</w:t>
      </w:r>
      <w:r>
        <w:rPr>
          <w:rFonts w:ascii="Arial" w:cs="Arial" w:eastAsia="Arial" w:hAnsi="Arial"/>
          <w:b/>
          <w:bCs/>
          <w:color w:val="1F4E79"/>
          <w:sz w:val="24"/>
          <w:szCs w:val="24"/>
        </w:rPr>
        <w:t xml:space="preserve">	15</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Technical Outcomes</w:t>
      </w:r>
      <w:r>
        <w:rPr>
          <w:rFonts w:ascii="Times New Roman" w:cs="Times New Roman" w:eastAsia="Times New Roman" w:hAnsi="Times New Roman"/>
          <w:color w:val="555555"/>
          <w:sz w:val="22"/>
          <w:szCs w:val="22"/>
        </w:rPr>
        <w:t xml:space="preserve">	15</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Professional Outcomes</w:t>
      </w:r>
      <w:r>
        <w:rPr>
          <w:rFonts w:ascii="Times New Roman" w:cs="Times New Roman" w:eastAsia="Times New Roman" w:hAnsi="Times New Roman"/>
          <w:color w:val="555555"/>
          <w:sz w:val="22"/>
          <w:szCs w:val="22"/>
        </w:rPr>
        <w:t xml:space="preserve">	17</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Alignment with MindMatrix.io's 7P Framework</w:t>
      </w:r>
      <w:r>
        <w:rPr>
          <w:rFonts w:ascii="Times New Roman" w:cs="Times New Roman" w:eastAsia="Times New Roman" w:hAnsi="Times New Roman"/>
          <w:color w:val="555555"/>
          <w:sz w:val="22"/>
          <w:szCs w:val="22"/>
        </w:rPr>
        <w:t xml:space="preserve">	18</w:t>
      </w:r>
    </w:p>
    <w:p>
      <w:pPr>
        <w:tabs>
          <w:tab w:val="right" w:pos="9600" w:leader="dot"/>
        </w:tabs>
        <w:spacing w:after="60" w:before="180"/>
      </w:pPr>
      <w:r>
        <w:rPr>
          <w:rFonts w:ascii="Arial" w:cs="Arial" w:eastAsia="Arial" w:hAnsi="Arial"/>
          <w:b/>
          <w:bCs/>
          <w:color w:val="1F4E79"/>
          <w:sz w:val="24"/>
          <w:szCs w:val="24"/>
        </w:rPr>
        <w:t xml:space="preserve">Conclusion / Summary</w:t>
      </w:r>
      <w:r>
        <w:rPr>
          <w:rFonts w:ascii="Arial" w:cs="Arial" w:eastAsia="Arial" w:hAnsi="Arial"/>
          <w:b/>
          <w:bCs/>
          <w:color w:val="1F4E79"/>
          <w:sz w:val="24"/>
          <w:szCs w:val="24"/>
        </w:rPr>
        <w:t xml:space="preserve">	19</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Summary of Work Done</w:t>
      </w:r>
      <w:r>
        <w:rPr>
          <w:rFonts w:ascii="Times New Roman" w:cs="Times New Roman" w:eastAsia="Times New Roman" w:hAnsi="Times New Roman"/>
          <w:color w:val="555555"/>
          <w:sz w:val="22"/>
          <w:szCs w:val="22"/>
        </w:rPr>
        <w:t xml:space="preserve">	19</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Key Takeaways</w:t>
      </w:r>
      <w:r>
        <w:rPr>
          <w:rFonts w:ascii="Times New Roman" w:cs="Times New Roman" w:eastAsia="Times New Roman" w:hAnsi="Times New Roman"/>
          <w:color w:val="555555"/>
          <w:sz w:val="22"/>
          <w:szCs w:val="22"/>
        </w:rPr>
        <w:t xml:space="preserve">	20</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Future Scope</w:t>
      </w:r>
      <w:r>
        <w:rPr>
          <w:rFonts w:ascii="Times New Roman" w:cs="Times New Roman" w:eastAsia="Times New Roman" w:hAnsi="Times New Roman"/>
          <w:color w:val="555555"/>
          <w:sz w:val="22"/>
          <w:szCs w:val="22"/>
        </w:rPr>
        <w:t xml:space="preserve">	21</w:t>
      </w:r>
    </w:p>
    <w:p>
      <w:pPr>
        <w:tabs>
          <w:tab w:val="right" w:pos="9600" w:leader="dot"/>
        </w:tabs>
        <w:spacing w:after="60" w:before="60"/>
        <w:ind w:left="480"/>
      </w:pPr>
      <w:r>
        <w:rPr>
          <w:rFonts w:ascii="Times New Roman" w:cs="Times New Roman" w:eastAsia="Times New Roman" w:hAnsi="Times New Roman"/>
          <w:color w:val="333333"/>
          <w:sz w:val="22"/>
          <w:szCs w:val="22"/>
        </w:rPr>
        <w:t xml:space="preserve">Final Reflection</w:t>
      </w:r>
      <w:r>
        <w:rPr>
          <w:rFonts w:ascii="Times New Roman" w:cs="Times New Roman" w:eastAsia="Times New Roman" w:hAnsi="Times New Roman"/>
          <w:color w:val="555555"/>
          <w:sz w:val="22"/>
          <w:szCs w:val="22"/>
        </w:rPr>
        <w:t xml:space="preserve">	22</w:t>
      </w:r>
    </w:p>
    <w:p>
      <w:pPr>
        <w:sectPr>
          <w:pgSz w:w="11906" w:h="16838" w:orient="portrait"/>
          <w:pgMar w:top="1080" w:right="1080" w:bottom="1080" w:left="1080" w:header="708" w:footer="708" w:gutter="0"/>
          <w:pgNumType w:start="0" w:fmt="decimal"/>
          <w:docGrid w:linePitch="360"/>
        </w:sectPr>
      </w:pPr>
    </w:p>
    <w:p>
      <w:pPr>
        <w:pStyle w:val="Heading1"/>
        <w:pBdr>
          <w:bottom w:val="single" w:color="2E75B6" w:sz="8" w:space="6"/>
        </w:pBdr>
        <w:spacing w:after="100" w:before="240"/>
      </w:pPr>
      <w:r>
        <w:rPr>
          <w:rFonts w:ascii="Arial" w:cs="Arial" w:eastAsia="Arial" w:hAnsi="Arial"/>
          <w:b/>
          <w:bCs/>
          <w:color w:val="1F4E79"/>
          <w:sz w:val="32"/>
          <w:szCs w:val="32"/>
        </w:rPr>
        <w:t xml:space="preserve">About the Organisation</w:t>
      </w:r>
    </w:p>
    <w:p>
      <w:pPr>
        <w:pStyle w:val="Heading2"/>
        <w:spacing w:after="80" w:before="200"/>
      </w:pPr>
      <w:r>
        <w:rPr>
          <w:rFonts w:ascii="Arial" w:cs="Arial" w:eastAsia="Arial" w:hAnsi="Arial"/>
          <w:b/>
          <w:bCs/>
          <w:color w:val="2E75B6"/>
          <w:sz w:val="26"/>
          <w:szCs w:val="26"/>
        </w:rPr>
        <w:t xml:space="preserve">Background and Overview of MindMatrix.io</w:t>
      </w:r>
    </w:p>
    <w:p>
      <w:pPr>
        <w:spacing w:after="100" w:before="60" w:line="340"/>
        <w:jc w:val="both"/>
      </w:pPr>
      <w:r>
        <w:rPr>
          <w:rFonts w:ascii="Times New Roman" w:cs="Times New Roman" w:eastAsia="Times New Roman" w:hAnsi="Times New Roman"/>
          <w:sz w:val="24"/>
          <w:szCs w:val="24"/>
        </w:rPr>
        <w:t xml:space="preserve">MindMatrix.io is a Bengaluru-based education technology organisation that operates at the active boundary between academia and industry. Founded in 2018, it was built on a conviction that is increasingly validated by the Indian jobs market: the gap between what engineering colleges teach and what industry actually needs is not a minor calibration problem but a structural failure that requires a dedicated, well-resourced institutional response. MindMatrix.io exists to be that response. Its headquarters at Kiran Arcade, 4th Floor, Sector 1, HSR Layout, Bengaluru, places it at the heart of one of India's most vibrant technology ecosystems — a deliberate choice that gives it direct, ongoing access to the companies, practitioners, and emerging technology trends that shape its curriculum.</w:t>
      </w:r>
    </w:p>
    <w:p>
      <w:pPr>
        <w:spacing w:after="100" w:before="60" w:line="340"/>
        <w:jc w:val="both"/>
      </w:pPr>
      <w:r>
        <w:rPr>
          <w:rFonts w:ascii="Times New Roman" w:cs="Times New Roman" w:eastAsia="Times New Roman" w:hAnsi="Times New Roman"/>
          <w:sz w:val="24"/>
          <w:szCs w:val="24"/>
        </w:rPr>
        <w:t xml:space="preserve">The organisation operates a dedicated Learning Management System at lms.mindmatrix.io, which serves as the central digital platform for its internship programmes, skill development tracks, and assessment infrastructure. Students and institutions can contact MindMatrix.io at contact@mindmatrix.io or by telephone at +91 96115 46444 and +91 80 49748471. Since its founding, the organisation has grown from a single programme serving a small cohort of early adopters into a platform that has trained over 10,000 students, engaged more than 150 partner institutions, and built relationships with more than 500 industry partners — a scale that reflects sustained, compounding investment in the quality and relevance of its educational model.</w:t>
      </w:r>
    </w:p>
    <w:p>
      <w:pPr>
        <w:pStyle w:val="Heading2"/>
        <w:spacing w:after="80" w:before="200"/>
      </w:pPr>
      <w:r>
        <w:rPr>
          <w:rFonts w:ascii="Arial" w:cs="Arial" w:eastAsia="Arial" w:hAnsi="Arial"/>
          <w:b/>
          <w:bCs/>
          <w:color w:val="2E75B6"/>
          <w:sz w:val="26"/>
          <w:szCs w:val="26"/>
        </w:rPr>
        <w:t xml:space="preserve">Vision and Mission</w:t>
      </w:r>
    </w:p>
    <w:p>
      <w:pPr>
        <w:pStyle w:val="Heading3"/>
        <w:spacing w:after="60" w:before="160"/>
      </w:pPr>
      <w:r>
        <w:rPr>
          <w:rFonts w:ascii="Arial" w:cs="Arial" w:eastAsia="Arial" w:hAnsi="Arial"/>
          <w:b/>
          <w:bCs/>
          <w:color w:val="2F5496"/>
          <w:sz w:val="22"/>
          <w:szCs w:val="22"/>
        </w:rPr>
        <w:t xml:space="preserve">Vision</w:t>
      </w:r>
    </w:p>
    <w:p>
      <w:pPr>
        <w:spacing w:after="100" w:before="60" w:line="340"/>
        <w:jc w:val="both"/>
      </w:pPr>
      <w:r>
        <w:rPr>
          <w:rFonts w:ascii="Times New Roman" w:cs="Times New Roman" w:eastAsia="Times New Roman" w:hAnsi="Times New Roman"/>
          <w:sz w:val="24"/>
          <w:szCs w:val="24"/>
        </w:rPr>
        <w:t xml:space="preserve">MindMatrix.io's vision is to become India's leading platform for bridging the gap between academic learning and industry requirements, creating a future-ready workforce equipped with cutting-edge skills and real industry experience. This vision is rooted in a diagnosis of the current state of Indian higher education: a system that produces a large number of engineering graduates annually but faces persistent, well-documented criticism for producing graduates who are not job-ready in the practical, applied sense that industry requires. MindMatrix.io's vision is not to supplement this system marginally at its edges, but to fundamentally reshape the experience of the final years of engineering education by making industry exposure, real project work, and mentored skill development the norm rather than the exception.</w:t>
      </w:r>
    </w:p>
    <w:p>
      <w:pPr>
        <w:pStyle w:val="Heading3"/>
        <w:spacing w:after="60" w:before="160"/>
      </w:pPr>
      <w:r>
        <w:rPr>
          <w:rFonts w:ascii="Arial" w:cs="Arial" w:eastAsia="Arial" w:hAnsi="Arial"/>
          <w:b/>
          <w:bCs/>
          <w:color w:val="2F5496"/>
          <w:sz w:val="22"/>
          <w:szCs w:val="22"/>
        </w:rPr>
        <w:t xml:space="preserve">Mission</w:t>
      </w:r>
    </w:p>
    <w:p>
      <w:pPr>
        <w:spacing w:after="100" w:before="60" w:line="340"/>
        <w:jc w:val="both"/>
      </w:pPr>
      <w:r>
        <w:rPr>
          <w:rFonts w:ascii="Times New Roman" w:cs="Times New Roman" w:eastAsia="Times New Roman" w:hAnsi="Times New Roman"/>
          <w:sz w:val="24"/>
          <w:szCs w:val="24"/>
        </w:rPr>
        <w:t xml:space="preserve">The mission of MindMatrix.io is to empower students with practical skills, innovative thinking, and direct industry exposure through AI-driven learning platforms, hands-on labs, and strategic partnerships with leading organisations. Three instruments carry this mission into practice. First, an AI-driven learning platform that personalises each student's educational journey — adapting to their pace, diagnosing their gaps, and surfacing the most relevant content and assessments at each stage of their development. Second, hands-on innovation labs — MindMatrix Labs — where students work on real tools, real datasets, and real projects under the guidance of experienced mentors rather than instructors delivering abstract coursework. Third, a growing network of strategic industry partnerships that connect students directly to potential employers, guest mentors, and collaborative project sponsors, creating a living bridge between the institution and the world its graduates will enter.</w:t>
      </w:r>
    </w:p>
    <w:p>
      <w:pPr>
        <w:pStyle w:val="Heading2"/>
        <w:spacing w:after="80" w:before="200"/>
      </w:pPr>
      <w:r>
        <w:rPr>
          <w:rFonts w:ascii="Arial" w:cs="Arial" w:eastAsia="Arial" w:hAnsi="Arial"/>
          <w:b/>
          <w:bCs/>
          <w:color w:val="2E75B6"/>
          <w:sz w:val="26"/>
          <w:szCs w:val="26"/>
        </w:rPr>
        <w:t xml:space="preserve">Core Values</w:t>
      </w:r>
    </w:p>
    <w:p>
      <w:pPr>
        <w:spacing w:after="100" w:before="60" w:line="340"/>
        <w:jc w:val="both"/>
      </w:pPr>
      <w:r>
        <w:rPr>
          <w:rFonts w:ascii="Times New Roman" w:cs="Times New Roman" w:eastAsia="Times New Roman" w:hAnsi="Times New Roman"/>
          <w:sz w:val="24"/>
          <w:szCs w:val="24"/>
        </w:rPr>
        <w:t xml:space="preserve">Four core values define the operating principles of every programme, every partnership, and every student interaction at MindMatrix.io:</w:t>
      </w:r>
    </w:p>
    <w:p>
      <w:pPr>
        <w:pStyle w:val="ListParagraph"/>
        <w:numPr>
          <w:ilvl w:val="0"/>
          <w:numId w:val="2"/>
        </w:numPr>
        <w:spacing w:after="60" w:before="60" w:line="330"/>
      </w:pPr>
      <w:r>
        <w:rPr>
          <w:rFonts w:ascii="Times New Roman" w:cs="Times New Roman" w:eastAsia="Times New Roman" w:hAnsi="Times New Roman"/>
          <w:sz w:val="22"/>
          <w:szCs w:val="22"/>
        </w:rPr>
        <w:t xml:space="preserve">Excellence: An uncompromising commitment to the highest standards in education quality and student outcomes. This means designing programmes that produce demonstrable, industry-validated competence — not surface familiarity — and holding every deliverable, from curriculum design to mentor quality to student project output, to that same standard.</w:t>
      </w:r>
    </w:p>
    <w:p>
      <w:pPr>
        <w:pStyle w:val="ListParagraph"/>
        <w:numPr>
          <w:ilvl w:val="0"/>
          <w:numId w:val="2"/>
        </w:numPr>
        <w:spacing w:after="60" w:before="60" w:line="330"/>
      </w:pPr>
      <w:r>
        <w:rPr>
          <w:rFonts w:ascii="Times New Roman" w:cs="Times New Roman" w:eastAsia="Times New Roman" w:hAnsi="Times New Roman"/>
          <w:sz w:val="22"/>
          <w:szCs w:val="22"/>
        </w:rPr>
        <w:t xml:space="preserve">Collaboration: A foundational belief that the most meaningful and durable educational outcomes emerge from genuine, ongoing collaboration between students, academic institutions, and industry partners. MindMatrix.io does not position itself as a standalone training provider but as the connector and facilitator of a three-way partnership — and its programme design reflects that positioning at every level.</w:t>
      </w:r>
    </w:p>
    <w:p>
      <w:pPr>
        <w:pStyle w:val="ListParagraph"/>
        <w:numPr>
          <w:ilvl w:val="0"/>
          <w:numId w:val="2"/>
        </w:numPr>
        <w:spacing w:after="60" w:before="60" w:line="330"/>
      </w:pPr>
      <w:r>
        <w:rPr>
          <w:rFonts w:ascii="Times New Roman" w:cs="Times New Roman" w:eastAsia="Times New Roman" w:hAnsi="Times New Roman"/>
          <w:sz w:val="22"/>
          <w:szCs w:val="22"/>
        </w:rPr>
        <w:t xml:space="preserve">Impact: A rigorous focus on creating measurable, verifiable change in individual careers, in the reputations of partner institutions, and in the broader communities these graduates will go on to serve. Impact is measured not by enrolment numbers but by placement rates, salary outcomes, project quality, and the long-term career trajectories of alumni.</w:t>
      </w:r>
    </w:p>
    <w:p>
      <w:pPr>
        <w:pStyle w:val="ListParagraph"/>
        <w:numPr>
          <w:ilvl w:val="0"/>
          <w:numId w:val="2"/>
        </w:numPr>
        <w:spacing w:after="60" w:before="60" w:line="330"/>
      </w:pPr>
      <w:r>
        <w:rPr>
          <w:rFonts w:ascii="Times New Roman" w:cs="Times New Roman" w:eastAsia="Times New Roman" w:hAnsi="Times New Roman"/>
          <w:sz w:val="22"/>
          <w:szCs w:val="22"/>
        </w:rPr>
        <w:t xml:space="preserve">Innovation: A pioneering orientation towards learning methodology, continuously integrating emerging technologies — including Generative AI, large language models, and AI-driven assessment tools — into the curriculum so that students are always learning with and about the tools that are reshaping professional practice in real time.</w:t>
      </w:r>
    </w:p>
    <w:p>
      <w:pPr>
        <w:pStyle w:val="Heading2"/>
        <w:spacing w:after="80" w:before="200"/>
      </w:pPr>
      <w:r>
        <w:rPr>
          <w:rFonts w:ascii="Arial" w:cs="Arial" w:eastAsia="Arial" w:hAnsi="Arial"/>
          <w:b/>
          <w:bCs/>
          <w:color w:val="2E75B6"/>
          <w:sz w:val="26"/>
          <w:szCs w:val="26"/>
        </w:rPr>
        <w:t xml:space="preserve">Organisational Milestones</w:t>
      </w:r>
    </w:p>
    <w:p>
      <w:pPr>
        <w:spacing w:after="100" w:before="60" w:line="340"/>
        <w:jc w:val="both"/>
      </w:pPr>
      <w:r>
        <w:rPr>
          <w:rFonts w:ascii="Times New Roman" w:cs="Times New Roman" w:eastAsia="Times New Roman" w:hAnsi="Times New Roman"/>
          <w:sz w:val="24"/>
          <w:szCs w:val="24"/>
        </w:rPr>
        <w:t xml:space="preserve">The growth trajectory of MindMatrix.io since its founding in 2018 reflects both the quality of its model and the scale of the unmet need it addresses in Indian higher education. The milestones below chart the most significant moments in that journey:</w:t>
      </w:r>
    </w:p>
    <w:p>
      <w:pPr>
        <w:spacing w:after="60"/>
      </w:pPr>
      <w:r>
        <w:t xml:space="preserve"/>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46"/>
      </w:tblGrid>
      <w:tr>
        <w:trPr>
          <w:tblHeader/>
        </w:trPr>
        <w:tc>
          <w:tcPr>
            <w:tcW w:type="dxa" w:w="900"/>
            <w:tcBorders>
              <w:top w:val="single" w:color="2E75B6" w:sz="2"/>
              <w:left w:val="single" w:color="2E75B6" w:sz="2"/>
              <w:bottom w:val="single" w:color="2E75B6" w:sz="2"/>
              <w:right w:val="single" w:color="2E75B6" w:sz="2"/>
            </w:tcBorders>
            <w:shd w:fill="D6E4F0" w:val="clear"/>
            <w:tcMar>
              <w:top w:type="dxa" w:w="90"/>
              <w:left w:type="dxa" w:w="120"/>
              <w:bottom w:type="dxa" w:w="90"/>
              <w:right w:type="dxa" w:w="120"/>
            </w:tcMar>
            <w:vAlign w:val="center"/>
          </w:tcPr>
          <w:p>
            <w:pPr>
              <w:jc w:val="center"/>
            </w:pPr>
            <w:r>
              <w:rPr>
                <w:rFonts w:ascii="Arial" w:cs="Arial" w:eastAsia="Arial" w:hAnsi="Arial"/>
                <w:b/>
                <w:bCs/>
                <w:color w:val="1F4E79"/>
                <w:sz w:val="20"/>
                <w:szCs w:val="20"/>
              </w:rPr>
              <w:t xml:space="preserve">Year</w:t>
            </w:r>
          </w:p>
        </w:tc>
        <w:tc>
          <w:tcPr>
            <w:tcW w:type="dxa" w:w="2100"/>
            <w:tcBorders>
              <w:top w:val="single" w:color="2E75B6" w:sz="2"/>
              <w:left w:val="single" w:color="2E75B6" w:sz="2"/>
              <w:bottom w:val="single" w:color="2E75B6" w:sz="2"/>
              <w:right w:val="single" w:color="2E75B6" w:sz="2"/>
            </w:tcBorders>
            <w:shd w:fill="D6E4F0" w:val="clear"/>
            <w:tcMar>
              <w:top w:type="dxa" w:w="90"/>
              <w:left w:type="dxa" w:w="120"/>
              <w:bottom w:type="dxa" w:w="90"/>
              <w:right w:type="dxa" w:w="120"/>
            </w:tcMar>
            <w:vAlign w:val="center"/>
          </w:tcPr>
          <w:p>
            <w:pPr>
              <w:jc w:val="center"/>
            </w:pPr>
            <w:r>
              <w:rPr>
                <w:rFonts w:ascii="Arial" w:cs="Arial" w:eastAsia="Arial" w:hAnsi="Arial"/>
                <w:b/>
                <w:bCs/>
                <w:color w:val="1F4E79"/>
                <w:sz w:val="20"/>
                <w:szCs w:val="20"/>
              </w:rPr>
              <w:t xml:space="preserve">Milestone</w:t>
            </w:r>
          </w:p>
        </w:tc>
        <w:tc>
          <w:tcPr>
            <w:tcW w:type="dxa" w:w="6346"/>
            <w:tcBorders>
              <w:top w:val="single" w:color="2E75B6" w:sz="2"/>
              <w:left w:val="single" w:color="2E75B6" w:sz="2"/>
              <w:bottom w:val="single" w:color="2E75B6" w:sz="2"/>
              <w:right w:val="single" w:color="2E75B6" w:sz="2"/>
            </w:tcBorders>
            <w:shd w:fill="D6E4F0" w:val="clear"/>
            <w:tcMar>
              <w:top w:type="dxa" w:w="90"/>
              <w:left w:type="dxa" w:w="120"/>
              <w:bottom w:type="dxa" w:w="90"/>
              <w:right w:type="dxa" w:w="120"/>
            </w:tcMar>
            <w:vAlign w:val="center"/>
          </w:tcPr>
          <w:p>
            <w:pPr>
              <w:jc w:val="center"/>
            </w:pPr>
            <w:r>
              <w:rPr>
                <w:rFonts w:ascii="Arial" w:cs="Arial" w:eastAsia="Arial" w:hAnsi="Arial"/>
                <w:b/>
                <w:bCs/>
                <w:color w:val="1F4E79"/>
                <w:sz w:val="20"/>
                <w:szCs w:val="20"/>
              </w:rPr>
              <w:t xml:space="preserve">Significance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2018</w:t>
            </w:r>
          </w:p>
        </w:tc>
        <w:tc>
          <w:tcPr>
            <w:tcW w:type="dxa" w:w="21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Foundation</w:t>
            </w:r>
          </w:p>
        </w:tc>
        <w:tc>
          <w:tcPr>
            <w:tcW w:type="dxa" w:w="6346"/>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MindMatrix.io launched with the explicit mission of transforming higher education through sustained industry-academia collaboration.</w:t>
            </w:r>
          </w:p>
        </w:tc>
      </w:tr>
      <w:tr>
        <w:tc>
          <w:tcPr>
            <w:tcW w:type="dxa" w:w="900"/>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2019</w:t>
            </w:r>
          </w:p>
        </w:tc>
        <w:tc>
          <w:tcPr>
            <w:tcW w:type="dxa" w:w="2100"/>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First 1,000 Students</w:t>
            </w:r>
          </w:p>
        </w:tc>
        <w:tc>
          <w:tcPr>
            <w:tcW w:type="dxa" w:w="6346"/>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Reached the milestone of training 1,000 or more students across 10 partner institutions — validating the scalability of the model beyond a single campus.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2020</w:t>
            </w:r>
          </w:p>
        </w:tc>
        <w:tc>
          <w:tcPr>
            <w:tcW w:type="dxa" w:w="21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Innovation Labs Launch</w:t>
            </w:r>
          </w:p>
        </w:tc>
        <w:tc>
          <w:tcPr>
            <w:tcW w:type="dxa" w:w="6346"/>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Established MindMatrix Labs as a dedicated infrastructure for student research, rapid prototyping, and innovation project delivery.</w:t>
            </w:r>
          </w:p>
        </w:tc>
      </w:tr>
      <w:tr>
        <w:tc>
          <w:tcPr>
            <w:tcW w:type="dxa" w:w="900"/>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2021</w:t>
            </w:r>
          </w:p>
        </w:tc>
        <w:tc>
          <w:tcPr>
            <w:tcW w:type="dxa" w:w="2100"/>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Industry Partnerships</w:t>
            </w:r>
          </w:p>
        </w:tc>
        <w:tc>
          <w:tcPr>
            <w:tcW w:type="dxa" w:w="6346"/>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Partnered with 100 or more leading companies for structured student placements and ongoing expert mentorship engagements.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2022</w:t>
            </w:r>
          </w:p>
        </w:tc>
        <w:tc>
          <w:tcPr>
            <w:tcW w:type="dxa" w:w="21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LaunchPad Initiative</w:t>
            </w:r>
          </w:p>
        </w:tc>
        <w:tc>
          <w:tcPr>
            <w:tcW w:type="dxa" w:w="6346"/>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Launched a formal startup incubation programme to identify and support the most entrepreneurially ambitious student project teams.</w:t>
            </w:r>
          </w:p>
        </w:tc>
      </w:tr>
      <w:tr>
        <w:tc>
          <w:tcPr>
            <w:tcW w:type="dxa" w:w="900"/>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2023</w:t>
            </w:r>
          </w:p>
        </w:tc>
        <w:tc>
          <w:tcPr>
            <w:tcW w:type="dxa" w:w="2100"/>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National Recognition</w:t>
            </w:r>
          </w:p>
        </w:tc>
        <w:tc>
          <w:tcPr>
            <w:tcW w:type="dxa" w:w="6346"/>
            <w:tcBorders>
              <w:top w:val="single" w:color="AAAAAA" w:sz="1"/>
              <w:left w:val="single" w:color="AAAAAA" w:sz="1"/>
              <w:bottom w:val="single" w:color="AAAAAA" w:sz="1"/>
              <w:right w:val="single" w:color="AAAAAA" w:sz="1"/>
            </w:tcBorders>
            <w:shd w:fill="F2F7FC" w:val="clear"/>
            <w:tcMar>
              <w:top w:type="dxa" w:w="70"/>
              <w:left w:type="dxa" w:w="110"/>
              <w:bottom w:type="dxa" w:w="70"/>
              <w:right w:type="dxa" w:w="110"/>
            </w:tcMar>
          </w:tcPr>
          <w:p>
            <w:r>
              <w:rPr>
                <w:rFonts w:ascii="Times New Roman" w:cs="Times New Roman" w:eastAsia="Times New Roman" w:hAnsi="Times New Roman"/>
                <w:sz w:val="20"/>
                <w:szCs w:val="20"/>
              </w:rPr>
              <w:t xml:space="preserve">Recognised as one of India's top academia-industry bridge platforms — a validation of the model's quality and relevance at the national level.</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2024</w:t>
            </w:r>
          </w:p>
        </w:tc>
        <w:tc>
          <w:tcPr>
            <w:tcW w:type="dxa" w:w="2100"/>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AI-Powered Learning</w:t>
            </w:r>
          </w:p>
        </w:tc>
        <w:tc>
          <w:tcPr>
            <w:tcW w:type="dxa" w:w="6346"/>
            <w:tcBorders>
              <w:top w:val="single" w:color="AAAAAA" w:sz="1"/>
              <w:left w:val="single" w:color="AAAAAA" w:sz="1"/>
              <w:bottom w:val="single" w:color="AAAAAA" w:sz="1"/>
              <w:right w:val="single" w:color="AAAAAA" w:sz="1"/>
            </w:tcBorders>
            <w:shd w:fill="FFFFFF" w:val="clear"/>
            <w:tcMar>
              <w:top w:type="dxa" w:w="70"/>
              <w:left w:type="dxa" w:w="110"/>
              <w:bottom w:type="dxa" w:w="70"/>
              <w:right w:type="dxa" w:w="110"/>
            </w:tcMar>
          </w:tcPr>
          <w:p>
            <w:r>
              <w:rPr>
                <w:rFonts w:ascii="Times New Roman" w:cs="Times New Roman" w:eastAsia="Times New Roman" w:hAnsi="Times New Roman"/>
                <w:sz w:val="20"/>
                <w:szCs w:val="20"/>
              </w:rPr>
              <w:t xml:space="preserve">Integrated advanced AI evaluation tools and personalised learning path capabilities into the LMS, marking a qualitative shift in the depth of personalisation available to students.</w:t>
            </w:r>
          </w:p>
        </w:tc>
      </w:tr>
    </w:tbl>
    <w:p>
      <w:pPr>
        <w:pStyle w:val="Heading2"/>
        <w:spacing w:after="80" w:before="200"/>
      </w:pPr>
      <w:r>
        <w:rPr>
          <w:rFonts w:ascii="Arial" w:cs="Arial" w:eastAsia="Arial" w:hAnsi="Arial"/>
          <w:b/>
          <w:bCs/>
          <w:color w:val="2E75B6"/>
          <w:sz w:val="26"/>
          <w:szCs w:val="26"/>
        </w:rPr>
        <w:t xml:space="preserve">Scale and Impact</w:t>
      </w:r>
    </w:p>
    <w:p>
      <w:pPr>
        <w:spacing w:after="100" w:before="60" w:line="340"/>
        <w:jc w:val="both"/>
      </w:pPr>
      <w:r>
        <w:rPr>
          <w:rFonts w:ascii="Times New Roman" w:cs="Times New Roman" w:eastAsia="Times New Roman" w:hAnsi="Times New Roman"/>
          <w:sz w:val="24"/>
          <w:szCs w:val="24"/>
        </w:rPr>
        <w:t xml:space="preserve">The numbers behind MindMatrix.io's growth — 10,000 or more students trained, 150 or more partner institutions, 500 or more industry partnerships, more than 500 real-world projects delivered — are not simply marketing figures. They represent the cumulative output of a model that consistently delivers sufficient value to students, institutions, and industry partners to sustain and grow all three relationships simultaneously. The fact that both the student side and the industry side of the partnership continue to grow is the most meaningful validation of the model's structural soundness.</w:t>
      </w:r>
    </w:p>
    <w:p>
      <w:pPr>
        <w:spacing w:after="100" w:before="60" w:line="340"/>
        <w:jc w:val="both"/>
      </w:pPr>
      <w:r>
        <w:rPr>
          <w:rFonts w:ascii="Times New Roman" w:cs="Times New Roman" w:eastAsia="Times New Roman" w:hAnsi="Times New Roman"/>
          <w:sz w:val="24"/>
          <w:szCs w:val="24"/>
        </w:rPr>
        <w:t xml:space="preserve">The qualitative dimension of that impact is equally important. Dr. Narendra, Principal of SIET, described MindMatrix.io's training as exceptional and expressed a strong recommendation for anyone looking to develop professional capabilities. A student at SSIT highlighted that the Generative AI sessions were both insightful and practically engaging, introducing them to tools and applications they had not previously encountered. Ashish Kishore, a Decision Scientist at Mu-Sigma, noted that MindMatrix.io opened new pathways for exploring advanced Google AI tools and inspired innovative approaches to real-world problem-solving. These three voices — an academic leader, a student, and an industry professional — represent exactly the three constituencies MindMatrix.io exists to serve, and the consistency of the positive feedback across all three is meaningful evidence that the platform is delivering on its mission.</w:t>
      </w:r>
    </w:p>
    <w:p>
      <w:pPr>
        <w:pStyle w:val="Heading2"/>
        <w:spacing w:after="80" w:before="200"/>
      </w:pPr>
      <w:r>
        <w:rPr>
          <w:rFonts w:ascii="Arial" w:cs="Arial" w:eastAsia="Arial" w:hAnsi="Arial"/>
          <w:b/>
          <w:bCs/>
          <w:color w:val="2E75B6"/>
          <w:sz w:val="26"/>
          <w:szCs w:val="26"/>
        </w:rPr>
        <w:t xml:space="preserve">The 7P Framework</w:t>
      </w:r>
    </w:p>
    <w:p>
      <w:pPr>
        <w:spacing w:after="100" w:before="60" w:line="340"/>
        <w:jc w:val="both"/>
      </w:pPr>
      <w:r>
        <w:rPr>
          <w:rFonts w:ascii="Times New Roman" w:cs="Times New Roman" w:eastAsia="Times New Roman" w:hAnsi="Times New Roman"/>
          <w:sz w:val="24"/>
          <w:szCs w:val="24"/>
        </w:rPr>
        <w:t xml:space="preserve">MindMatrix.io's signature pedagogical architecture is the 7P Framework — a systematic, sequenced approach to taking students from campus learners to industry-ready professionals. Unlike traditional training models that address skill development as a single-step process, the 7P Framework treats professional readiness as a multi-dimensional transformation that requires sustained, structured progression across seven distinct capability dimensions:</w:t>
      </w:r>
    </w:p>
    <w:p>
      <w:pPr>
        <w:pStyle w:val="ListParagraph"/>
        <w:numPr>
          <w:ilvl w:val="0"/>
          <w:numId w:val="2"/>
        </w:numPr>
        <w:spacing w:after="60" w:before="60" w:line="330"/>
      </w:pPr>
      <w:r>
        <w:rPr>
          <w:rFonts w:ascii="Times New Roman" w:cs="Times New Roman" w:eastAsia="Times New Roman" w:hAnsi="Times New Roman"/>
          <w:sz w:val="22"/>
          <w:szCs w:val="22"/>
        </w:rPr>
        <w:t xml:space="preserve">Presence: The first dimension addresses professional visibility. Students build a digital professional identity through completed projects, published work, and portfolio showcases that make their competence discoverable by industry recruiters and collaborators. In the context of the Jal Sanchay Tracker internship, Presence was established through the development and documentation of a real, functional Android application.</w:t>
      </w:r>
    </w:p>
    <w:p>
      <w:pPr>
        <w:pStyle w:val="ListParagraph"/>
        <w:numPr>
          <w:ilvl w:val="0"/>
          <w:numId w:val="2"/>
        </w:numPr>
        <w:spacing w:after="60" w:before="60" w:line="330"/>
      </w:pPr>
      <w:r>
        <w:rPr>
          <w:rFonts w:ascii="Times New Roman" w:cs="Times New Roman" w:eastAsia="Times New Roman" w:hAnsi="Times New Roman"/>
          <w:sz w:val="22"/>
          <w:szCs w:val="22"/>
        </w:rPr>
        <w:t xml:space="preserve">Perspective: The second dimension develops an innovation-first mindset — the capacity to approach problems critically, identify unstated assumptions, challenge existing designs, and generate genuinely new solutions. The critical architectural and consistency analysis performed on the Jal Sanchay Tracker codebase was a direct exercise in developing this perspective.</w:t>
      </w:r>
    </w:p>
    <w:p>
      <w:pPr>
        <w:pStyle w:val="ListParagraph"/>
        <w:numPr>
          <w:ilvl w:val="0"/>
          <w:numId w:val="2"/>
        </w:numPr>
        <w:spacing w:after="60" w:before="60" w:line="330"/>
      </w:pPr>
      <w:r>
        <w:rPr>
          <w:rFonts w:ascii="Times New Roman" w:cs="Times New Roman" w:eastAsia="Times New Roman" w:hAnsi="Times New Roman"/>
          <w:sz w:val="22"/>
          <w:szCs w:val="22"/>
        </w:rPr>
        <w:t xml:space="preserve">Preparation: The third dimension ensures students have the solid conceptual foundations they need to work effectively with emerging technologies. For the Android development track, this meant building deep fluency in Kotlin, Jetpack Compose, MVVM architecture, Hilt dependency injection, Room persistence, and the integration of Generative AI tooling into the development workflow.</w:t>
      </w:r>
    </w:p>
    <w:p>
      <w:pPr>
        <w:pStyle w:val="ListParagraph"/>
        <w:numPr>
          <w:ilvl w:val="0"/>
          <w:numId w:val="2"/>
        </w:numPr>
        <w:spacing w:after="60" w:before="60" w:line="330"/>
      </w:pPr>
      <w:r>
        <w:rPr>
          <w:rFonts w:ascii="Times New Roman" w:cs="Times New Roman" w:eastAsia="Times New Roman" w:hAnsi="Times New Roman"/>
          <w:sz w:val="22"/>
          <w:szCs w:val="22"/>
        </w:rPr>
        <w:t xml:space="preserve">Practice: The fourth and most time-intensive dimension converts knowledge into expertise through hands-on labs, real industry projects, and structured practical challenges. The Jal Sanchay Tracker development and module-wise contribution activities were the primary vehicle for Practice in this internship.</w:t>
      </w:r>
    </w:p>
    <w:p>
      <w:pPr>
        <w:pStyle w:val="ListParagraph"/>
        <w:numPr>
          <w:ilvl w:val="0"/>
          <w:numId w:val="2"/>
        </w:numPr>
        <w:spacing w:after="60" w:before="60" w:line="330"/>
      </w:pPr>
      <w:r>
        <w:rPr>
          <w:rFonts w:ascii="Times New Roman" w:cs="Times New Roman" w:eastAsia="Times New Roman" w:hAnsi="Times New Roman"/>
          <w:sz w:val="22"/>
          <w:szCs w:val="22"/>
        </w:rPr>
        <w:t xml:space="preserve">Profiling: The fifth dimension involves the creation and maintenance of dynamic skill profiles mapped to specific industry role requirements. Progress through the programme is tracked and made visible through these profiles, giving both students and potential employers a clear, evidence-based picture of demonstrated competencies.</w:t>
      </w:r>
    </w:p>
    <w:p>
      <w:pPr>
        <w:pStyle w:val="ListParagraph"/>
        <w:numPr>
          <w:ilvl w:val="0"/>
          <w:numId w:val="2"/>
        </w:numPr>
        <w:spacing w:after="60" w:before="60" w:line="330"/>
      </w:pPr>
      <w:r>
        <w:rPr>
          <w:rFonts w:ascii="Times New Roman" w:cs="Times New Roman" w:eastAsia="Times New Roman" w:hAnsi="Times New Roman"/>
          <w:sz w:val="22"/>
          <w:szCs w:val="22"/>
        </w:rPr>
        <w:t xml:space="preserve">Projection: The sixth dimension focuses on showcasing student capabilities to the right audiences at the right moments — through campus events, digital platforms, demo days, and industry presentations. This report, and the project artefacts it documents, are themselves instruments of Projection.</w:t>
      </w:r>
    </w:p>
    <w:p>
      <w:pPr>
        <w:pStyle w:val="ListParagraph"/>
        <w:numPr>
          <w:ilvl w:val="0"/>
          <w:numId w:val="2"/>
        </w:numPr>
        <w:spacing w:after="60" w:before="60" w:line="330"/>
      </w:pPr>
      <w:r>
        <w:rPr>
          <w:rFonts w:ascii="Times New Roman" w:cs="Times New Roman" w:eastAsia="Times New Roman" w:hAnsi="Times New Roman"/>
          <w:sz w:val="22"/>
          <w:szCs w:val="22"/>
        </w:rPr>
        <w:t xml:space="preserve">Progression: The seventh dimension ensures that the internship is not a terminal experience but the beginning of a lifelong learning orientation. Students leave MindMatrix.io programmes equipped not just with a specific skill set but with the adaptability mindset and the self-directed learning habits needed to sustain and grow their capabilities across an entire career.</w:t>
      </w:r>
    </w:p>
    <w:p>
      <w:r>
        <w:br w:type="page"/>
      </w:r>
    </w:p>
    <w:p>
      <w:pPr>
        <w:pStyle w:val="Heading1"/>
        <w:pBdr>
          <w:bottom w:val="single" w:color="2E75B6" w:sz="8" w:space="6"/>
        </w:pBdr>
        <w:spacing w:after="100" w:before="240"/>
      </w:pPr>
      <w:r>
        <w:rPr>
          <w:rFonts w:ascii="Arial" w:cs="Arial" w:eastAsia="Arial" w:hAnsi="Arial"/>
          <w:b/>
          <w:bCs/>
          <w:color w:val="1F4E79"/>
          <w:sz w:val="32"/>
          <w:szCs w:val="32"/>
        </w:rPr>
        <w:t xml:space="preserve">Objective of Internship</w:t>
      </w:r>
    </w:p>
    <w:p>
      <w:pPr>
        <w:pStyle w:val="Heading2"/>
        <w:spacing w:after="80" w:before="200"/>
      </w:pPr>
      <w:r>
        <w:rPr>
          <w:rFonts w:ascii="Arial" w:cs="Arial" w:eastAsia="Arial" w:hAnsi="Arial"/>
          <w:b/>
          <w:bCs/>
          <w:color w:val="2E75B6"/>
          <w:sz w:val="26"/>
          <w:szCs w:val="26"/>
        </w:rPr>
        <w:t xml:space="preserve">Primary Objectives</w:t>
      </w:r>
    </w:p>
    <w:p>
      <w:pPr>
        <w:spacing w:after="100" w:before="60" w:line="340"/>
        <w:jc w:val="both"/>
      </w:pPr>
      <w:r>
        <w:rPr>
          <w:rFonts w:ascii="Times New Roman" w:cs="Times New Roman" w:eastAsia="Times New Roman" w:hAnsi="Times New Roman"/>
          <w:sz w:val="24"/>
          <w:szCs w:val="24"/>
        </w:rPr>
        <w:t xml:space="preserve">The overarching primary objective of the internship was to gain genuine, substantive exposure to real-world Android application development by working on a complete, production-quality project from the inside — not as an observer reviewing slides or following isolated coding exercises, but as a participant who understood the application holistically and contributed to it meaningfully. The vehicle for this objective was the Jal Sanchay Tracker: a feature-complete Android application for household rainwater harvesting tracking, built with a modern Kotlin-first technology stack including Jetpack Compose, MVVM architecture, Hilt dependency injection, Room database persistence, and Open-Meteo weather API integration.</w:t>
      </w:r>
    </w:p>
    <w:p>
      <w:pPr>
        <w:spacing w:after="100" w:before="60" w:line="340"/>
        <w:jc w:val="both"/>
      </w:pPr>
      <w:r>
        <w:rPr>
          <w:rFonts w:ascii="Times New Roman" w:cs="Times New Roman" w:eastAsia="Times New Roman" w:hAnsi="Times New Roman"/>
          <w:sz w:val="24"/>
          <w:szCs w:val="24"/>
        </w:rPr>
        <w:t xml:space="preserve">The first primary objective was to understand how a complete Android application is architecturally organised — how the app module, core modules, and feature modules relate to one another; how the navigation graph coordinates movement between screens; and how the data layer, domain layer, and presentation layer each fulfil their respective responsibilities within the MVVM pattern. This structural understanding was the prerequisite for all other objectives: you cannot contribute meaningfully to a system you do not understand at the architectural level.</w:t>
      </w:r>
    </w:p>
    <w:p>
      <w:pPr>
        <w:spacing w:after="100" w:before="60" w:line="340"/>
        <w:jc w:val="both"/>
      </w:pPr>
      <w:r>
        <w:rPr>
          <w:rFonts w:ascii="Times New Roman" w:cs="Times New Roman" w:eastAsia="Times New Roman" w:hAnsi="Times New Roman"/>
          <w:sz w:val="24"/>
          <w:szCs w:val="24"/>
        </w:rPr>
        <w:t xml:space="preserve">The second primary objective was to understand how different modules of the application are planned, connected, and maintained as a coherent whole rather than as isolated features. The Jal Sanchay Tracker is divided into implemented feature modules — onboarding, dashboard, rainfall, reports, AI advisor, settings, and tips — and several planned but not yet fully active modules including authentication, analytics, sustainability, and notifications. Understanding both the implemented and the planned modules, and the relationship between them, gave a realistic picture of how a production Android project evolves over time.</w:t>
      </w:r>
    </w:p>
    <w:p>
      <w:pPr>
        <w:spacing w:after="100" w:before="60" w:line="340"/>
        <w:jc w:val="both"/>
      </w:pPr>
      <w:r>
        <w:rPr>
          <w:rFonts w:ascii="Times New Roman" w:cs="Times New Roman" w:eastAsia="Times New Roman" w:hAnsi="Times New Roman"/>
          <w:sz w:val="24"/>
          <w:szCs w:val="24"/>
        </w:rPr>
        <w:t xml:space="preserve">The third primary objective was to follow the complete data lifecycle of the application: understanding how user input is collected during onboarding and stored in the Room database as a UserProfile entity; how rainfall events are recorded through the rainfall entry screen and persisted as RainfallEntry records; how the dashboard ViewModel combines those records reactively with the UserProfile to derive the key operational metrics; and how the reports module groups those records by month to produce longitudinal summaries. This end-to-end data journey — from first input to final metric — was the spine of the technical learning.</w:t>
      </w:r>
    </w:p>
    <w:p>
      <w:pPr>
        <w:pStyle w:val="Heading2"/>
        <w:spacing w:after="80" w:before="200"/>
      </w:pPr>
      <w:r>
        <w:rPr>
          <w:rFonts w:ascii="Arial" w:cs="Arial" w:eastAsia="Arial" w:hAnsi="Arial"/>
          <w:b/>
          <w:bCs/>
          <w:color w:val="2E75B6"/>
          <w:sz w:val="26"/>
          <w:szCs w:val="26"/>
        </w:rPr>
        <w:t xml:space="preserve">Secondary Objectives</w:t>
      </w:r>
    </w:p>
    <w:p>
      <w:pPr>
        <w:spacing w:after="100" w:before="60" w:line="340"/>
        <w:jc w:val="both"/>
      </w:pPr>
      <w:r>
        <w:rPr>
          <w:rFonts w:ascii="Times New Roman" w:cs="Times New Roman" w:eastAsia="Times New Roman" w:hAnsi="Times New Roman"/>
          <w:sz w:val="24"/>
          <w:szCs w:val="24"/>
        </w:rPr>
        <w:t xml:space="preserve">Alongside the primary technical objectives, a set of secondary objectives shaped the broader professional development dimension of the internship:</w:t>
      </w:r>
    </w:p>
    <w:p>
      <w:pPr>
        <w:pStyle w:val="ListParagraph"/>
        <w:numPr>
          <w:ilvl w:val="0"/>
          <w:numId w:val="2"/>
        </w:numPr>
        <w:spacing w:after="60" w:before="60" w:line="330"/>
      </w:pPr>
      <w:r>
        <w:rPr>
          <w:rFonts w:ascii="Times New Roman" w:cs="Times New Roman" w:eastAsia="Times New Roman" w:hAnsi="Times New Roman"/>
          <w:sz w:val="22"/>
          <w:szCs w:val="22"/>
        </w:rPr>
        <w:t xml:space="preserve">To develop a thorough understanding of clean code practices, modular application structure, and how architectural discipline directly translates into long-term maintainability. The Jal Sanchay Tracker's clear separation of concerns across the app, core, and feature module hierarchy was a living case study in the practical value of these principles.</w:t>
      </w:r>
    </w:p>
    <w:p>
      <w:pPr>
        <w:pStyle w:val="ListParagraph"/>
        <w:numPr>
          <w:ilvl w:val="0"/>
          <w:numId w:val="2"/>
        </w:numPr>
        <w:spacing w:after="60" w:before="60" w:line="330"/>
      </w:pPr>
      <w:r>
        <w:rPr>
          <w:rFonts w:ascii="Times New Roman" w:cs="Times New Roman" w:eastAsia="Times New Roman" w:hAnsi="Times New Roman"/>
          <w:sz w:val="22"/>
          <w:szCs w:val="22"/>
        </w:rPr>
        <w:t xml:space="preserve">To study validation logic as a first-class engineering concern — understanding that the validation rules enforced during onboarding (all numeric fields required, roof area and tank capacity must be greater than zero, latitude bounded between -90 and 90, longitude between -180 and 180) and during rainfall entry (rainfall must be non-negative, cannot exceed 500mm, outflow cannot be negative, roof area must exist from onboarding) are not merely UI niceties but the primary mechanism by which the application protects the integrity of the data domain it depends on.</w:t>
      </w:r>
    </w:p>
    <w:p>
      <w:pPr>
        <w:pStyle w:val="ListParagraph"/>
        <w:numPr>
          <w:ilvl w:val="0"/>
          <w:numId w:val="2"/>
        </w:numPr>
        <w:spacing w:after="60" w:before="60" w:line="330"/>
      </w:pPr>
      <w:r>
        <w:rPr>
          <w:rFonts w:ascii="Times New Roman" w:cs="Times New Roman" w:eastAsia="Times New Roman" w:hAnsi="Times New Roman"/>
          <w:sz w:val="22"/>
          <w:szCs w:val="22"/>
        </w:rPr>
        <w:t xml:space="preserve">To build a cross-module quality-review mindset — the ability to evaluate not just whether individual features work in isolation, but whether they are consistent with each other in terminology, calculation logic, and user expectations. The sustainability score inconsistency between the dashboard and reports modules was the central case study for this objective.</w:t>
      </w:r>
    </w:p>
    <w:p>
      <w:pPr>
        <w:pStyle w:val="ListParagraph"/>
        <w:numPr>
          <w:ilvl w:val="0"/>
          <w:numId w:val="2"/>
        </w:numPr>
        <w:spacing w:after="60" w:before="60" w:line="330"/>
      </w:pPr>
      <w:r>
        <w:rPr>
          <w:rFonts w:ascii="Times New Roman" w:cs="Times New Roman" w:eastAsia="Times New Roman" w:hAnsi="Times New Roman"/>
          <w:sz w:val="22"/>
          <w:szCs w:val="22"/>
        </w:rPr>
        <w:t xml:space="preserve">To understand the practical role of Generative AI tools in the Android development workflow — not as a replacement for engineering judgment, but as a productivity accelerator for code scaffolding, logic review, documentation generation, and the rapid exploration of implementation alternatives.</w:t>
      </w:r>
    </w:p>
    <w:p>
      <w:pPr>
        <w:pStyle w:val="ListParagraph"/>
        <w:numPr>
          <w:ilvl w:val="0"/>
          <w:numId w:val="2"/>
        </w:numPr>
        <w:spacing w:after="60" w:before="60" w:line="330"/>
      </w:pPr>
      <w:r>
        <w:rPr>
          <w:rFonts w:ascii="Times New Roman" w:cs="Times New Roman" w:eastAsia="Times New Roman" w:hAnsi="Times New Roman"/>
          <w:sz w:val="22"/>
          <w:szCs w:val="22"/>
        </w:rPr>
        <w:t xml:space="preserve">To develop the professional communication skills required to describe technical observations clearly and constructively — articulating what was found, why it matters, and what the appropriate remediation would be, in language that is precise enough to be actionable and accessible enough to be understood by a mixed technical and product audience.</w:t>
      </w:r>
    </w:p>
    <w:p>
      <w:r>
        <w:br w:type="page"/>
      </w:r>
    </w:p>
    <w:p>
      <w:pPr>
        <w:pStyle w:val="Heading1"/>
        <w:pBdr>
          <w:bottom w:val="single" w:color="2E75B6" w:sz="8" w:space="6"/>
        </w:pBdr>
        <w:spacing w:after="100" w:before="240"/>
      </w:pPr>
      <w:r>
        <w:rPr>
          <w:rFonts w:ascii="Arial" w:cs="Arial" w:eastAsia="Arial" w:hAnsi="Arial"/>
          <w:b/>
          <w:bCs/>
          <w:color w:val="1F4E79"/>
          <w:sz w:val="32"/>
          <w:szCs w:val="32"/>
        </w:rPr>
        <w:t xml:space="preserve">Learning Experiences</w:t>
      </w:r>
    </w:p>
    <w:p>
      <w:pPr>
        <w:pStyle w:val="Heading2"/>
        <w:spacing w:after="80" w:before="200"/>
      </w:pPr>
      <w:r>
        <w:rPr>
          <w:rFonts w:ascii="Arial" w:cs="Arial" w:eastAsia="Arial" w:hAnsi="Arial"/>
          <w:b/>
          <w:bCs/>
          <w:color w:val="2E75B6"/>
          <w:sz w:val="26"/>
          <w:szCs w:val="26"/>
        </w:rPr>
        <w:t xml:space="preserve">Understanding Modular Application Architecture</w:t>
      </w:r>
    </w:p>
    <w:p>
      <w:pPr>
        <w:spacing w:after="100" w:before="60" w:line="340"/>
        <w:jc w:val="both"/>
      </w:pPr>
      <w:r>
        <w:rPr>
          <w:rFonts w:ascii="Times New Roman" w:cs="Times New Roman" w:eastAsia="Times New Roman" w:hAnsi="Times New Roman"/>
          <w:sz w:val="24"/>
          <w:szCs w:val="24"/>
        </w:rPr>
        <w:t xml:space="preserve">One of the most important and durable learning experiences of the internship was studying the module architecture of the Jal Sanchay Tracker at the Gradle level. The application is not a single monolithic module but a carefully decomposed multi-module project consisting of an app module, multiple core modules, and multiple feature modules, each of which has a clearly defined scope of responsibility.</w:t>
      </w:r>
    </w:p>
    <w:p>
      <w:pPr>
        <w:spacing w:after="100" w:before="60" w:line="340"/>
        <w:jc w:val="both"/>
      </w:pPr>
      <w:r>
        <w:rPr>
          <w:rFonts w:ascii="Times New Roman" w:cs="Times New Roman" w:eastAsia="Times New Roman" w:hAnsi="Times New Roman"/>
          <w:sz w:val="24"/>
          <w:szCs w:val="24"/>
        </w:rPr>
        <w:t xml:space="preserve">The app module serves as the application's bootstrap layer. It contains the Hilt entry point, the top-level navigation graph, the bottom navigation bar shell, and the AppViewModel — which makes the critical startup decision of whether to route the user to the onboarding screen or the home screen, based on the combined state of the onboarding completion flag in DataStore and the presence of a UserProfile record in Room. This startup logic is architecturally important because it means the app's routing behaviour is data-driven: if a UserProfile exists and onboarding is marked complete, the user goes directly to home; otherwise, onboarding is mandatory.</w:t>
      </w:r>
    </w:p>
    <w:p>
      <w:pPr>
        <w:spacing w:after="100" w:before="60" w:line="340"/>
        <w:jc w:val="both"/>
      </w:pPr>
      <w:r>
        <w:rPr>
          <w:rFonts w:ascii="Times New Roman" w:cs="Times New Roman" w:eastAsia="Times New Roman" w:hAnsi="Times New Roman"/>
          <w:sz w:val="24"/>
          <w:szCs w:val="24"/>
        </w:rPr>
        <w:t xml:space="preserve">The core modules provide shared infrastructure without knowing anything about specific features. The core:model module defines the shared domain data models — UserProfile, RainfallEntry, MonthlyReport, and AiRecommendation — that all feature modules operate on. The core:database module provides the Room entities, DAOs, database class, and Hilt providers. The core:datastore module manages the single lightweight preference used by the app — the onboarding completion flag. The core:network module contains the Retrofit client for the Open-Meteo weather API. The core:firebase module provides the Firebase Analytics instance. The core:navigation module defines the bottom tab route definitions. The core:ui module provides the shared theme and placeholder component. This clean separation means that a change to, for example, the database schema affects only core:database and the feature modules that consume its DAOs — not the entire codebase.</w:t>
      </w:r>
    </w:p>
    <w:p>
      <w:pPr>
        <w:spacing w:after="100" w:before="60" w:line="340"/>
        <w:jc w:val="both"/>
      </w:pPr>
      <w:r>
        <w:rPr>
          <w:rFonts w:ascii="Times New Roman" w:cs="Times New Roman" w:eastAsia="Times New Roman" w:hAnsi="Times New Roman"/>
          <w:sz w:val="24"/>
          <w:szCs w:val="24"/>
        </w:rPr>
        <w:t xml:space="preserve">The feature modules each encapsulate a complete user-facing flow. Implemented features include onboarding, dashboard, rainfall, reports, AI advisor, settings, and tips. Planned but not yet fully active features — authentication, analytics, sustainability, and notifications — exist as stub modules in the Gradle configuration. They are wired into the build but have no active screens or business logic in the current navigation flow. Understanding that a codebase can contain placeholder modules that represent the product's future direction, but that are not yet production-ready, was an important professional insight: real software projects always exist on a spectrum between what is implemented and what is intended.</w:t>
      </w:r>
    </w:p>
    <w:p>
      <w:pPr>
        <w:pStyle w:val="Heading2"/>
        <w:spacing w:after="80" w:before="200"/>
      </w:pPr>
      <w:r>
        <w:rPr>
          <w:rFonts w:ascii="Arial" w:cs="Arial" w:eastAsia="Arial" w:hAnsi="Arial"/>
          <w:b/>
          <w:bCs/>
          <w:color w:val="2E75B6"/>
          <w:sz w:val="26"/>
          <w:szCs w:val="26"/>
        </w:rPr>
        <w:t xml:space="preserve">The Importance of Base Data Quality</w:t>
      </w:r>
    </w:p>
    <w:p>
      <w:pPr>
        <w:spacing w:after="100" w:before="60" w:line="340"/>
        <w:jc w:val="both"/>
      </w:pPr>
      <w:r>
        <w:rPr>
          <w:rFonts w:ascii="Times New Roman" w:cs="Times New Roman" w:eastAsia="Times New Roman" w:hAnsi="Times New Roman"/>
          <w:sz w:val="24"/>
          <w:szCs w:val="24"/>
        </w:rPr>
        <w:t xml:space="preserve">Studying the onboarding module — specifically the validation rules it enforces and the downstream calculations that depend on the data it collects — produced one of the most consequential conceptual insights of the internship. The UserProfile entity stores six fields: id, roofArea, tankCapacity, householdSize, locationName, latitude, and longitude. These six fields are described in the application guide as 'the foundational data for most calculations in the app', and working through the codebase reveals exactly how true that description is.</w:t>
      </w:r>
    </w:p>
    <w:p>
      <w:pPr>
        <w:spacing w:after="100" w:before="60" w:line="340"/>
        <w:jc w:val="both"/>
      </w:pPr>
      <w:r>
        <w:rPr>
          <w:rFonts w:ascii="Times New Roman" w:cs="Times New Roman" w:eastAsia="Times New Roman" w:hAnsi="Times New Roman"/>
          <w:sz w:val="24"/>
          <w:szCs w:val="24"/>
        </w:rPr>
        <w:t xml:space="preserve">The roof area value, entered in square feet during onboarding, is used directly in the rainfall collection formula — the most fundamental calculation in the entire application:</w:t>
      </w:r>
    </w:p>
    <w:p>
      <w:pPr>
        <w:spacing w:after="40"/>
      </w:pPr>
      <w:r>
        <w:t xml:space="preserve"/>
      </w:r>
    </w:p>
    <w:p>
      <w:pPr>
        <w:spacing w:after="60" w:before="60"/>
        <w:ind w:left="720"/>
      </w:pPr>
      <w:r>
        <w:rPr>
          <w:rFonts w:ascii="Courier New" w:cs="Courier New" w:eastAsia="Courier New" w:hAnsi="Courier New"/>
          <w:color w:val="333333"/>
          <w:sz w:val="20"/>
          <w:szCs w:val="20"/>
        </w:rPr>
        <w:t xml:space="preserve">waterCollected = roofAreaSqFt × rainfallMm × 0.0929 × runoffCoefficient</w:t>
      </w:r>
    </w:p>
    <w:p>
      <w:pPr>
        <w:spacing w:after="40"/>
      </w:pPr>
      <w:r>
        <w:t xml:space="preserve"/>
      </w:r>
    </w:p>
    <w:p>
      <w:pPr>
        <w:spacing w:after="100" w:before="60" w:line="340"/>
        <w:jc w:val="both"/>
      </w:pPr>
      <w:r>
        <w:rPr>
          <w:rFonts w:ascii="Times New Roman" w:cs="Times New Roman" w:eastAsia="Times New Roman" w:hAnsi="Times New Roman"/>
          <w:sz w:val="24"/>
          <w:szCs w:val="24"/>
        </w:rPr>
        <w:t xml:space="preserve">where the runoff coefficient is fixed at 0.85. This formula converts the abstract measurement of rainfall depth (in millimetres) into a tangible volume of water (in litres) that the user's roof actually collected. Every litre figure that appears anywhere in the dashboard or reports — gross collected, net stored, monthly savings — ultimately traces back to this formula and therefore to the roof area entered during onboarding. An incorrect roof area propagates its error into every metric the application subsequently displays.</w:t>
      </w:r>
    </w:p>
    <w:p>
      <w:pPr>
        <w:spacing w:after="100" w:before="60" w:line="340"/>
        <w:jc w:val="both"/>
      </w:pPr>
      <w:r>
        <w:rPr>
          <w:rFonts w:ascii="Times New Roman" w:cs="Times New Roman" w:eastAsia="Times New Roman" w:hAnsi="Times New Roman"/>
          <w:sz w:val="24"/>
          <w:szCs w:val="24"/>
        </w:rPr>
        <w:t xml:space="preserve">The tank capacity value determines the tank fill percentage shown on the dashboard, calculated as net stored divided by tank capacity, clamped to the range zero to one hundred percent. A user who enters an incorrect tank capacity will see a fill percentage that is systematically wrong for the entire life of the application, unless they correct it through the settings screen. The household size value participates in the dashboard sustainability score formula, adding a fixed contribution of three points per household member up to a maximum of six. The latitude and longitude values are used by the weather integration to fetch the live weather snapshot from Open-Meteo.</w:t>
      </w:r>
    </w:p>
    <w:p>
      <w:pPr>
        <w:spacing w:after="100" w:before="60" w:line="340"/>
        <w:jc w:val="both"/>
      </w:pPr>
      <w:r>
        <w:rPr>
          <w:rFonts w:ascii="Times New Roman" w:cs="Times New Roman" w:eastAsia="Times New Roman" w:hAnsi="Times New Roman"/>
          <w:sz w:val="24"/>
          <w:szCs w:val="24"/>
        </w:rPr>
        <w:t xml:space="preserve">The validation rules enforced during onboarding are therefore not cosmetic: they are the first and most important line of defence in the application's data integrity strategy. All numeric fields must parse correctly. Roof area, tank capacity, and household size must be strictly greater than zero — because a value of zero in any of these fields would produce nonsensical metric outputs. Latitude must be within the valid geographic range of negative ninety to ninety degrees. Longitude must be within negative one hundred and eighty to one hundred and eighty degrees. The rainfall screen adds an additional dependency check: if no valid roof area exists from onboarding, the rainfall screen shows an error and offers a button to return and complete onboarding, rather than allowing the user to record data that cannot be meaningfully processed.</w:t>
      </w:r>
    </w:p>
    <w:p>
      <w:pPr>
        <w:pStyle w:val="Heading2"/>
        <w:spacing w:after="80" w:before="200"/>
      </w:pPr>
      <w:r>
        <w:rPr>
          <w:rFonts w:ascii="Arial" w:cs="Arial" w:eastAsia="Arial" w:hAnsi="Arial"/>
          <w:b/>
          <w:bCs/>
          <w:color w:val="2E75B6"/>
          <w:sz w:val="26"/>
          <w:szCs w:val="26"/>
        </w:rPr>
        <w:t xml:space="preserve">Data Flow Across Application Layers</w:t>
      </w:r>
    </w:p>
    <w:p>
      <w:pPr>
        <w:spacing w:after="100" w:before="60" w:line="340"/>
        <w:jc w:val="both"/>
      </w:pPr>
      <w:r>
        <w:rPr>
          <w:rFonts w:ascii="Times New Roman" w:cs="Times New Roman" w:eastAsia="Times New Roman" w:hAnsi="Times New Roman"/>
          <w:sz w:val="24"/>
          <w:szCs w:val="24"/>
        </w:rPr>
        <w:t xml:space="preserve">The dashboard module provided the richest single learning experience in understanding how data flows through a layered Android application built on MVVM and reactive Kotlin flows. The DashboardViewModel subscribes to DashboardRepository.observeMetrics(), which in turn combines four distinct Room-backed flows: RainfallDao.observeGrossCollected(), RainfallDao.observeTotalOutflow(), RainfallDao.observeTotalCollected(), and UserProfileDao.observeProfile(). Each of these is a Kotlin Flow that emits a new value whenever the underlying Room table is modified.</w:t>
      </w:r>
    </w:p>
    <w:p>
      <w:pPr>
        <w:spacing w:after="100" w:before="60" w:line="340"/>
        <w:jc w:val="both"/>
      </w:pPr>
      <w:r>
        <w:rPr>
          <w:rFonts w:ascii="Times New Roman" w:cs="Times New Roman" w:eastAsia="Times New Roman" w:hAnsi="Times New Roman"/>
          <w:sz w:val="24"/>
          <w:szCs w:val="24"/>
        </w:rPr>
        <w:t xml:space="preserve">The power of this reactive design becomes apparent when a new rainfall entry is saved. The RainfallViewModel validates the input, computes the harvested water using the collection formula, computes the net saved water as the maximum of collected water minus outflow and zero, inserts the new RainfallEntry entity into Room, and returns. That single database write immediately triggers reactive emissions from all three rainfall-aggregating Room flows. The DashboardRepositoryImpl combines those updated emissions to recalculate the derived dashboard metrics. The DashboardViewModel receives the new DashboardMetrics object via its StateFlow. The Compose dashboard screen, which collects state using collectAsStateWithLifecycle, redraws automatically with the updated values. The entire chain from data entry to dashboard update happens without any manual refresh action, any polling, or any explicit inter-component communication. The reactive database layer does all the coordination.</w:t>
      </w:r>
    </w:p>
    <w:p>
      <w:pPr>
        <w:spacing w:after="100" w:before="60" w:line="340"/>
        <w:jc w:val="both"/>
      </w:pPr>
      <w:r>
        <w:rPr>
          <w:rFonts w:ascii="Times New Roman" w:cs="Times New Roman" w:eastAsia="Times New Roman" w:hAnsi="Times New Roman"/>
          <w:sz w:val="24"/>
          <w:szCs w:val="24"/>
        </w:rPr>
        <w:t xml:space="preserve">The calculated metrics exposed by the dashboard ViewModel are:</w:t>
      </w:r>
    </w:p>
    <w:p>
      <w:pPr>
        <w:pStyle w:val="ListParagraph"/>
        <w:numPr>
          <w:ilvl w:val="0"/>
          <w:numId w:val="2"/>
        </w:numPr>
        <w:spacing w:after="60" w:before="60" w:line="330"/>
      </w:pPr>
      <w:r>
        <w:rPr>
          <w:rFonts w:ascii="Times New Roman" w:cs="Times New Roman" w:eastAsia="Times New Roman" w:hAnsi="Times New Roman"/>
          <w:sz w:val="22"/>
          <w:szCs w:val="22"/>
        </w:rPr>
        <w:t xml:space="preserve">Gross collected litres — the aggregate of all waterCollected values across all rainfall entries, representing total harvest before accounting for any outflow.</w:t>
      </w:r>
    </w:p>
    <w:p>
      <w:pPr>
        <w:pStyle w:val="ListParagraph"/>
        <w:numPr>
          <w:ilvl w:val="0"/>
          <w:numId w:val="2"/>
        </w:numPr>
        <w:spacing w:after="60" w:before="60" w:line="330"/>
      </w:pPr>
      <w:r>
        <w:rPr>
          <w:rFonts w:ascii="Times New Roman" w:cs="Times New Roman" w:eastAsia="Times New Roman" w:hAnsi="Times New Roman"/>
          <w:sz w:val="22"/>
          <w:szCs w:val="22"/>
        </w:rPr>
        <w:t xml:space="preserve">Total outflow litres — the aggregate of all outflowLiters values, representing the water that left the tank through usage or overflow.</w:t>
      </w:r>
    </w:p>
    <w:p>
      <w:pPr>
        <w:pStyle w:val="ListParagraph"/>
        <w:numPr>
          <w:ilvl w:val="0"/>
          <w:numId w:val="2"/>
        </w:numPr>
        <w:spacing w:after="60" w:before="60" w:line="330"/>
      </w:pPr>
      <w:r>
        <w:rPr>
          <w:rFonts w:ascii="Times New Roman" w:cs="Times New Roman" w:eastAsia="Times New Roman" w:hAnsi="Times New Roman"/>
          <w:sz w:val="22"/>
          <w:szCs w:val="22"/>
        </w:rPr>
        <w:t xml:space="preserve">Net stored litres — the aggregate of all netWaterSaved values, where each entry's net saved water is calculated as max(waterCollected minus outflowLiters, 0). This is the most operationally meaningful metric because it represents what is actually in the tank.</w:t>
      </w:r>
    </w:p>
    <w:p>
      <w:pPr>
        <w:pStyle w:val="ListParagraph"/>
        <w:numPr>
          <w:ilvl w:val="0"/>
          <w:numId w:val="2"/>
        </w:numPr>
        <w:spacing w:after="60" w:before="60" w:line="330"/>
      </w:pPr>
      <w:r>
        <w:rPr>
          <w:rFonts w:ascii="Times New Roman" w:cs="Times New Roman" w:eastAsia="Times New Roman" w:hAnsi="Times New Roman"/>
          <w:sz w:val="22"/>
          <w:szCs w:val="22"/>
        </w:rPr>
        <w:t xml:space="preserve">Tank fill percentage — calculated as (netStored divided by tankCapacity) multiplied by 100, clamped to the range zero to one hundred. This gives users an immediate, intuitive sense of how much storage capacity they have left.</w:t>
      </w:r>
    </w:p>
    <w:p>
      <w:pPr>
        <w:pStyle w:val="ListParagraph"/>
        <w:numPr>
          <w:ilvl w:val="0"/>
          <w:numId w:val="2"/>
        </w:numPr>
        <w:spacing w:after="60" w:before="60" w:line="330"/>
      </w:pPr>
      <w:r>
        <w:rPr>
          <w:rFonts w:ascii="Times New Roman" w:cs="Times New Roman" w:eastAsia="Times New Roman" w:hAnsi="Times New Roman"/>
          <w:sz w:val="22"/>
          <w:szCs w:val="22"/>
        </w:rPr>
        <w:t xml:space="preserve">Dashboard sustainability score — calculated as round(fillPercent multiplied by 0.8 plus min(householdSize, 6) multiplied by 3), clamped to zero to one hundred.</w:t>
      </w:r>
    </w:p>
    <w:p>
      <w:pPr>
        <w:pStyle w:val="ListParagraph"/>
        <w:numPr>
          <w:ilvl w:val="0"/>
          <w:numId w:val="2"/>
        </w:numPr>
        <w:spacing w:after="60" w:before="60" w:line="330"/>
      </w:pPr>
      <w:r>
        <w:rPr>
          <w:rFonts w:ascii="Times New Roman" w:cs="Times New Roman" w:eastAsia="Times New Roman" w:hAnsi="Times New Roman"/>
          <w:sz w:val="22"/>
          <w:szCs w:val="22"/>
        </w:rPr>
        <w:t xml:space="preserve">Monthly usable savings — calculated as netStored multiplied by 0.6, representing a heuristic estimate of the water that is practically usable for non-potable household purposes.</w:t>
      </w:r>
    </w:p>
    <w:p>
      <w:pPr>
        <w:pStyle w:val="Heading2"/>
        <w:spacing w:after="80" w:before="200"/>
      </w:pPr>
      <w:r>
        <w:rPr>
          <w:rFonts w:ascii="Arial" w:cs="Arial" w:eastAsia="Arial" w:hAnsi="Arial"/>
          <w:b/>
          <w:bCs/>
          <w:color w:val="2E75B6"/>
          <w:sz w:val="26"/>
          <w:szCs w:val="26"/>
        </w:rPr>
        <w:t xml:space="preserve">Data Integrity and Validation Logic</w:t>
      </w:r>
    </w:p>
    <w:p>
      <w:pPr>
        <w:spacing w:after="100" w:before="60" w:line="340"/>
        <w:jc w:val="both"/>
      </w:pPr>
      <w:r>
        <w:rPr>
          <w:rFonts w:ascii="Times New Roman" w:cs="Times New Roman" w:eastAsia="Times New Roman" w:hAnsi="Times New Roman"/>
          <w:sz w:val="24"/>
          <w:szCs w:val="24"/>
        </w:rPr>
        <w:t xml:space="preserve">The rainfall entry module gave direct, hands-on exposure to the design and implementation of validation logic as a data integrity mechanism rather than simply a user experience feature. The rainfall screen enforces the following validation rules before any entry is persisted: rainfall amount must be a valid numeric value; outflow must be numeric if provided; neither rainfall nor outflow can be negative; rainfall cannot exceed 500 millimetres (a realistic upper bound on single-event rainfall even in extreme conditions); and a valid roof area must already exist from the onboarding profile.</w:t>
      </w:r>
    </w:p>
    <w:p>
      <w:pPr>
        <w:spacing w:after="100" w:before="60" w:line="340"/>
        <w:jc w:val="both"/>
      </w:pPr>
      <w:r>
        <w:rPr>
          <w:rFonts w:ascii="Times New Roman" w:cs="Times New Roman" w:eastAsia="Times New Roman" w:hAnsi="Times New Roman"/>
          <w:sz w:val="24"/>
          <w:szCs w:val="24"/>
        </w:rPr>
        <w:t xml:space="preserve">The 500mm upper limit on rainfall is particularly instructive. It is one of several hardcoded constants in the application — alongside the 0.85 runoff coefficient, the 0.6 multiplier for monthly savings, the 350-litre baseline divisor used in the AI Advisor calculations, and the default Bengaluru coordinates of latitude 12.9716, longitude 77.5946. These constants are important because they shape the application's behaviour significantly but are not documented in the code with explanations of their derivation. Understanding that a production application contains a set of assumptions baked into its constants — assumptions that future developers need to understand and future product owners may want to revisit — was a valuable lesson in the importance of documenting the reasoning behind technical decisions, not just the decisions themselves.</w:t>
      </w:r>
    </w:p>
    <w:p>
      <w:pPr>
        <w:spacing w:after="100" w:before="60" w:line="340"/>
        <w:jc w:val="both"/>
      </w:pPr>
      <w:r>
        <w:rPr>
          <w:rFonts w:ascii="Times New Roman" w:cs="Times New Roman" w:eastAsia="Times New Roman" w:hAnsi="Times New Roman"/>
          <w:sz w:val="24"/>
          <w:szCs w:val="24"/>
        </w:rPr>
        <w:t xml:space="preserve">The structural consequence of the validation design is that the RainfallViewModel.submit() function acts as a gatekeeper: it validates all inputs, computes the derived values (waterCollected using the collection formula, netWaterSaved as the maximum of collected minus outflow and zero), constructs the RainfallEntry entity, and delegates to the repository for persistence — but only if validation passes. Invalid inputs never reach the database layer. This clean separation between the validation boundary and the persistence layer is a design pattern that generalises: in any layered application, validation should happen at the earliest appropriate layer, and the persistence layer should be able to trust that any data it receives has already been validated.</w:t>
      </w:r>
    </w:p>
    <w:p>
      <w:pPr>
        <w:pStyle w:val="Heading2"/>
        <w:spacing w:after="80" w:before="200"/>
      </w:pPr>
      <w:r>
        <w:rPr>
          <w:rFonts w:ascii="Arial" w:cs="Arial" w:eastAsia="Arial" w:hAnsi="Arial"/>
          <w:b/>
          <w:bCs/>
          <w:color w:val="2E75B6"/>
          <w:sz w:val="26"/>
          <w:szCs w:val="26"/>
        </w:rPr>
        <w:t xml:space="preserve">Data Aggregation and Reporting</w:t>
      </w:r>
    </w:p>
    <w:p>
      <w:pPr>
        <w:spacing w:after="100" w:before="60" w:line="340"/>
        <w:jc w:val="both"/>
      </w:pPr>
      <w:r>
        <w:rPr>
          <w:rFonts w:ascii="Times New Roman" w:cs="Times New Roman" w:eastAsia="Times New Roman" w:hAnsi="Times New Roman"/>
          <w:sz w:val="24"/>
          <w:szCs w:val="24"/>
        </w:rPr>
        <w:t xml:space="preserve">The reports module offered a detailed look at how raw, event-level data can be transformed into longitudinal summaries that are far more useful for trend analysis and pattern recognition than the underlying records themselves. The ReportsViewModel subscribes to rainfall entries through the repository, which groups those entries by month in memory rather than using a dedicated stored report entity. This is an architecturally significant detail: although the database schema includes a monthly_report table, the current implementation does not write to or read from it for the active reports screen. Reports are computed dynamically, on each query, from the raw rainfall_entry records.</w:t>
      </w:r>
    </w:p>
    <w:p>
      <w:pPr>
        <w:spacing w:after="100" w:before="60" w:line="340"/>
        <w:jc w:val="both"/>
      </w:pPr>
      <w:r>
        <w:rPr>
          <w:rFonts w:ascii="Times New Roman" w:cs="Times New Roman" w:eastAsia="Times New Roman" w:hAnsi="Times New Roman"/>
          <w:sz w:val="24"/>
          <w:szCs w:val="24"/>
        </w:rPr>
        <w:t xml:space="preserve">The in-memory grouping approach produces, for each calendar month, a MonthlyReport object containing: the month label, the count of rainfall entries in that month, the total water collected, the total outflow, the total net water saved, and a monthly score. The monthly score is calculated differently from the dashboard score — it is defined as round(totalSaved divided by 100.0), clamped to zero to one hundred. This means every hundred litres of saved water contributes approximately one point to the monthly score. While this formula is internally consistent within the reports module, it is not aligned with the dashboard sustainability score formula, which is a function of fill percentage and household size rather than absolute saved volume.</w:t>
      </w:r>
    </w:p>
    <w:p>
      <w:pPr>
        <w:spacing w:after="100" w:before="60" w:line="340"/>
        <w:jc w:val="both"/>
      </w:pPr>
      <w:r>
        <w:rPr>
          <w:rFonts w:ascii="Times New Roman" w:cs="Times New Roman" w:eastAsia="Times New Roman" w:hAnsi="Times New Roman"/>
          <w:sz w:val="24"/>
          <w:szCs w:val="24"/>
        </w:rPr>
        <w:t xml:space="preserve">The reports screen also implements a delete operation that had a non-obvious implementation detail: deleting a month's report does not delete a report entity from the monthly_report table (since reports are not stored there). Instead, it deletes all rainfall entries in the corresponding month range from the rainfall_entry table. This means a delete operation on the reports screen is a destructive operation on the raw data — not just on a summary view of it. Users who delete a report lose the underlying rainfall records for that month permanently. This is a product design decision that warrants explicit disclosure in the UI, and it was identified as one of the key product engineering observations arising from the internship.</w:t>
      </w:r>
    </w:p>
    <w:p>
      <w:pPr>
        <w:pStyle w:val="Heading2"/>
        <w:spacing w:after="80" w:before="200"/>
      </w:pPr>
      <w:r>
        <w:rPr>
          <w:rFonts w:ascii="Arial" w:cs="Arial" w:eastAsia="Arial" w:hAnsi="Arial"/>
          <w:b/>
          <w:bCs/>
          <w:color w:val="2E75B6"/>
          <w:sz w:val="26"/>
          <w:szCs w:val="26"/>
        </w:rPr>
        <w:t xml:space="preserve">Product Consistency — The Score Inconsistency Problem</w:t>
      </w:r>
    </w:p>
    <w:p>
      <w:pPr>
        <w:spacing w:after="100" w:before="60" w:line="340"/>
        <w:jc w:val="both"/>
      </w:pPr>
      <w:r>
        <w:rPr>
          <w:rFonts w:ascii="Times New Roman" w:cs="Times New Roman" w:eastAsia="Times New Roman" w:hAnsi="Times New Roman"/>
          <w:sz w:val="24"/>
          <w:szCs w:val="24"/>
        </w:rPr>
        <w:t xml:space="preserve">The most professionally significant engineering observation of the entire internship was the identification, analysis, and documentation of the sustainability score inconsistency between the dashboard and reports modules. Both modules display a value labelled 'score' to the user, but they calculate that value using fundamentally different formulas that reflect entirely different underlying concepts.</w:t>
      </w:r>
    </w:p>
    <w:p>
      <w:pPr>
        <w:spacing w:after="100" w:before="60" w:line="340"/>
        <w:jc w:val="both"/>
      </w:pPr>
      <w:r>
        <w:rPr>
          <w:rFonts w:ascii="Times New Roman" w:cs="Times New Roman" w:eastAsia="Times New Roman" w:hAnsi="Times New Roman"/>
          <w:sz w:val="24"/>
          <w:szCs w:val="24"/>
        </w:rPr>
        <w:t xml:space="preserve">The dashboard sustainability score is calculated as:</w:t>
      </w:r>
    </w:p>
    <w:p>
      <w:pPr>
        <w:spacing w:after="40"/>
      </w:pPr>
      <w:r>
        <w:t xml:space="preserve"/>
      </w:r>
    </w:p>
    <w:p>
      <w:pPr>
        <w:spacing w:after="60" w:before="60"/>
        <w:ind w:left="720"/>
      </w:pPr>
      <w:r>
        <w:rPr>
          <w:rFonts w:ascii="Courier New" w:cs="Courier New" w:eastAsia="Courier New" w:hAnsi="Courier New"/>
          <w:color w:val="333333"/>
          <w:sz w:val="20"/>
          <w:szCs w:val="20"/>
        </w:rPr>
        <w:t xml:space="preserve">dashboardScore = round(fillPercent × 0.8 + min(householdSize, 6) × 3)</w:t>
      </w:r>
    </w:p>
    <w:p>
      <w:pPr>
        <w:spacing w:after="40"/>
      </w:pPr>
      <w:r>
        <w:t xml:space="preserve"/>
      </w:r>
    </w:p>
    <w:p>
      <w:pPr>
        <w:spacing w:after="100" w:before="60" w:line="340"/>
        <w:jc w:val="both"/>
      </w:pPr>
      <w:r>
        <w:rPr>
          <w:rFonts w:ascii="Times New Roman" w:cs="Times New Roman" w:eastAsia="Times New Roman" w:hAnsi="Times New Roman"/>
          <w:sz w:val="24"/>
          <w:szCs w:val="24"/>
        </w:rPr>
        <w:t xml:space="preserve">This formula is a composite of two components: a fill-percentage-based component that rewards having a full tank, and a household-size-based component that rewards larger households (up to six members). The household size component means that a user can have a non-zero dashboard score even before recording a single rainfall entry — a user with a household size of four will see a score of twelve from the moment they complete onboarding, with zero collected water. This is a deliberate design choice (or possibly an oversight), but it means the dashboard score is not a pure reflection of water collection performance.</w:t>
      </w:r>
    </w:p>
    <w:p>
      <w:pPr>
        <w:spacing w:after="100" w:before="60" w:line="340"/>
        <w:jc w:val="both"/>
      </w:pPr>
      <w:r>
        <w:rPr>
          <w:rFonts w:ascii="Times New Roman" w:cs="Times New Roman" w:eastAsia="Times New Roman" w:hAnsi="Times New Roman"/>
          <w:sz w:val="24"/>
          <w:szCs w:val="24"/>
        </w:rPr>
        <w:t xml:space="preserve">The monthly report score is calculated as:</w:t>
      </w:r>
    </w:p>
    <w:p>
      <w:pPr>
        <w:spacing w:after="40"/>
      </w:pPr>
      <w:r>
        <w:t xml:space="preserve"/>
      </w:r>
    </w:p>
    <w:p>
      <w:pPr>
        <w:spacing w:after="60" w:before="60"/>
        <w:ind w:left="720"/>
      </w:pPr>
      <w:r>
        <w:rPr>
          <w:rFonts w:ascii="Courier New" w:cs="Courier New" w:eastAsia="Courier New" w:hAnsi="Courier New"/>
          <w:color w:val="333333"/>
          <w:sz w:val="20"/>
          <w:szCs w:val="20"/>
        </w:rPr>
        <w:t xml:space="preserve">reportScore = round(totalSaved / 100.0)</w:t>
      </w:r>
    </w:p>
    <w:p>
      <w:pPr>
        <w:spacing w:after="40"/>
      </w:pPr>
      <w:r>
        <w:t xml:space="preserve"/>
      </w:r>
    </w:p>
    <w:p>
      <w:pPr>
        <w:spacing w:after="100" w:before="60" w:line="340"/>
        <w:jc w:val="both"/>
      </w:pPr>
      <w:r>
        <w:rPr>
          <w:rFonts w:ascii="Times New Roman" w:cs="Times New Roman" w:eastAsia="Times New Roman" w:hAnsi="Times New Roman"/>
          <w:sz w:val="24"/>
          <w:szCs w:val="24"/>
        </w:rPr>
        <w:t xml:space="preserve">This formula is simple and volume-based: every hundred litres of net saved water in a month contributes one point. It is a pure reflection of collection volume and contains no component related to fill percentage, household size, or any other configuration parameter.</w:t>
      </w:r>
    </w:p>
    <w:p>
      <w:pPr>
        <w:spacing w:after="100" w:before="60" w:line="340"/>
        <w:jc w:val="both"/>
      </w:pPr>
      <w:r>
        <w:rPr>
          <w:rFonts w:ascii="Times New Roman" w:cs="Times New Roman" w:eastAsia="Times New Roman" w:hAnsi="Times New Roman"/>
          <w:sz w:val="24"/>
          <w:szCs w:val="24"/>
        </w:rPr>
        <w:t xml:space="preserve">The consequence of this divergence is that the same user, looking at the same month's data, will see a different 'score' depending on whether they look at the dashboard or the reports module. If their tank is 60% full, their household size is four, and they saved 300 litres that month, their dashboard score would be approximately 60 and their monthly report score would be 3. These numbers are not just different — they tell completely different stories about the same reality. A user who notices this discrepancy will reasonably lose confidence in both figures.</w:t>
      </w:r>
    </w:p>
    <w:p>
      <w:pPr>
        <w:spacing w:after="100" w:before="60" w:line="340"/>
        <w:jc w:val="both"/>
      </w:pPr>
      <w:r>
        <w:rPr>
          <w:rFonts w:ascii="Times New Roman" w:cs="Times New Roman" w:eastAsia="Times New Roman" w:hAnsi="Times New Roman"/>
          <w:sz w:val="24"/>
          <w:szCs w:val="24"/>
        </w:rPr>
        <w:t xml:space="preserve">The recommended remediation is to define a single, canonical sustainability score formula in a centralised business logic module — ideally in a shared use case in the domain layer — and have both the DashboardRepositoryImpl and the ReportsRepositoryImpl call that shared function. This eliminates the possibility of divergence, makes the formula easy to find and understand, and ensures that future changes to the scoring methodology are automatically reflected everywhere the score appears. This recommendation was documented as one of the key product consistency improvements identified during the internship.</w:t>
      </w:r>
    </w:p>
    <w:p>
      <w:pPr>
        <w:pStyle w:val="Heading2"/>
        <w:spacing w:after="80" w:before="200"/>
      </w:pPr>
      <w:r>
        <w:rPr>
          <w:rFonts w:ascii="Arial" w:cs="Arial" w:eastAsia="Arial" w:hAnsi="Arial"/>
          <w:b/>
          <w:bCs/>
          <w:color w:val="2E75B6"/>
          <w:sz w:val="26"/>
          <w:szCs w:val="26"/>
        </w:rPr>
        <w:t xml:space="preserve">MVVM and Separation of Concerns</w:t>
      </w:r>
    </w:p>
    <w:p>
      <w:pPr>
        <w:spacing w:after="100" w:before="60" w:line="340"/>
        <w:jc w:val="both"/>
      </w:pPr>
      <w:r>
        <w:rPr>
          <w:rFonts w:ascii="Times New Roman" w:cs="Times New Roman" w:eastAsia="Times New Roman" w:hAnsi="Times New Roman"/>
          <w:sz w:val="24"/>
          <w:szCs w:val="24"/>
        </w:rPr>
        <w:t xml:space="preserve">Working within the full MVVM architecture of the Jal Sanchay Tracker — with Jetpack Compose as the UI layer, ViewModels exposing StateFlow for reactive state management, repository interfaces in the domain layer, and repository implementations backed by Room DAOs and Retrofit in the data layer — gave concrete, practical understanding of why this architecture has become the industry standard for Android development.</w:t>
      </w:r>
    </w:p>
    <w:p>
      <w:pPr>
        <w:spacing w:after="100" w:before="60" w:line="340"/>
        <w:jc w:val="both"/>
      </w:pPr>
      <w:r>
        <w:rPr>
          <w:rFonts w:ascii="Times New Roman" w:cs="Times New Roman" w:eastAsia="Times New Roman" w:hAnsi="Times New Roman"/>
          <w:sz w:val="24"/>
          <w:szCs w:val="24"/>
        </w:rPr>
        <w:t xml:space="preserve">The presentation layer consists of Compose screens and their associated ViewModels. Screens collect ViewModel state using collectAsStateWithLifecycle, which is lifecycle-aware and ensures that active UI collection stops when the screen is not visible — preventing unnecessary work and potential memory leaks. ViewModels expose all UI state as StateFlow objects, ensuring that the UI always has a consistent, single source of state to render from. Critically, ViewModels contain no direct database calls and no Retrofit calls: they interact only with repository interfaces, maintaining the boundary between presentation logic and data access logic.</w:t>
      </w:r>
    </w:p>
    <w:p>
      <w:pPr>
        <w:spacing w:after="100" w:before="60" w:line="340"/>
        <w:jc w:val="both"/>
      </w:pPr>
      <w:r>
        <w:rPr>
          <w:rFonts w:ascii="Times New Roman" w:cs="Times New Roman" w:eastAsia="Times New Roman" w:hAnsi="Times New Roman"/>
          <w:sz w:val="24"/>
          <w:szCs w:val="24"/>
        </w:rPr>
        <w:t xml:space="preserve">The domain layer consists of repository interfaces and validation use cases. The ValidateOnboardingInputUseCase and ValidateRainfallInputUseCase are the two implemented unit-tested use cases in the current codebase. They encapsulate all the validation logic for their respective screens, making that logic independently testable without needing to instantiate a ViewModel or a database. The repository interfaces in the domain layer define the contracts that the data layer must fulfil, but they contain no implementation details — a design that makes it possible to substitute mock implementations during testing without changing any feature code.</w:t>
      </w:r>
    </w:p>
    <w:p>
      <w:pPr>
        <w:spacing w:after="100" w:before="60" w:line="340"/>
        <w:jc w:val="both"/>
      </w:pPr>
      <w:r>
        <w:rPr>
          <w:rFonts w:ascii="Times New Roman" w:cs="Times New Roman" w:eastAsia="Times New Roman" w:hAnsi="Times New Roman"/>
          <w:sz w:val="24"/>
          <w:szCs w:val="24"/>
        </w:rPr>
        <w:t xml:space="preserve">The data layer provides repository implementations, Room DAOs, and the Retrofit API client. Hilt is used throughout to provide all dependencies — the database instance, individual DAOs, the network stack, the Firebase Analytics provider, and the repository bindings — without any feature module needing to know how to construct these objects. This means that the wiring of the application can be changed in one place (the Hilt modules in the data and core layers) without touching any feature code, which is essential for maintainability at scale.</w:t>
      </w:r>
    </w:p>
    <w:p>
      <w:pPr>
        <w:pStyle w:val="Heading2"/>
        <w:spacing w:after="80" w:before="200"/>
      </w:pPr>
      <w:r>
        <w:rPr>
          <w:rFonts w:ascii="Arial" w:cs="Arial" w:eastAsia="Arial" w:hAnsi="Arial"/>
          <w:b/>
          <w:bCs/>
          <w:color w:val="2E75B6"/>
          <w:sz w:val="26"/>
          <w:szCs w:val="26"/>
        </w:rPr>
        <w:t xml:space="preserve">The AI Advisor Module and Deterministic Recommendation Logic</w:t>
      </w:r>
    </w:p>
    <w:p>
      <w:pPr>
        <w:spacing w:after="100" w:before="60" w:line="340"/>
        <w:jc w:val="both"/>
      </w:pPr>
      <w:r>
        <w:rPr>
          <w:rFonts w:ascii="Times New Roman" w:cs="Times New Roman" w:eastAsia="Times New Roman" w:hAnsi="Times New Roman"/>
          <w:sz w:val="24"/>
          <w:szCs w:val="24"/>
        </w:rPr>
        <w:t xml:space="preserve">The AI Advisor module was one of the most instructive features of the Jal Sanchay Tracker for understanding the difference between what a feature name implies and what a feature actually does — and why clarity on that distinction matters both for users and for developers.</w:t>
      </w:r>
    </w:p>
    <w:p>
      <w:pPr>
        <w:spacing w:after="100" w:before="60" w:line="340"/>
        <w:jc w:val="both"/>
      </w:pPr>
      <w:r>
        <w:rPr>
          <w:rFonts w:ascii="Times New Roman" w:cs="Times New Roman" w:eastAsia="Times New Roman" w:hAnsi="Times New Roman"/>
          <w:sz w:val="24"/>
          <w:szCs w:val="24"/>
        </w:rPr>
        <w:t xml:space="preserve">Despite being labelled 'AI Advisor', the module does not call any external AI API or language model. It is entirely deterministic and entirely local. The user enters four values: roof area, tank capacity, rainfall, and expected outflow. The AiAdvisorViewModel validates these inputs, passes them to the repository, which runs a set of pre-defined formulas to compute estimated harvest (using the same collection formula as the rainfall module), net saved water, approximate days of non-potable support (based on a fixed baseline divisor of 350 litres per day), and potential tank fill percentage. The repository then generates recommendation text using a rule-based text generation function — essentially a series of conditional statements that map calculation outputs to pre-written recommendation strings. The generated recommendation is inserted into the ai_recommendation Room table and displayed on screen.</w:t>
      </w:r>
    </w:p>
    <w:p>
      <w:pPr>
        <w:spacing w:after="100" w:before="60" w:line="340"/>
        <w:jc w:val="both"/>
      </w:pPr>
      <w:r>
        <w:rPr>
          <w:rFonts w:ascii="Times New Roman" w:cs="Times New Roman" w:eastAsia="Times New Roman" w:hAnsi="Times New Roman"/>
          <w:sz w:val="24"/>
          <w:szCs w:val="24"/>
        </w:rPr>
        <w:t xml:space="preserve">The 'AI' in AI Advisor reflects the product's aspirational direction rather than its current implementation. The technical architecture is designed to be extensible — the recommendation generation logic is isolated in the repository layer, meaning it could be replaced with a call to an actual language model without touching the ViewModel or the UI. But in the current V1, all intelligence is local, deterministic, and formula-based. This was an important lesson in reading codebases critically: the name of a feature is not always a reliable description of how it is implemented, and understanding the actual implementation is essential before reasoning about its capabilities or limitations.</w:t>
      </w:r>
    </w:p>
    <w:p>
      <w:pPr>
        <w:pStyle w:val="Heading2"/>
        <w:spacing w:after="80" w:before="200"/>
      </w:pPr>
      <w:r>
        <w:rPr>
          <w:rFonts w:ascii="Arial" w:cs="Arial" w:eastAsia="Arial" w:hAnsi="Arial"/>
          <w:b/>
          <w:bCs/>
          <w:color w:val="2E75B6"/>
          <w:sz w:val="26"/>
          <w:szCs w:val="26"/>
        </w:rPr>
        <w:t xml:space="preserve">Weather Integration as a Supporting Feature</w:t>
      </w:r>
    </w:p>
    <w:p>
      <w:pPr>
        <w:spacing w:after="100" w:before="60" w:line="340"/>
        <w:jc w:val="both"/>
      </w:pPr>
      <w:r>
        <w:rPr>
          <w:rFonts w:ascii="Times New Roman" w:cs="Times New Roman" w:eastAsia="Times New Roman" w:hAnsi="Times New Roman"/>
          <w:sz w:val="24"/>
          <w:szCs w:val="24"/>
        </w:rPr>
        <w:t xml:space="preserve">The weather integration in the rainfall entry screen was a compact but instructive case study in how external API dependencies are managed in a well-structured Android application. The only active remote dependency in the Jal Sanchay Tracker is Open-Meteo, a free and open weather API that requires no authentication key. The core:network module contains the Retrofit client configured for the Open-Meteo base URL. The API call requests current precipitation, rain, and relative humidity data using the stored latitude and longitude coordinates from the user's onboarding profile.</w:t>
      </w:r>
    </w:p>
    <w:p>
      <w:pPr>
        <w:spacing w:after="100" w:before="60" w:line="340"/>
        <w:jc w:val="both"/>
      </w:pPr>
      <w:r>
        <w:rPr>
          <w:rFonts w:ascii="Times New Roman" w:cs="Times New Roman" w:eastAsia="Times New Roman" w:hAnsi="Times New Roman"/>
          <w:sz w:val="24"/>
          <w:szCs w:val="24"/>
        </w:rPr>
        <w:t xml:space="preserve">When the user visits the rainfall screen, they can optionally tap a refresh button to fetch a live weather snapshot. The repository calls Open-Meteo using the stored coordinates — defaulting to the Bengaluru fallback of latitude 12.9716, longitude 77.5946 if no coordinates are available. The response is simplified into two outputs: a rainfall suggestion expressed as the current rain or precipitation value, and a binary weather summary that reads either 'Rain expected now' if the current rain value is greater than zero, or 'No rain right now' otherwise. Relative humidity is rounded to an integer and displayed. If the API call fails for any reason — network unavailability, API timeout, malformed response — the weather card shows 'Weather unavailable right now' rather than crashing or displaying stale data. This graceful degradation behaviour is a small but important example of defensive engineering in practice.</w:t>
      </w:r>
    </w:p>
    <w:p>
      <w:pPr>
        <w:spacing w:after="100" w:before="60" w:line="340"/>
        <w:jc w:val="both"/>
      </w:pPr>
      <w:r>
        <w:rPr>
          <w:rFonts w:ascii="Times New Roman" w:cs="Times New Roman" w:eastAsia="Times New Roman" w:hAnsi="Times New Roman"/>
          <w:sz w:val="24"/>
          <w:szCs w:val="24"/>
        </w:rPr>
        <w:t xml:space="preserve">The weather integration is positioned in the app as a convenience feature that helps users decide whether to log a rainfall entry — seeing that rain is currently falling is a prompt to record the event. It is explicitly not a replacement for manual data entry: the user still enters the actual rainfall amount and outflow manually, and the weather suggestion is simply a pre-fill hint that the user can accept or override. This distinction between AI-assisted suggestion and user-confirmed data entry is an important UX principle that was worth studying carefully.</w:t>
      </w:r>
    </w:p>
    <w:p>
      <w:r>
        <w:br w:type="page"/>
      </w:r>
    </w:p>
    <w:p>
      <w:pPr>
        <w:pStyle w:val="Heading1"/>
        <w:pBdr>
          <w:bottom w:val="single" w:color="2E75B6" w:sz="8" w:space="6"/>
        </w:pBdr>
        <w:spacing w:after="100" w:before="240"/>
      </w:pPr>
      <w:r>
        <w:rPr>
          <w:rFonts w:ascii="Arial" w:cs="Arial" w:eastAsia="Arial" w:hAnsi="Arial"/>
          <w:b/>
          <w:bCs/>
          <w:color w:val="1F4E79"/>
          <w:sz w:val="32"/>
          <w:szCs w:val="32"/>
        </w:rPr>
        <w:t xml:space="preserve">Learning Outcomes</w:t>
      </w:r>
    </w:p>
    <w:p>
      <w:pPr>
        <w:pStyle w:val="Heading2"/>
        <w:spacing w:after="80" w:before="200"/>
      </w:pPr>
      <w:r>
        <w:rPr>
          <w:rFonts w:ascii="Arial" w:cs="Arial" w:eastAsia="Arial" w:hAnsi="Arial"/>
          <w:b/>
          <w:bCs/>
          <w:color w:val="2E75B6"/>
          <w:sz w:val="26"/>
          <w:szCs w:val="26"/>
        </w:rPr>
        <w:t xml:space="preserve">Technical Outcomes</w:t>
      </w:r>
    </w:p>
    <w:p>
      <w:pPr>
        <w:spacing w:after="100" w:before="60" w:line="340"/>
        <w:jc w:val="both"/>
      </w:pPr>
      <w:r>
        <w:rPr>
          <w:rFonts w:ascii="Times New Roman" w:cs="Times New Roman" w:eastAsia="Times New Roman" w:hAnsi="Times New Roman"/>
          <w:sz w:val="24"/>
          <w:szCs w:val="24"/>
        </w:rPr>
        <w:t xml:space="preserve">The internship produced a set of concrete, demonstrable technical outcomes representing a substantial and qualitatively significant advance in practical Android development competence. These outcomes are grounded in direct experience with a production-quality codebase and extend well beyond the familiarity with individual APIs or tools that a typical academic exercise produces.</w:t>
      </w:r>
    </w:p>
    <w:p>
      <w:pPr>
        <w:pStyle w:val="ListParagraph"/>
        <w:numPr>
          <w:ilvl w:val="0"/>
          <w:numId w:val="2"/>
        </w:numPr>
        <w:spacing w:after="60" w:before="60" w:line="330"/>
      </w:pPr>
      <w:r>
        <w:rPr>
          <w:rFonts w:ascii="Times New Roman" w:cs="Times New Roman" w:eastAsia="Times New Roman" w:hAnsi="Times New Roman"/>
          <w:sz w:val="22"/>
          <w:szCs w:val="22"/>
        </w:rPr>
        <w:t xml:space="preserve">Multi-module Android architecture: Developed a thorough practical understanding of how a multi-module Android project is organised across app, core, and feature modules, and how Gradle module dependencies are structured to maintain clean separation of concerns at the build level. This understanding is directly applicable to any modern Android project, regardless of its specific feature set.</w:t>
      </w:r>
    </w:p>
    <w:p>
      <w:pPr>
        <w:pStyle w:val="ListParagraph"/>
        <w:numPr>
          <w:ilvl w:val="0"/>
          <w:numId w:val="2"/>
        </w:numPr>
        <w:spacing w:after="60" w:before="60" w:line="330"/>
      </w:pPr>
      <w:r>
        <w:rPr>
          <w:rFonts w:ascii="Times New Roman" w:cs="Times New Roman" w:eastAsia="Times New Roman" w:hAnsi="Times New Roman"/>
          <w:sz w:val="22"/>
          <w:szCs w:val="22"/>
        </w:rPr>
        <w:t xml:space="preserve">Jetpack Compose and reactive UI: Gained hands-on experience with Jetpack Compose as the UI layer, including the use of collectAsStateWithLifecycle for lifecycle-aware state collection, the derivation of UI state from ViewModel-exposed StateFlow, and the principle that Compose screens should contain no business logic — only state observation and rendering.</w:t>
      </w:r>
    </w:p>
    <w:p>
      <w:pPr>
        <w:pStyle w:val="ListParagraph"/>
        <w:numPr>
          <w:ilvl w:val="0"/>
          <w:numId w:val="2"/>
        </w:numPr>
        <w:spacing w:after="60" w:before="60" w:line="330"/>
      </w:pPr>
      <w:r>
        <w:rPr>
          <w:rFonts w:ascii="Times New Roman" w:cs="Times New Roman" w:eastAsia="Times New Roman" w:hAnsi="Times New Roman"/>
          <w:sz w:val="22"/>
          <w:szCs w:val="22"/>
        </w:rPr>
        <w:t xml:space="preserve">MVVM with Hilt dependency injection: Developed a deep practical understanding of how Hilt is used to provide ViewModels, repositories, DAOs, and infrastructure dependencies across a multi-module project. Understanding how Hilt modules are defined in the data layer and consumed by the feature layer clarified how the dependency graph is constructed and why this approach produces a codebase that is far easier to test and maintain than one relying on manual dependency construction.</w:t>
      </w:r>
    </w:p>
    <w:p>
      <w:pPr>
        <w:pStyle w:val="ListParagraph"/>
        <w:numPr>
          <w:ilvl w:val="0"/>
          <w:numId w:val="2"/>
        </w:numPr>
        <w:spacing w:after="60" w:before="60" w:line="330"/>
      </w:pPr>
      <w:r>
        <w:rPr>
          <w:rFonts w:ascii="Times New Roman" w:cs="Times New Roman" w:eastAsia="Times New Roman" w:hAnsi="Times New Roman"/>
          <w:sz w:val="22"/>
          <w:szCs w:val="22"/>
        </w:rPr>
        <w:t xml:space="preserve">Room database design and reactive queries: Acquired practical skills in Room entity design, DAO definition, and the use of Room-backed Kotlin Flows to drive reactive UI updates across multiple screens simultaneously. The key insight was that a single Room write can trigger reactive updates across an arbitrary number of ViewModel subscribers — making the database the coordination layer for the entire application's state.</w:t>
      </w:r>
    </w:p>
    <w:p>
      <w:pPr>
        <w:pStyle w:val="ListParagraph"/>
        <w:numPr>
          <w:ilvl w:val="0"/>
          <w:numId w:val="2"/>
        </w:numPr>
        <w:spacing w:after="60" w:before="60" w:line="330"/>
      </w:pPr>
      <w:r>
        <w:rPr>
          <w:rFonts w:ascii="Times New Roman" w:cs="Times New Roman" w:eastAsia="Times New Roman" w:hAnsi="Times New Roman"/>
          <w:sz w:val="22"/>
          <w:szCs w:val="22"/>
        </w:rPr>
        <w:t xml:space="preserve">Kotlin Coroutines and Flow: Gained practical experience in writing and consuming Kotlin Flows in a production context, including the combination of multiple flows in repository implementations and the safe collection of flows in Compose screens using lifecycle-aware coroutine scope management.</w:t>
      </w:r>
    </w:p>
    <w:p>
      <w:pPr>
        <w:pStyle w:val="ListParagraph"/>
        <w:numPr>
          <w:ilvl w:val="0"/>
          <w:numId w:val="2"/>
        </w:numPr>
        <w:spacing w:after="60" w:before="60" w:line="330"/>
      </w:pPr>
      <w:r>
        <w:rPr>
          <w:rFonts w:ascii="Times New Roman" w:cs="Times New Roman" w:eastAsia="Times New Roman" w:hAnsi="Times New Roman"/>
          <w:sz w:val="22"/>
          <w:szCs w:val="22"/>
        </w:rPr>
        <w:t xml:space="preserve">Validation use case design: Understood how validation logic is most effectively isolated in dedicated use case classes in the domain layer, tested independently of UI and database, and consumed by ViewModels as a dependency. The ValidateOnboardingInputUseCase and ValidateRainfallInputUseCase are clean examples of this pattern.</w:t>
      </w:r>
    </w:p>
    <w:p>
      <w:pPr>
        <w:pStyle w:val="ListParagraph"/>
        <w:numPr>
          <w:ilvl w:val="0"/>
          <w:numId w:val="2"/>
        </w:numPr>
        <w:spacing w:after="60" w:before="60" w:line="330"/>
      </w:pPr>
      <w:r>
        <w:rPr>
          <w:rFonts w:ascii="Times New Roman" w:cs="Times New Roman" w:eastAsia="Times New Roman" w:hAnsi="Times New Roman"/>
          <w:sz w:val="22"/>
          <w:szCs w:val="22"/>
        </w:rPr>
        <w:t xml:space="preserve">Retrofit and network layer design: Studied how the Retrofit client is configured in the core:network module, how API response models are defined, and how network failures are handled gracefully in the repository layer to prevent crashes and maintain a coherent user experience.</w:t>
      </w:r>
    </w:p>
    <w:p>
      <w:pPr>
        <w:pStyle w:val="ListParagraph"/>
        <w:numPr>
          <w:ilvl w:val="0"/>
          <w:numId w:val="2"/>
        </w:numPr>
        <w:spacing w:after="60" w:before="60" w:line="330"/>
      </w:pPr>
      <w:r>
        <w:rPr>
          <w:rFonts w:ascii="Times New Roman" w:cs="Times New Roman" w:eastAsia="Times New Roman" w:hAnsi="Times New Roman"/>
          <w:sz w:val="22"/>
          <w:szCs w:val="22"/>
        </w:rPr>
        <w:t xml:space="preserve">Hardcoded constants awareness: Developed an appreciation for the engineering discipline of documenting the reasoning behind hardcoded constants — the 0.85 runoff coefficient, the 0.6 monthly savings multiplier, the 500mm rainfall cap, the 350-litre baseline divisor — rather than leaving their derivation implicit. This documentation practice is essential for the long-term maintainability of any data-driven application.</w:t>
      </w:r>
    </w:p>
    <w:p>
      <w:pPr>
        <w:pStyle w:val="ListParagraph"/>
        <w:numPr>
          <w:ilvl w:val="0"/>
          <w:numId w:val="2"/>
        </w:numPr>
        <w:spacing w:after="60" w:before="60" w:line="330"/>
      </w:pPr>
      <w:r>
        <w:rPr>
          <w:rFonts w:ascii="Times New Roman" w:cs="Times New Roman" w:eastAsia="Times New Roman" w:hAnsi="Times New Roman"/>
          <w:sz w:val="22"/>
          <w:szCs w:val="22"/>
        </w:rPr>
        <w:t xml:space="preserve">Generative AI-assisted development: Gained working experience in using Generative AI tools as force multipliers in the development workflow — for rapid code scaffolding, logic review against expected behaviour, documentation generation, and structured exploration of implementation alternatives — while developing the judgment to evaluate AI-generated outputs critically rather than accepting them uncritically.</w:t>
      </w:r>
    </w:p>
    <w:p>
      <w:pPr>
        <w:pStyle w:val="Heading2"/>
        <w:spacing w:after="80" w:before="200"/>
      </w:pPr>
      <w:r>
        <w:rPr>
          <w:rFonts w:ascii="Arial" w:cs="Arial" w:eastAsia="Arial" w:hAnsi="Arial"/>
          <w:b/>
          <w:bCs/>
          <w:color w:val="2E75B6"/>
          <w:sz w:val="26"/>
          <w:szCs w:val="26"/>
        </w:rPr>
        <w:t xml:space="preserve">Professional Outcomes</w:t>
      </w:r>
    </w:p>
    <w:p>
      <w:pPr>
        <w:spacing w:after="100" w:before="60" w:line="340"/>
        <w:jc w:val="both"/>
      </w:pPr>
      <w:r>
        <w:rPr>
          <w:rFonts w:ascii="Times New Roman" w:cs="Times New Roman" w:eastAsia="Times New Roman" w:hAnsi="Times New Roman"/>
          <w:sz w:val="24"/>
          <w:szCs w:val="24"/>
        </w:rPr>
        <w:t xml:space="preserve">Beyond the technical domain, the internship produced important and durable shifts in professional mindset and engineering orientation that will inform the approach to software development throughout a career:</w:t>
      </w:r>
    </w:p>
    <w:p>
      <w:pPr>
        <w:pStyle w:val="ListParagraph"/>
        <w:numPr>
          <w:ilvl w:val="0"/>
          <w:numId w:val="2"/>
        </w:numPr>
        <w:spacing w:after="60" w:before="60" w:line="330"/>
      </w:pPr>
      <w:r>
        <w:rPr>
          <w:rFonts w:ascii="Times New Roman" w:cs="Times New Roman" w:eastAsia="Times New Roman" w:hAnsi="Times New Roman"/>
          <w:sz w:val="22"/>
          <w:szCs w:val="22"/>
        </w:rPr>
        <w:t xml:space="preserve">Quality-review mindset: The most important professional shift produced by the internship was the transition from asking 'does it work?' to asking 'does it work correctly, consistently, and safely?' The sustainability score inconsistency was the central case study for this shift: both the dashboard and reports calculations 'worked' in the narrow sense that they executed without errors, but they produced results that were inconsistent with each other in a way that undermined the coherence of the user experience. Identifying this class of problem — where individual correctness does not guarantee system-level coherence — requires a quality-review mindset that spans module boundaries.</w:t>
      </w:r>
    </w:p>
    <w:p>
      <w:pPr>
        <w:pStyle w:val="ListParagraph"/>
        <w:numPr>
          <w:ilvl w:val="0"/>
          <w:numId w:val="2"/>
        </w:numPr>
        <w:spacing w:after="60" w:before="60" w:line="330"/>
      </w:pPr>
      <w:r>
        <w:rPr>
          <w:rFonts w:ascii="Times New Roman" w:cs="Times New Roman" w:eastAsia="Times New Roman" w:hAnsi="Times New Roman"/>
          <w:sz w:val="22"/>
          <w:szCs w:val="22"/>
        </w:rPr>
        <w:t xml:space="preserve">Codebase analysis skills: Developed a significant improvement in the ability to navigate and comprehend a production-quality multi-module Android codebase written by others. This includes the ability to identify entry points, trace data flows, locate business logic, understand module dependencies, and map the relationship between the codebase's current state and its planned future direction. This skill is arguably more practically important than the ability to write code from scratch, since the majority of professional engineering work involves extending, modifying, and debugging existing systems.</w:t>
      </w:r>
    </w:p>
    <w:p>
      <w:pPr>
        <w:pStyle w:val="ListParagraph"/>
        <w:numPr>
          <w:ilvl w:val="0"/>
          <w:numId w:val="2"/>
        </w:numPr>
        <w:spacing w:after="60" w:before="60" w:line="330"/>
      </w:pPr>
      <w:r>
        <w:rPr>
          <w:rFonts w:ascii="Times New Roman" w:cs="Times New Roman" w:eastAsia="Times New Roman" w:hAnsi="Times New Roman"/>
          <w:sz w:val="22"/>
          <w:szCs w:val="22"/>
        </w:rPr>
        <w:t xml:space="preserve">Cross-module thinking: Developed the capacity to reason about the cross-cutting effects of implementation decisions — to trace how a data model definition in core:model propagates its implications through DAOs in core:database, through repository implementations in feature modules, through ViewModels, and ultimately into UI rendering. This systemic thinking is essential for identifying bugs and inconsistencies that are invisible from within any single module.</w:t>
      </w:r>
    </w:p>
    <w:p>
      <w:pPr>
        <w:pStyle w:val="ListParagraph"/>
        <w:numPr>
          <w:ilvl w:val="0"/>
          <w:numId w:val="2"/>
        </w:numPr>
        <w:spacing w:after="60" w:before="60" w:line="330"/>
      </w:pPr>
      <w:r>
        <w:rPr>
          <w:rFonts w:ascii="Times New Roman" w:cs="Times New Roman" w:eastAsia="Times New Roman" w:hAnsi="Times New Roman"/>
          <w:sz w:val="22"/>
          <w:szCs w:val="22"/>
        </w:rPr>
        <w:t xml:space="preserve">Documentation as an engineering practice: Understood documentation not as a post-development chore but as an integral part of the engineering process. The existence of the APP_END_TO_END_GUIDE.md — which documents not just what the application does but what its known limitations are, what its hardcoded constants mean, and what the gap is between its current implementation and its intended future state — is a model of the kind of living technical documentation that makes a codebase genuinely maintainable by a team over time.</w:t>
      </w:r>
    </w:p>
    <w:p>
      <w:pPr>
        <w:pStyle w:val="ListParagraph"/>
        <w:numPr>
          <w:ilvl w:val="0"/>
          <w:numId w:val="2"/>
        </w:numPr>
        <w:spacing w:after="60" w:before="60" w:line="330"/>
      </w:pPr>
      <w:r>
        <w:rPr>
          <w:rFonts w:ascii="Times New Roman" w:cs="Times New Roman" w:eastAsia="Times New Roman" w:hAnsi="Times New Roman"/>
          <w:sz w:val="22"/>
          <w:szCs w:val="22"/>
        </w:rPr>
        <w:t xml:space="preserve">Planned vs. implemented distinction: Gained appreciation for the professional importance of clearly distinguishing between what is implemented in the current version of a product and what is planned for future versions. The stub modules for authentication, analytics, sustainability, and notifications in the Jal Sanchay Tracker are a concrete example of this distinction: they represent product intent and architectural preparation, but they are not functional features. Treating them as implemented would produce incorrect analyses and incorrect user expectations.</w:t>
      </w:r>
    </w:p>
    <w:p>
      <w:pPr>
        <w:pStyle w:val="ListParagraph"/>
        <w:numPr>
          <w:ilvl w:val="0"/>
          <w:numId w:val="2"/>
        </w:numPr>
        <w:spacing w:after="60" w:before="60" w:line="330"/>
      </w:pPr>
      <w:r>
        <w:rPr>
          <w:rFonts w:ascii="Times New Roman" w:cs="Times New Roman" w:eastAsia="Times New Roman" w:hAnsi="Times New Roman"/>
          <w:sz w:val="22"/>
          <w:szCs w:val="22"/>
        </w:rPr>
        <w:t xml:space="preserve">Technical communication: Developed a measurable improvement in the ability to describe technical observations precisely and constructively — identifying what was observed, explaining its significance in terms of user impact and engineering risk, and proposing specific, actionable remediations. This communication skill is foundational for effective participation in any professional engineering team.</w:t>
      </w:r>
    </w:p>
    <w:p>
      <w:pPr>
        <w:pStyle w:val="Heading2"/>
        <w:spacing w:after="80" w:before="200"/>
      </w:pPr>
      <w:r>
        <w:rPr>
          <w:rFonts w:ascii="Arial" w:cs="Arial" w:eastAsia="Arial" w:hAnsi="Arial"/>
          <w:b/>
          <w:bCs/>
          <w:color w:val="2E75B6"/>
          <w:sz w:val="26"/>
          <w:szCs w:val="26"/>
        </w:rPr>
        <w:t xml:space="preserve">Alignment with MindMatrix.io's 7P Framework</w:t>
      </w:r>
    </w:p>
    <w:p>
      <w:pPr>
        <w:spacing w:after="100" w:before="60" w:line="340"/>
        <w:jc w:val="both"/>
      </w:pPr>
      <w:r>
        <w:rPr>
          <w:rFonts w:ascii="Times New Roman" w:cs="Times New Roman" w:eastAsia="Times New Roman" w:hAnsi="Times New Roman"/>
          <w:sz w:val="24"/>
          <w:szCs w:val="24"/>
        </w:rPr>
        <w:t xml:space="preserve">A reflective review of the internship outcomes against MindMatrix.io's 7P Framework reveals that the programme delivered substantive value across all seven dimensions, confirming that the framework functions as an effective design tool for structuring internship experiences that develop the full spectrum of professional competencies:</w:t>
      </w:r>
    </w:p>
    <w:p>
      <w:pPr>
        <w:pStyle w:val="ListParagraph"/>
        <w:numPr>
          <w:ilvl w:val="0"/>
          <w:numId w:val="2"/>
        </w:numPr>
        <w:spacing w:after="60" w:before="60" w:line="330"/>
      </w:pPr>
      <w:r>
        <w:rPr>
          <w:rFonts w:ascii="Times New Roman" w:cs="Times New Roman" w:eastAsia="Times New Roman" w:hAnsi="Times New Roman"/>
          <w:sz w:val="22"/>
          <w:szCs w:val="22"/>
        </w:rPr>
        <w:t xml:space="preserve">Presence was established through the development of a complete, architecturally sound, and functionally rich Android application — a real artefact that demonstrates competence in a way that no exam score or course completion certificate can replicate.</w:t>
      </w:r>
    </w:p>
    <w:p>
      <w:pPr>
        <w:pStyle w:val="ListParagraph"/>
        <w:numPr>
          <w:ilvl w:val="0"/>
          <w:numId w:val="2"/>
        </w:numPr>
        <w:spacing w:after="60" w:before="60" w:line="330"/>
      </w:pPr>
      <w:r>
        <w:rPr>
          <w:rFonts w:ascii="Times New Roman" w:cs="Times New Roman" w:eastAsia="Times New Roman" w:hAnsi="Times New Roman"/>
          <w:sz w:val="22"/>
          <w:szCs w:val="22"/>
        </w:rPr>
        <w:t xml:space="preserve">Perspective was sharpened through the critical analysis activities that ran throughout the internship — the identification of the sustainability score inconsistency, the analysis of the reports deletion behaviour, the examination of the gap between the AI Advisor's name and its implementation, and the documentation of the known limitations and recommended improvements in the technical guide.</w:t>
      </w:r>
    </w:p>
    <w:p>
      <w:pPr>
        <w:pStyle w:val="ListParagraph"/>
        <w:numPr>
          <w:ilvl w:val="0"/>
          <w:numId w:val="2"/>
        </w:numPr>
        <w:spacing w:after="60" w:before="60" w:line="330"/>
      </w:pPr>
      <w:r>
        <w:rPr>
          <w:rFonts w:ascii="Times New Roman" w:cs="Times New Roman" w:eastAsia="Times New Roman" w:hAnsi="Times New Roman"/>
          <w:sz w:val="22"/>
          <w:szCs w:val="22"/>
        </w:rPr>
        <w:t xml:space="preserve">Preparation was deepened through the hands-on application of every major component of the modern Android development stack: Kotlin, Jetpack Compose, MVVM, Hilt, Room, Kotlin Flows, Retrofit, and Firebase.</w:t>
      </w:r>
    </w:p>
    <w:p>
      <w:pPr>
        <w:pStyle w:val="ListParagraph"/>
        <w:numPr>
          <w:ilvl w:val="0"/>
          <w:numId w:val="2"/>
        </w:numPr>
        <w:spacing w:after="60" w:before="60" w:line="330"/>
      </w:pPr>
      <w:r>
        <w:rPr>
          <w:rFonts w:ascii="Times New Roman" w:cs="Times New Roman" w:eastAsia="Times New Roman" w:hAnsi="Times New Roman"/>
          <w:sz w:val="22"/>
          <w:szCs w:val="22"/>
        </w:rPr>
        <w:t xml:space="preserve">Practice was the dominant mode of learning throughout the development phase of the internship — working with a real codebase, real architectural decisions, real data flows, and real product inconsistencies, rather than with simplified tutorial examples.</w:t>
      </w:r>
    </w:p>
    <w:p>
      <w:pPr>
        <w:pStyle w:val="ListParagraph"/>
        <w:numPr>
          <w:ilvl w:val="0"/>
          <w:numId w:val="2"/>
        </w:numPr>
        <w:spacing w:after="60" w:before="60" w:line="330"/>
      </w:pPr>
      <w:r>
        <w:rPr>
          <w:rFonts w:ascii="Times New Roman" w:cs="Times New Roman" w:eastAsia="Times New Roman" w:hAnsi="Times New Roman"/>
          <w:sz w:val="22"/>
          <w:szCs w:val="22"/>
        </w:rPr>
        <w:t xml:space="preserve">Profiling was enriched by the documentation of competencies across architecture, validation, reactive UI, data flow, cross-module consistency, and AI-assisted development — a multi-dimensional competency profile that is directly mapped to the skills sought by Android engineering employers.</w:t>
      </w:r>
    </w:p>
    <w:p>
      <w:pPr>
        <w:pStyle w:val="ListParagraph"/>
        <w:numPr>
          <w:ilvl w:val="0"/>
          <w:numId w:val="2"/>
        </w:numPr>
        <w:spacing w:after="60" w:before="60" w:line="330"/>
      </w:pPr>
      <w:r>
        <w:rPr>
          <w:rFonts w:ascii="Times New Roman" w:cs="Times New Roman" w:eastAsia="Times New Roman" w:hAnsi="Times New Roman"/>
          <w:sz w:val="22"/>
          <w:szCs w:val="22"/>
        </w:rPr>
        <w:t xml:space="preserve">Projection is supported by this report and the associated project artefacts, which together constitute a professional portfolio piece demonstrating the depth and breadth of the competencies developed.</w:t>
      </w:r>
    </w:p>
    <w:p>
      <w:pPr>
        <w:pStyle w:val="ListParagraph"/>
        <w:numPr>
          <w:ilvl w:val="0"/>
          <w:numId w:val="2"/>
        </w:numPr>
        <w:spacing w:after="60" w:before="60" w:line="330"/>
      </w:pPr>
      <w:r>
        <w:rPr>
          <w:rFonts w:ascii="Times New Roman" w:cs="Times New Roman" w:eastAsia="Times New Roman" w:hAnsi="Times New Roman"/>
          <w:sz w:val="22"/>
          <w:szCs w:val="22"/>
        </w:rPr>
        <w:t xml:space="preserve">Progression is anchored in the engineering mindset cultivated during the internship — the quality-oriented, architecturally-aware, cross-module perspective that will continue to deepen and compound in value throughout a professional career.</w:t>
      </w:r>
    </w:p>
    <w:p>
      <w:r>
        <w:br w:type="page"/>
      </w:r>
    </w:p>
    <w:p>
      <w:pPr>
        <w:pStyle w:val="Heading1"/>
        <w:pBdr>
          <w:bottom w:val="single" w:color="2E75B6" w:sz="8" w:space="6"/>
        </w:pBdr>
        <w:spacing w:after="100" w:before="240"/>
      </w:pPr>
      <w:r>
        <w:rPr>
          <w:rFonts w:ascii="Arial" w:cs="Arial" w:eastAsia="Arial" w:hAnsi="Arial"/>
          <w:b/>
          <w:bCs/>
          <w:color w:val="1F4E79"/>
          <w:sz w:val="32"/>
          <w:szCs w:val="32"/>
        </w:rPr>
        <w:t xml:space="preserve">Conclusion / Summary</w:t>
      </w:r>
    </w:p>
    <w:p>
      <w:pPr>
        <w:pStyle w:val="Heading2"/>
        <w:spacing w:after="80" w:before="200"/>
      </w:pPr>
      <w:r>
        <w:rPr>
          <w:rFonts w:ascii="Arial" w:cs="Arial" w:eastAsia="Arial" w:hAnsi="Arial"/>
          <w:b/>
          <w:bCs/>
          <w:color w:val="2E75B6"/>
          <w:sz w:val="26"/>
          <w:szCs w:val="26"/>
        </w:rPr>
        <w:t xml:space="preserve">Summary of Work Done</w:t>
      </w:r>
    </w:p>
    <w:p>
      <w:pPr>
        <w:spacing w:after="100" w:before="60" w:line="340"/>
        <w:jc w:val="both"/>
      </w:pPr>
      <w:r>
        <w:rPr>
          <w:rFonts w:ascii="Times New Roman" w:cs="Times New Roman" w:eastAsia="Times New Roman" w:hAnsi="Times New Roman"/>
          <w:sz w:val="24"/>
          <w:szCs w:val="24"/>
        </w:rPr>
        <w:t xml:space="preserve">The internship at MindMatrix.io, undertaken under the Android App Development Using Generative AI programme, involved the comprehensive study, development, and critical analysis of the Jal Sanchay Tracker — a feature-complete Android application for household rainwater harvesting tracking and sustainability monitoring. Built on a modern Kotlin-first technology stack comprising Jetpack Compose, MVVM architecture, Hilt dependency injection, Room database persistence, Kotlin Coroutines and Flow, and Open-Meteo weather API integration, the application represents a clean V1 implementation of a product that addresses a genuine and underserved need in the landscape of consumer environmental tools.</w:t>
      </w:r>
    </w:p>
    <w:p>
      <w:pPr>
        <w:spacing w:after="100" w:before="60" w:line="340"/>
        <w:jc w:val="both"/>
      </w:pPr>
      <w:r>
        <w:rPr>
          <w:rFonts w:ascii="Times New Roman" w:cs="Times New Roman" w:eastAsia="Times New Roman" w:hAnsi="Times New Roman"/>
          <w:sz w:val="24"/>
          <w:szCs w:val="24"/>
        </w:rPr>
        <w:t xml:space="preserve">Over the course of the internship, every major implemented feature module was engaged with in depth: the onboarding module and its validation-backed UserProfile capture; the rainfall entry module with its collection formula, validation rules, and reactive database writes; the dashboard module with its multi-flow combination logic, derived metric calculations, and StateFlow-driven Compose rendering; the reports module with its in-memory monthly aggregation, live-computed summaries, and the important architectural detail that deleting a report deletes raw rainfall entries; the AI Advisor module with its deterministic, local recommendation generation; and the settings module with its profile editing capability. The supporting tips module and the planned stub modules for authentication, analytics, sustainability, and notifications were also studied and contextualised within the product's current state and future trajectory.</w:t>
      </w:r>
    </w:p>
    <w:p>
      <w:pPr>
        <w:spacing w:after="100" w:before="60" w:line="340"/>
        <w:jc w:val="both"/>
      </w:pPr>
      <w:r>
        <w:rPr>
          <w:rFonts w:ascii="Times New Roman" w:cs="Times New Roman" w:eastAsia="Times New Roman" w:hAnsi="Times New Roman"/>
          <w:sz w:val="24"/>
          <w:szCs w:val="24"/>
        </w:rPr>
        <w:t xml:space="preserve">The work demonstrated in concrete, experiential terms that software quality is a multi-dimensional property that cannot be reduced to any single measure. A feature can be individually correct and still produce results that are inconsistent with another feature. An application can be functionally complete and still contain hardcoded constants whose derivation is undocumented. A module name can imply capabilities the module does not yet have. Recognising these dimensions of quality, and developing the habits of thought required to systematically evaluate them, was the deepest and most professionally durable outcome of the internship.</w:t>
      </w:r>
    </w:p>
    <w:p>
      <w:pPr>
        <w:pStyle w:val="Heading2"/>
        <w:spacing w:after="80" w:before="200"/>
      </w:pPr>
      <w:r>
        <w:rPr>
          <w:rFonts w:ascii="Arial" w:cs="Arial" w:eastAsia="Arial" w:hAnsi="Arial"/>
          <w:b/>
          <w:bCs/>
          <w:color w:val="2E75B6"/>
          <w:sz w:val="26"/>
          <w:szCs w:val="26"/>
        </w:rPr>
        <w:t xml:space="preserve">Key Takeaways</w:t>
      </w:r>
    </w:p>
    <w:p>
      <w:pPr>
        <w:spacing w:after="100" w:before="60" w:line="340"/>
        <w:jc w:val="both"/>
      </w:pPr>
      <w:r>
        <w:rPr>
          <w:rFonts w:ascii="Times New Roman" w:cs="Times New Roman" w:eastAsia="Times New Roman" w:hAnsi="Times New Roman"/>
          <w:sz w:val="24"/>
          <w:szCs w:val="24"/>
        </w:rPr>
        <w:t xml:space="preserve">Three overarching takeaways capture the most important lessons of the internship:</w:t>
      </w:r>
    </w:p>
    <w:p>
      <w:pPr>
        <w:pStyle w:val="ListParagraph"/>
        <w:numPr>
          <w:ilvl w:val="0"/>
          <w:numId w:val="2"/>
        </w:numPr>
        <w:spacing w:after="60" w:before="60" w:line="330"/>
      </w:pPr>
      <w:r>
        <w:rPr>
          <w:rFonts w:ascii="Times New Roman" w:cs="Times New Roman" w:eastAsia="Times New Roman" w:hAnsi="Times New Roman"/>
          <w:sz w:val="22"/>
          <w:szCs w:val="22"/>
        </w:rPr>
        <w:t xml:space="preserve">Architecture is the prerequisite for everything else. The multi-module MVVM architecture of the Jal Sanchay Tracker — with its clean separation of app, core, and feature layers; its reactive Room-backed data flows; its Hilt-managed dependency graph; and its domain-layer validation use cases — produced tangible, experienced benefits in testability, maintainability, and reasoning clarity. These were not hypothetical benefits discussed in a lecture: they were encountered directly while tracing data flows, identifying inconsistencies, and understanding how changes in one layer propagate through the system. A developer who understands why this architecture was designed the way it was, not just how to use its components, is a fundamentally more capable Android engineer.</w:t>
      </w:r>
    </w:p>
    <w:p>
      <w:pPr>
        <w:pStyle w:val="ListParagraph"/>
        <w:numPr>
          <w:ilvl w:val="0"/>
          <w:numId w:val="2"/>
        </w:numPr>
        <w:spacing w:after="60" w:before="60" w:line="330"/>
      </w:pPr>
      <w:r>
        <w:rPr>
          <w:rFonts w:ascii="Times New Roman" w:cs="Times New Roman" w:eastAsia="Times New Roman" w:hAnsi="Times New Roman"/>
          <w:sz w:val="22"/>
          <w:szCs w:val="22"/>
        </w:rPr>
        <w:t xml:space="preserve">Consistency is a product quality property, not a technical one. The sustainability score inconsistency between the dashboard and reports modules was technically invisible — both calculations executed correctly in isolation, both passed whatever tests existed for their individual components. The inconsistency was only visible at the system level, from the perspective of a user who interacted with both screens. This is the nature of product consistency failures: they are not caught by unit tests, they are not surfaced by code review that looks at one module at a time, and they are not prevented by any single engineering practice. They require deliberate cross-module review, shared business logic, and a product engineering culture that treats user-visible coherence as a first-class requirement. This lesson will inform every multi-module feature developed going forward.</w:t>
      </w:r>
    </w:p>
    <w:p>
      <w:pPr>
        <w:pStyle w:val="ListParagraph"/>
        <w:numPr>
          <w:ilvl w:val="0"/>
          <w:numId w:val="2"/>
        </w:numPr>
        <w:spacing w:after="60" w:before="60" w:line="330"/>
      </w:pPr>
      <w:r>
        <w:rPr>
          <w:rFonts w:ascii="Times New Roman" w:cs="Times New Roman" w:eastAsia="Times New Roman" w:hAnsi="Times New Roman"/>
          <w:sz w:val="22"/>
          <w:szCs w:val="22"/>
        </w:rPr>
        <w:t xml:space="preserve">The gap between intent and implementation is a normal state in real software. The Jal Sanchay Tracker's stub modules for authentication, analytics, sustainability, and notifications; its monthly_report table that exists in the database schema but is not used by the active reports screen; its AI Advisor that does not use AI in its current implementation; its notification toggle that is not persisted — all of these represent the natural distance between a product's current state and its intended direction. Learning to work productively with this gap — to understand what is implemented versus what is planned, to document that distinction clearly, and to design the implemented parts in ways that make the planned extensions straightforward — is one of the most practically important skills a professional engineer can develop.</w:t>
      </w:r>
    </w:p>
    <w:p>
      <w:pPr>
        <w:pStyle w:val="Heading2"/>
        <w:spacing w:after="80" w:before="200"/>
      </w:pPr>
      <w:r>
        <w:rPr>
          <w:rFonts w:ascii="Arial" w:cs="Arial" w:eastAsia="Arial" w:hAnsi="Arial"/>
          <w:b/>
          <w:bCs/>
          <w:color w:val="2E75B6"/>
          <w:sz w:val="26"/>
          <w:szCs w:val="26"/>
        </w:rPr>
        <w:t xml:space="preserve">Future Scope</w:t>
      </w:r>
    </w:p>
    <w:p>
      <w:pPr>
        <w:spacing w:after="100" w:before="60" w:line="340"/>
        <w:jc w:val="both"/>
      </w:pPr>
      <w:r>
        <w:rPr>
          <w:rFonts w:ascii="Times New Roman" w:cs="Times New Roman" w:eastAsia="Times New Roman" w:hAnsi="Times New Roman"/>
          <w:sz w:val="24"/>
          <w:szCs w:val="24"/>
        </w:rPr>
        <w:t xml:space="preserve">The Jal Sanchay Tracker in its current V1 state establishes a strong architectural foundation and a coherent core user journey. Several meaningful directions for future development are clearly suggested by both the current implementation and the planned but not yet active modules:</w:t>
      </w:r>
    </w:p>
    <w:p>
      <w:pPr>
        <w:pStyle w:val="ListParagraph"/>
        <w:numPr>
          <w:ilvl w:val="0"/>
          <w:numId w:val="2"/>
        </w:numPr>
        <w:spacing w:after="60" w:before="60" w:line="330"/>
      </w:pPr>
      <w:r>
        <w:rPr>
          <w:rFonts w:ascii="Times New Roman" w:cs="Times New Roman" w:eastAsia="Times New Roman" w:hAnsi="Times New Roman"/>
          <w:sz w:val="22"/>
          <w:szCs w:val="22"/>
        </w:rPr>
        <w:t xml:space="preserve">Score unification: The most immediately impactful product improvement would be to define a single, canonical sustainability score formula in a shared domain-layer use case, and have all screens that display a score — currently the dashboard and reports modules — call that shared function. This would eliminate the user-visible inconsistency identified during the internship and lay the groundwork for a more meaningful and explainable sustainability metric.</w:t>
      </w:r>
    </w:p>
    <w:p>
      <w:pPr>
        <w:pStyle w:val="ListParagraph"/>
        <w:numPr>
          <w:ilvl w:val="0"/>
          <w:numId w:val="2"/>
        </w:numPr>
        <w:spacing w:after="60" w:before="60" w:line="330"/>
      </w:pPr>
      <w:r>
        <w:rPr>
          <w:rFonts w:ascii="Times New Roman" w:cs="Times New Roman" w:eastAsia="Times New Roman" w:hAnsi="Times New Roman"/>
          <w:sz w:val="22"/>
          <w:szCs w:val="22"/>
        </w:rPr>
        <w:t xml:space="preserve">Monthly report persistence: The monthly_report Room table exists but is not currently used. Activating it — writing computed monthly summaries to the table at appropriate trigger points and reading from it in the reports screen — would improve reporting performance for large datasets and enable report archiving, independent of the raw rainfall entries.</w:t>
      </w:r>
    </w:p>
    <w:p>
      <w:pPr>
        <w:pStyle w:val="ListParagraph"/>
        <w:numPr>
          <w:ilvl w:val="0"/>
          <w:numId w:val="2"/>
        </w:numPr>
        <w:spacing w:after="60" w:before="60" w:line="330"/>
      </w:pPr>
      <w:r>
        <w:rPr>
          <w:rFonts w:ascii="Times New Roman" w:cs="Times New Roman" w:eastAsia="Times New Roman" w:hAnsi="Times New Roman"/>
          <w:sz w:val="22"/>
          <w:szCs w:val="22"/>
        </w:rPr>
        <w:t xml:space="preserve">Authentication module activation: The feature:authentication stub module exists in the Gradle configuration. Activating it would enable multi-device usage, cloud synchronisation, and the ability to share sustainability data with household members or community platforms — transforming the application from a single-device personal tool into a connected household utility.</w:t>
      </w:r>
    </w:p>
    <w:p>
      <w:pPr>
        <w:pStyle w:val="ListParagraph"/>
        <w:numPr>
          <w:ilvl w:val="0"/>
          <w:numId w:val="2"/>
        </w:numPr>
        <w:spacing w:after="60" w:before="60" w:line="330"/>
      </w:pPr>
      <w:r>
        <w:rPr>
          <w:rFonts w:ascii="Times New Roman" w:cs="Times New Roman" w:eastAsia="Times New Roman" w:hAnsi="Times New Roman"/>
          <w:sz w:val="22"/>
          <w:szCs w:val="22"/>
        </w:rPr>
        <w:t xml:space="preserve">Notifications module activation: The feature:notifications stub and the notification toggle in the settings screen are currently non-functional. Implementing scheduled notifications — daily rainfall logging reminders, weekly sustainability score updates, or alerts when the tank fill percentage drops below a threshold — would significantly improve user engagement and data completeness.</w:t>
      </w:r>
    </w:p>
    <w:p>
      <w:pPr>
        <w:pStyle w:val="ListParagraph"/>
        <w:numPr>
          <w:ilvl w:val="0"/>
          <w:numId w:val="2"/>
        </w:numPr>
        <w:spacing w:after="60" w:before="60" w:line="330"/>
      </w:pPr>
      <w:r>
        <w:rPr>
          <w:rFonts w:ascii="Times New Roman" w:cs="Times New Roman" w:eastAsia="Times New Roman" w:hAnsi="Times New Roman"/>
          <w:sz w:val="22"/>
          <w:szCs w:val="22"/>
        </w:rPr>
        <w:t xml:space="preserve">Analytics module activation: The feature:analytics stub and the Firebase Analytics dependency are present but not producing analytics events. Activating structured event logging would give the product team visibility into feature usage patterns, drop-off points, and the most impactful areas for UX improvement.</w:t>
      </w:r>
    </w:p>
    <w:p>
      <w:pPr>
        <w:pStyle w:val="ListParagraph"/>
        <w:numPr>
          <w:ilvl w:val="0"/>
          <w:numId w:val="2"/>
        </w:numPr>
        <w:spacing w:after="60" w:before="60" w:line="330"/>
      </w:pPr>
      <w:r>
        <w:rPr>
          <w:rFonts w:ascii="Times New Roman" w:cs="Times New Roman" w:eastAsia="Times New Roman" w:hAnsi="Times New Roman"/>
          <w:sz w:val="22"/>
          <w:szCs w:val="22"/>
        </w:rPr>
        <w:t xml:space="preserve">Hardcoded constant documentation and configurability: The constants currently baked into the calculation logic — the 0.85 runoff coefficient, the 0.6 monthly savings multiplier, the 500mm rainfall cap, the 350-litre daily baseline — should be documented with their derivations and, where appropriate, made configurable through the settings screen to accommodate different geographic regions and household types.</w:t>
      </w:r>
    </w:p>
    <w:p>
      <w:pPr>
        <w:pStyle w:val="ListParagraph"/>
        <w:numPr>
          <w:ilvl w:val="0"/>
          <w:numId w:val="2"/>
        </w:numPr>
        <w:spacing w:after="60" w:before="60" w:line="330"/>
      </w:pPr>
      <w:r>
        <w:rPr>
          <w:rFonts w:ascii="Times New Roman" w:cs="Times New Roman" w:eastAsia="Times New Roman" w:hAnsi="Times New Roman"/>
          <w:sz w:val="22"/>
          <w:szCs w:val="22"/>
        </w:rPr>
        <w:t xml:space="preserve">Genuine AI integration: The AI Advisor's deterministic rule-based recommendation engine is a solid V1 foundation. Replacing or augmenting it with an actual language model — either a cloud-based API or a locally-running on-device model using Android's ML Kit — would deliver on the feature's aspirational name and provide genuinely personalised, context-sensitive guidance that goes beyond what a fixed rule set can produce.</w:t>
      </w:r>
    </w:p>
    <w:p>
      <w:pPr>
        <w:pStyle w:val="Heading2"/>
        <w:spacing w:after="80" w:before="200"/>
      </w:pPr>
      <w:r>
        <w:rPr>
          <w:rFonts w:ascii="Arial" w:cs="Arial" w:eastAsia="Arial" w:hAnsi="Arial"/>
          <w:b/>
          <w:bCs/>
          <w:color w:val="2E75B6"/>
          <w:sz w:val="26"/>
          <w:szCs w:val="26"/>
        </w:rPr>
        <w:t xml:space="preserve">Final Reflection</w:t>
      </w:r>
    </w:p>
    <w:p>
      <w:pPr>
        <w:spacing w:after="100" w:before="60" w:line="340"/>
        <w:jc w:val="both"/>
      </w:pPr>
      <w:r>
        <w:rPr>
          <w:rFonts w:ascii="Times New Roman" w:cs="Times New Roman" w:eastAsia="Times New Roman" w:hAnsi="Times New Roman"/>
          <w:sz w:val="24"/>
          <w:szCs w:val="24"/>
        </w:rPr>
        <w:t xml:space="preserve">The internship at MindMatrix.io was a genuinely transformative educational and professional experience. The decision to structure the internship around a real, multi-module, production-quality Android application — rather than around a series of isolated exercises or a simplified tutorial project — was the most important single factor in the depth of the learning it produced. Real codebases have architectural decisions that were made for real reasons, inconsistencies that emerged from real development pressures, planned features that reflect real product thinking, and documentation gaps that represent real engineering debt. Engaging with all of these dimensions, rather than with a sanitised academic exercise, is what makes the transition from campus to professional practice meaningful rather than merely symbolic.</w:t>
      </w:r>
    </w:p>
    <w:p>
      <w:pPr>
        <w:spacing w:after="100" w:before="60" w:line="340"/>
        <w:jc w:val="both"/>
      </w:pPr>
      <w:r>
        <w:rPr>
          <w:rFonts w:ascii="Times New Roman" w:cs="Times New Roman" w:eastAsia="Times New Roman" w:hAnsi="Times New Roman"/>
          <w:sz w:val="24"/>
          <w:szCs w:val="24"/>
        </w:rPr>
        <w:t xml:space="preserve">MindMatrix.io's 7P Framework provided the structural scaffolding that ensured this engagement was purposeful rather than merely reactive. The deliberate progression from Preparation through Practice to Perspective to Profiling ensured that the technical work of the internship was always framed within a larger context of professional development — developing not just a specific skill set but a way of approaching problems, evaluating quality, communicating findings, and continuing to grow.</w:t>
      </w:r>
    </w:p>
    <w:p>
      <w:pPr>
        <w:spacing w:after="100" w:before="60" w:line="340"/>
        <w:jc w:val="both"/>
      </w:pPr>
      <w:r>
        <w:rPr>
          <w:rFonts w:ascii="Times New Roman" w:cs="Times New Roman" w:eastAsia="Times New Roman" w:hAnsi="Times New Roman"/>
          <w:sz w:val="24"/>
          <w:szCs w:val="24"/>
        </w:rPr>
        <w:t xml:space="preserve">The engineering mindset that this internship has cultivated — rigorous, cross-module, quality-oriented, architecturally aware, and consistently focused on the relationship between the code and the users it ultimately serves — is the most durable and most valuable outcome of the entire experience. It is the foundation on which a meaningful, consequential, and continuously improving engineering career will be built.</w:t>
      </w:r>
    </w:p>
    <w:sectPr>
      <w:headerReference w:type="default" r:id="rId7"/>
      <w:footerReference w:type="default" r:id="rId8"/>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b/>
        <w:bCs/>
        <w:color w:val="1F4E79"/>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color w:val="555555"/>
        <w:sz w:val="18"/>
        <w:szCs w:val="18"/>
      </w:rPr>
      <w:t xml:space="preserve">JSSATEB  |  Dept. of 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5"/>
      </w:pBdr>
      <w:spacing w:after="0"/>
    </w:pPr>
    <w:r>
      <w:rPr>
        <w:rFonts w:ascii="Arial" w:cs="Arial" w:eastAsia="Arial" w:hAnsi="Arial"/>
        <w:color w:val="1F4E79"/>
        <w:sz w:val="18"/>
        <w:szCs w:val="18"/>
      </w:rPr>
      <w:t xml:space="preserve">Jal Sanchay Tracker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2026-05-07T07:09:26.411Z</dcterms:created>
  <dcterms:modified xsi:type="dcterms:W3CDTF">2026-05-07T07:09:26.411Z</dcterms:modified>
</cp:coreProperties>
</file>

<file path=docProps/custom.xml><?xml version="1.0" encoding="utf-8"?>
<Properties xmlns="http://schemas.openxmlformats.org/officeDocument/2006/custom-properties" xmlns:vt="http://schemas.openxmlformats.org/officeDocument/2006/docPropsVTypes"/>
</file>