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p>
      <w:pPr>
        <w:pStyle w:val="Title"/>
      </w:pPr>
      <w:r>
        <w:t xml:space="preserve">Counselling-Day Duty Roster</w:t>
      </w:r>
    </w:p>
    <w:p>
      <w:pPr>
        <w:spacing w:after="120"/>
        <w:jc w:val="center"/>
      </w:pPr>
      <w:r>
        <w:rPr>
          <w:b/>
          <w:bCs/>
          <w:color w:val="2E5496"/>
          <w:sz w:val="20"/>
          <w:szCs w:val="20"/>
        </w:rPr>
        <w:t xml:space="preserve">B.ASLP Admission Counselling 2026–27  •  Offline (16 June) &amp; Online/NRI (15 June)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</w:t>
            </w:r>
          </w:p>
        </w:tc>
        <w:tc>
          <w:tcPr>
            <w:tcW w:type="dxa" w:w="67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— Online</w:t>
            </w:r>
          </w:p>
        </w:tc>
        <w:tc>
          <w:tcPr>
            <w:tcW w:type="dxa" w:w="67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2026, online mode (video platform). Offline option 16 June 2026.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 — Offline</w:t>
            </w:r>
          </w:p>
        </w:tc>
        <w:tc>
          <w:tcPr>
            <w:tcW w:type="dxa" w:w="67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2026, 9:00 AM – 3:00 PM, SGT Classroom, Academic Block, Yenepoya Medical College. Parent/guardian compulsory.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Admission Cell</w:t>
            </w:r>
          </w:p>
        </w:tc>
        <w:tc>
          <w:tcPr>
            <w:tcW w:type="dxa" w:w="67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HOD: Dr. Shwetha Prabhu  •  Coordinator: Mr. Hemaraja Nayaka S  •  SDA: Ms. Pooja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</w:t>
            </w:r>
          </w:p>
        </w:tc>
        <w:tc>
          <w:tcPr>
            <w:tcW w:type="dxa" w:w="67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aslp@yenepoya.edu.in  |  7337798055, 0824-2206000 (2228/2229)</w:t>
            </w:r>
          </w:p>
        </w:tc>
      </w:tr>
    </w:tbl>
    <w:p>
      <w:pPr>
        <w:pStyle w:val="Heading2"/>
      </w:pPr>
      <w:r>
        <w:t xml:space="preserve">A.  Offline Campus Roster — 16 June 2026 (SGT Classroom)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2600"/>
        <w:gridCol w:w="3440"/>
      </w:tblGrid>
      <w:tr>
        <w:trPr>
          <w:tblHeader/>
        </w:trP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Ctr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Station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In-charge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Reception &amp; Attendance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 (SDA)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Mark attendance vs roster; issue file jacket + routing slip; confirm parent/guardian present.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Verify Aadhaar, secondary ID, SSLC &amp; birth certificate; stamp ‘Original Seen &amp; Returned’.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Verify 10+2/HSE &amp; SSLC marks/passing certs, TC, conduct, migration; collect two attested sets.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 &amp; Domicile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Capture KYC/contact matrix; verify domicile/nativity, income, caste; check undertaking (Rs.100 stamp).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/ Interview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Faculty panel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aptitude test &amp; personal interview; record outcome.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Fee, ID &amp; Hostel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Collect DD (favour: Yenepoya DU, Mangalore); issue Campus ID/Roll/Library; allot hostel.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Coordinator Review &amp; HOD Approval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 / Dr. Shwetha Prabhu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review, sign-off, admission status; resolve deficiencies.</w:t>
            </w:r>
          </w:p>
        </w:tc>
      </w:tr>
    </w:tbl>
    <w:p>
      <w:pPr>
        <w:pStyle w:val="Heading2"/>
      </w:pPr>
      <w:r>
        <w:t xml:space="preserve">B.  Online / NRI Roster — 15 June 2026 (Video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2600"/>
        <w:gridCol w:w="3440"/>
      </w:tblGrid>
      <w:tr>
        <w:trPr>
          <w:tblHeader/>
        </w:trP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In-charge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 &amp; Scheduling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Admit candidates per slot; manage waiting room; keep timings.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verification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Verify passport/photo ID on camera; confirm candidate identity.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Document screen-share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Verify pre-uploaded scans: academics, Aadhaar, domicile, etc. (status OS/CS/P).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Verify passport, visa, sponsor affidavit, relationship certificate, sponsor ID/income.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&amp; records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 (SDA)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 session (with consent); save to candidate’s NRI folder; note originals due at reporting.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Coordinator review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 verification; flag physical-reporting items; mark admission status.</w:t>
            </w:r>
          </w:p>
        </w:tc>
      </w:tr>
      <w:tr>
        <w:tc>
          <w:tcPr>
            <w:tcW w:type="dxa" w:w="7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HOD approval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  <w:tc>
          <w:tcPr>
            <w:tcW w:type="dxa" w:w="3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Approve admission; note conditions.</w:t>
            </w:r>
          </w:p>
        </w:tc>
      </w:tr>
    </w:tbl>
    <w:p>
      <w:pPr>
        <w:spacing w:after="12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Note: Online verification confirms scanned/attested copies only; NRI candidates must produce all originals at physical reporting. Fill blank in-charge cells with assigned faculty/staff names before the session.</w:t>
      </w:r>
    </w:p>
    <w:p>
      <w:pPr>
        <w:tabs>
          <w:tab w:val="right" w:pos="9360"/>
        </w:tabs>
        <w:spacing w:before="200"/>
      </w:pPr>
      <w:r>
        <w:rPr>
          <w:sz w:val="19"/>
          <w:szCs w:val="19"/>
        </w:rPr>
        <w:t xml:space="preserve">Coordinator: Mr. Hemaraja Nayaka S   Signature: ____________________</w:t>
      </w:r>
      <w:r>
        <w:rPr>
          <w:sz w:val="19"/>
          <w:szCs w:val="19"/>
        </w:rPr>
        <w:t xml:space="preserve">	HOD: Dr. Shwetha Prabhu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Counselling Duty Roster, B.ASLP 2026–27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1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2026-06-13T06:44:10.037Z</dcterms:created>
  <dcterms:modified xsi:type="dcterms:W3CDTF">2026-06-13T06:44:10.044Z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