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SALIHA ZAKIR HUSSAIN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UG/26/10494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C00000"/>
                <w:sz w:val="19"/>
                <w:szCs w:val="19"/>
              </w:rPr>
              <w:t xml:space="preserve">NRI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ONLINE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SALIHA ZAKIR HUSSAIN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UG/26/10494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June 2026 (Online)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 (NRI: verify scanned/attested copies online; originals at reporting.)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Style w:val="Heading2"/>
      </w:pPr>
      <w:r>
        <w:t xml:space="preserve">4.  NRI Online Verification — Sponsor / Visa Documents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Verify during the online session against scanned/attested copies; confirm originals at physical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Particular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Passport copy (candidate) — valid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Visa status / residence permit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affidavit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certificate (sponsor–candidate)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passport / Emirates ID / national 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income / bank statement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Equivalence certificate (foreign board, 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declaration / undertaking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Online Session Record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Date / Time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shown on camera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Passport  ☐ Other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Recording saved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present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Originals due on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5.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6.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sponsor/visa (online)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SALIHA ZAKIR HUSSAIN (UG/26/10494)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2026-06-13T06:29:15.606Z</dcterms:created>
  <dcterms:modified xsi:type="dcterms:W3CDTF">2026-06-13T06:29:15.606Z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