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4</w:t>
      </w:r>
    </w:p>
    <w:p>
      <w:pPr>
        <w:spacing w:before="60" w:after="80"/>
        <w:jc w:val="center"/>
      </w:pPr>
      <w:r>
        <w:rPr>
          <w:rFonts w:ascii="Arial" w:cs="Arial" w:eastAsia="Arial" w:hAnsi="Arial"/>
          <w:b/>
          <w:bCs/>
          <w:color w:val="2E75B6"/>
          <w:sz w:val="38"/>
          <w:szCs w:val="38"/>
        </w:rPr>
        <w:t xml:space="preserve">Cost Management &amp;</w:t>
      </w:r>
    </w:p>
    <w:p>
      <w:pPr>
        <w:spacing w:before="60" w:after="80"/>
        <w:jc w:val="center"/>
      </w:pPr>
      <w:r>
        <w:rPr>
          <w:rFonts w:ascii="Arial" w:cs="Arial" w:eastAsia="Arial" w:hAnsi="Arial"/>
          <w:b/>
          <w:bCs/>
          <w:color w:val="2E75B6"/>
          <w:sz w:val="38"/>
          <w:szCs w:val="38"/>
        </w:rPr>
        <w:t xml:space="preserve">Budget Control</w:t>
      </w:r>
    </w:p>
    <w:p>
      <w:pPr>
        <w:spacing w:before="80" w:after="300"/>
        <w:jc w:val="center"/>
      </w:pPr>
      <w:r>
        <w:rPr>
          <w:rFonts w:ascii="Arial" w:cs="Arial" w:eastAsia="Arial" w:hAnsi="Arial"/>
          <w:color w:val="1A8A8A"/>
          <w:sz w:val="22"/>
          <w:szCs w:val="22"/>
        </w:rPr>
        <w:t xml:space="preserve">GFR 2017 / PFMS / Primavera Unifier Aligned Financial Management</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4 — Cost Management &amp; Budget Control — is the financial spine of IC-PMS. It provides complete lifecycle financial control for India's industrial corridor construction programme, tracking every rupee from sanction through commitment, billing, deduction, payment, and final account settlement. The module is designed in full compliance with Government of India financial management regulations — specifically GFR 2017, CPWD Works Manual, CVC guidelines, and the Public Financial Management System (PFMS) operated by the Controller General of Accounts (CGA) — while drawing on the process architecture of Oracle Primavera Unifier's Cost Manager for its workflow and data model design.</w:t>
      </w:r>
    </w:p>
    <w:p>
      <w:pPr>
        <w:spacing w:before="80" w:after="80"/>
        <w:jc w:val="both"/>
      </w:pPr>
      <w:r>
        <w:rPr>
          <w:rFonts w:ascii="Arial" w:cs="Arial" w:eastAsia="Arial" w:hAnsi="Arial"/>
          <w:color w:val="404040"/>
          <w:sz w:val="20"/>
          <w:szCs w:val="20"/>
        </w:rPr>
        <w:t xml:space="preserve">The module operates as the financial truth layer of IC-PMS, integrating tightly with the WBS hierarchy (Module 1), the EVM engine (Module 2), and the satellite progress verification system (Module 3). This three-way integration creates a uniquely powerful control mechanism: no contractor invoice can be approved for PFMS payment unless it has passed a satellite-based progress verification gate, ensuring that public money flows only for work that has been physically verified by independent AI evidence.</w:t>
      </w:r>
    </w:p>
    <w:p>
      <w:pPr>
        <w:spacing w:before="80" w:after="80"/>
        <w:jc w:val="both"/>
      </w:pPr>
      <w:r>
        <w:rPr>
          <w:rFonts w:ascii="Arial" w:cs="Arial" w:eastAsia="Arial" w:hAnsi="Arial"/>
          <w:color w:val="404040"/>
          <w:sz w:val="20"/>
          <w:szCs w:val="20"/>
        </w:rPr>
        <w:t xml:space="preserve">Module 4 manages the entire financial lifecycle across all six national industrial corridors — from the initial DPR-derived budget estimate, through LOA issuance, Running Account Bill processing, Variation Order management, Revised Cost Estimate approval, contingency tracking, retention management, and final account — providing NICDC Finance, Ministry officials, and lenders with real-time financial intelligence at every level of the WBS hierarchy.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Regulatory Reference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hierarchy setup (WBS-linked, 8 levels)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64 — Budget preparation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estimate seeding of budget nodes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 Estimate preparation</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Commitment register (LOA / Work Order / PO)</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144 — Commitment accounting</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Running Account Bill (RA Bill) processing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Part I Chapter 6</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Measurement Book (MB) digital certification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 MB maintenance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progress gate for invoice approval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Extension — Module 3 integration</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Deductions: Retention, Mobilisation Advance, LD</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conditions / GFR Rule 209</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calculation and TDS deduction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Act 2017 / Income Tax Act Section 194C</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integration for payment orders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API — CGA integration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Variation Order (VO) management and approval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 — Extra / Deviated items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Revised Cost Estimate (RCE) workflow</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64 — Revised estimate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 tracking and WPI/CPI escalation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RBI index-linked price escalation clause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Cash flow S-curve (planned vs actual vs forecast)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Unifier Cost Sheet</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(Estimate at Completion) forecasting — 4 methods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ANSI/EIA-748 EVM / Primavera Unifier</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reporting (MPR, weekly flash, audit ledger)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 Ministry reporting requirements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PFMS-first payments: No payment can be released in IC-PMS without a corresponding PFMS payment order; IC-PMS acts as the pre-processing and approval layer, PFMS as the final payment authority</w:t>
      </w:r>
    </w:p>
    <w:p>
      <w:pPr>
        <w:pStyle w:val="ListParagraph"/>
        <w:numPr>
          <w:ilvl w:val="0"/>
          <w:numId w:val="2"/>
        </w:numPr>
        <w:spacing w:before="40" w:after="40"/>
      </w:pPr>
      <w:r>
        <w:rPr>
          <w:rFonts w:ascii="Arial" w:cs="Arial" w:eastAsia="Arial" w:hAnsi="Arial"/>
          <w:color w:val="404040"/>
          <w:sz w:val="20"/>
          <w:szCs w:val="20"/>
        </w:rPr>
        <w:t xml:space="preserve">Satellite gate mandatory: Every RA Bill must pass a Module 3 satellite progress verification check before entering the finance approval chain — contractor-claimed progress must be within 10% of AI-derived progress or a PMC override must be in place</w:t>
      </w:r>
    </w:p>
    <w:p>
      <w:pPr>
        <w:pStyle w:val="ListParagraph"/>
        <w:numPr>
          <w:ilvl w:val="0"/>
          <w:numId w:val="2"/>
        </w:numPr>
        <w:spacing w:before="40" w:after="40"/>
      </w:pPr>
      <w:r>
        <w:rPr>
          <w:rFonts w:ascii="Arial" w:cs="Arial" w:eastAsia="Arial" w:hAnsi="Arial"/>
          <w:color w:val="404040"/>
          <w:sz w:val="20"/>
          <w:szCs w:val="20"/>
        </w:rPr>
        <w:t xml:space="preserve">GFR 2017 compliance: All VO approval thresholds, commitment limits, advance payment rules, and retention percentages follow GFR 2017 and the standard CPWD/NIT conditions of contract</w:t>
      </w:r>
    </w:p>
    <w:p>
      <w:pPr>
        <w:pStyle w:val="ListParagraph"/>
        <w:numPr>
          <w:ilvl w:val="0"/>
          <w:numId w:val="2"/>
        </w:numPr>
        <w:spacing w:before="40" w:after="40"/>
      </w:pPr>
      <w:r>
        <w:rPr>
          <w:rFonts w:ascii="Arial" w:cs="Arial" w:eastAsia="Arial" w:hAnsi="Arial"/>
          <w:color w:val="404040"/>
          <w:sz w:val="20"/>
          <w:szCs w:val="20"/>
        </w:rPr>
        <w:t xml:space="preserve">Primavera Unifier data model: Budget hierarchy, commitment types, cost distribution, and forecast methods mirror Oracle Primavera Unifier's Cost Manager for data portability</w:t>
      </w:r>
    </w:p>
    <w:p>
      <w:pPr>
        <w:pStyle w:val="ListParagraph"/>
        <w:numPr>
          <w:ilvl w:val="0"/>
          <w:numId w:val="2"/>
        </w:numPr>
        <w:spacing w:before="40" w:after="40"/>
      </w:pPr>
      <w:r>
        <w:rPr>
          <w:rFonts w:ascii="Arial" w:cs="Arial" w:eastAsia="Arial" w:hAnsi="Arial"/>
          <w:color w:val="404040"/>
          <w:sz w:val="20"/>
          <w:szCs w:val="20"/>
        </w:rPr>
        <w:t xml:space="preserve">Immutable ledger: All financial transactions (budget, commitment, payment) are recorded in an append-only ledger; no transaction can be deleted — only reversed with an equal and opposite entry</w:t>
      </w:r>
    </w:p>
    <w:p>
      <w:pPr>
        <w:pStyle w:val="ListParagraph"/>
        <w:numPr>
          <w:ilvl w:val="0"/>
          <w:numId w:val="2"/>
        </w:numPr>
        <w:spacing w:before="40" w:after="40"/>
      </w:pPr>
      <w:r>
        <w:rPr>
          <w:rFonts w:ascii="Arial" w:cs="Arial" w:eastAsia="Arial" w:hAnsi="Arial"/>
          <w:color w:val="404040"/>
          <w:sz w:val="20"/>
          <w:szCs w:val="20"/>
        </w:rPr>
        <w:t xml:space="preserve">Four-eye approval: All financial approvals require at minimum two authorised signatories at the appropriate hierarchy level; dual-approval enforced by system workflow</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4.1 — Budget Setup &amp; Hierarchy</w:t>
      </w:r>
    </w:p>
    <w:p>
      <w:pPr>
        <w:spacing w:before="80" w:after="80"/>
        <w:jc w:val="both"/>
      </w:pPr>
      <w:r>
        <w:rPr>
          <w:rFonts w:ascii="Arial" w:cs="Arial" w:eastAsia="Arial" w:hAnsi="Arial"/>
          <w:color w:val="404040"/>
          <w:sz w:val="20"/>
          <w:szCs w:val="20"/>
        </w:rPr>
        <w:t xml:space="preserve">This sub-function establishes the complete budget architecture for each project — a hierarchical cost structure that mirrors the WBS from Module 1. Every WBS element that is a Work Package (leaf node) receives a budget node with a direct cost allocation; Summary WBS elements roll up automatically from their children.</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Budget hierarchy: Mirrors the 8-level WBS hierarchy from Module 1; budget nodes auto-created when WBS is published</w:t>
      </w:r>
    </w:p>
    <w:p>
      <w:pPr>
        <w:pStyle w:val="ListParagraph"/>
        <w:numPr>
          <w:ilvl w:val="0"/>
          <w:numId w:val="2"/>
        </w:numPr>
        <w:spacing w:before="40" w:after="40"/>
      </w:pPr>
      <w:r>
        <w:rPr>
          <w:rFonts w:ascii="Arial" w:cs="Arial" w:eastAsia="Arial" w:hAnsi="Arial"/>
          <w:color w:val="404040"/>
          <w:sz w:val="20"/>
          <w:szCs w:val="20"/>
        </w:rPr>
        <w:t xml:space="preserve">Budget seeding: DPR estimate values uploaded as structured Excel (line items by WBS code and cost category) or imported from Module 1 DPR document; system maps estimate lines to WBS budget nodes</w:t>
      </w:r>
    </w:p>
    <w:p>
      <w:pPr>
        <w:pStyle w:val="ListParagraph"/>
        <w:numPr>
          <w:ilvl w:val="0"/>
          <w:numId w:val="2"/>
        </w:numPr>
        <w:spacing w:before="40" w:after="40"/>
      </w:pPr>
      <w:r>
        <w:rPr>
          <w:rFonts w:ascii="Arial" w:cs="Arial" w:eastAsia="Arial" w:hAnsi="Arial"/>
          <w:color w:val="404040"/>
          <w:sz w:val="20"/>
          <w:szCs w:val="20"/>
        </w:rPr>
        <w:t xml:space="preserve">Cost categories: Each budget node has sub-budgets by cost category — Civil, Structural, MEP (Mechanical/Electrical/Plumbing), External Development, Roads &amp; Pavement, Water &amp; Sewerage, ICT, Social Infrastructure, Contingency, Price Escalation</w:t>
      </w:r>
    </w:p>
    <w:p>
      <w:pPr>
        <w:pStyle w:val="ListParagraph"/>
        <w:numPr>
          <w:ilvl w:val="0"/>
          <w:numId w:val="2"/>
        </w:numPr>
        <w:spacing w:before="40" w:after="40"/>
      </w:pPr>
      <w:r>
        <w:rPr>
          <w:rFonts w:ascii="Arial" w:cs="Arial" w:eastAsia="Arial" w:hAnsi="Arial"/>
          <w:color w:val="404040"/>
          <w:sz w:val="20"/>
          <w:szCs w:val="20"/>
        </w:rPr>
        <w:t xml:space="preserve">Contingency provisions: Configurable contingency % per WBS node (typically 5–10%); contingency drawn down through separate approval workflow when required</w:t>
      </w:r>
    </w:p>
    <w:p>
      <w:pPr>
        <w:pStyle w:val="ListParagraph"/>
        <w:numPr>
          <w:ilvl w:val="0"/>
          <w:numId w:val="2"/>
        </w:numPr>
        <w:spacing w:before="40" w:after="40"/>
      </w:pPr>
      <w:r>
        <w:rPr>
          <w:rFonts w:ascii="Arial" w:cs="Arial" w:eastAsia="Arial" w:hAnsi="Arial"/>
          <w:color w:val="404040"/>
          <w:sz w:val="20"/>
          <w:szCs w:val="20"/>
        </w:rPr>
        <w:t xml:space="preserve">Price escalation: WPI (Wholesale Price Index) and CPI (Consumer Price Index) linked provisions auto-calculated using RBI monthly indices; escalation credited to relevant WBS budget nodes</w:t>
      </w:r>
    </w:p>
    <w:p>
      <w:pPr>
        <w:pStyle w:val="ListParagraph"/>
        <w:numPr>
          <w:ilvl w:val="0"/>
          <w:numId w:val="2"/>
        </w:numPr>
        <w:spacing w:before="40" w:after="40"/>
      </w:pPr>
      <w:r>
        <w:rPr>
          <w:rFonts w:ascii="Arial" w:cs="Arial" w:eastAsia="Arial" w:hAnsi="Arial"/>
          <w:color w:val="404040"/>
          <w:sz w:val="20"/>
          <w:szCs w:val="20"/>
        </w:rPr>
        <w:t xml:space="preserve">Budget approval workflow: SPV CFO submits → NICDC Finance Director approves → Ministry note for total project cost above ₹500 Cr → CCEA for above ₹1,000 Cr</w:t>
      </w:r>
    </w:p>
    <w:p>
      <w:pPr>
        <w:pStyle w:val="ListParagraph"/>
        <w:numPr>
          <w:ilvl w:val="0"/>
          <w:numId w:val="2"/>
        </w:numPr>
        <w:spacing w:before="40" w:after="40"/>
      </w:pPr>
      <w:r>
        <w:rPr>
          <w:rFonts w:ascii="Arial" w:cs="Arial" w:eastAsia="Arial" w:hAnsi="Arial"/>
          <w:color w:val="404040"/>
          <w:sz w:val="20"/>
          <w:szCs w:val="20"/>
        </w:rPr>
        <w:t xml:space="preserve">Revised Cost Estimate (RCE): Formal revision workflow with mandatory: cause of revision, differential analysis vs. original DPR, escalation factors, approval at appropriate authority level</w:t>
      </w:r>
    </w:p>
    <w:p>
      <w:pPr>
        <w:pStyle w:val="ListParagraph"/>
        <w:numPr>
          <w:ilvl w:val="0"/>
          <w:numId w:val="2"/>
        </w:numPr>
        <w:spacing w:before="40" w:after="40"/>
      </w:pPr>
      <w:r>
        <w:rPr>
          <w:rFonts w:ascii="Arial" w:cs="Arial" w:eastAsia="Arial" w:hAnsi="Arial"/>
          <w:color w:val="404040"/>
          <w:sz w:val="20"/>
          <w:szCs w:val="20"/>
        </w:rPr>
        <w:t xml:space="preserve">Annual budget phasing: Total project budget phased across financial years (April–March); monthly sub-phasing within each FY for cash flow planning; phasing can be revised at SPV CFO level</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Budget Categories &amp; Sub-Budgets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9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Category</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Typical % of Package Value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GFR / CPWD Reference</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Civil &amp; Structural Works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40–55%</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 Civil</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Core construction; bid against BoQ</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MEP Works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12–18%</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 — Electrical</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Plumbing, electrical, HVAC, fire fighting</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Road &amp; Pavement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8–15%</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MoRTH Specifications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IRC standards; bituminous or concrete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Water Supply &amp; Sewerage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6–10%</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CPHEEO Manual</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Pipe, pump, treatment plant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ICT &amp; Smart Infrastructure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3–7%</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MeitY standards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Fibre, CCTV, sensors, data centre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External Development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5–10%</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SOR</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Landscaping, compound wall, gate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5–10%</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64</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Unforeseen items; separate approval to draw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Price Escalation Provision</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3–6%</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RBI WPI/CPI</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Auto-calculated monthly</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4.2 — Commitment Register</w:t>
      </w:r>
    </w:p>
    <w:p>
      <w:pPr>
        <w:spacing w:before="80" w:after="80"/>
        <w:jc w:val="both"/>
      </w:pPr>
      <w:r>
        <w:rPr>
          <w:rFonts w:ascii="Arial" w:cs="Arial" w:eastAsia="Arial" w:hAnsi="Arial"/>
          <w:color w:val="404040"/>
          <w:sz w:val="20"/>
          <w:szCs w:val="20"/>
        </w:rPr>
        <w:t xml:space="preserve">The Commitment Register records the financial obligations created when the government issues a Letter of Award (LOA), Work Order, Purchase Order, or Consultant Agreement. A commitment reduces the uncommitted budget and signals that a financial liability has been created — even before any work is done or invoice raised.</w:t>
      </w:r>
    </w:p>
    <w:p>
      <w:pPr>
        <w:pStyle w:val="Heading3"/>
        <w:spacing w:before="180" w:after="80"/>
      </w:pPr>
      <w:r>
        <w:rPr>
          <w:rFonts w:ascii="Arial" w:cs="Arial" w:eastAsia="Arial" w:hAnsi="Arial"/>
          <w:b/>
          <w:bCs/>
          <w:color w:val="1A3C5E"/>
          <w:sz w:val="22"/>
          <w:szCs w:val="22"/>
        </w:rPr>
        <w:t xml:space="preserve">Commitment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Commitment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GFR Rule</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Approval Level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(Letter of Award)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award to successful EPC bidder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149 / 154</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(&lt; ₹50 Cr); NICDC MD (₹50–500 Cr); Ministry (&gt; ₹500 Cr)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 Order</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 issued by main contractor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Sub-letting clause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approval; value &lt; 25% of main LOA</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Purchase Order (PO)</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of materials / equipment</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149A / GeM Order</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 direct PO against GeM</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Consultant Agreement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DPR / Peer Review engagement</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148</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Variation Order (VO) Commitment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VO added to LOA value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Tiered by VO value (see VO sub-function)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Advance Payment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Mobilisation / Material advance to contractor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236</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Maximum 10% of LOA; Bank Guarantee mandatory</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Commitment creation: LOA, WO, PO entered in system by contract management team (Module 5 feeds commitment data); commitment amount linked to WBS budget node; available budget = Sanctioned Budget – Total Commitments</w:t>
      </w:r>
    </w:p>
    <w:p>
      <w:pPr>
        <w:pStyle w:val="ListParagraph"/>
        <w:numPr>
          <w:ilvl w:val="0"/>
          <w:numId w:val="2"/>
        </w:numPr>
        <w:spacing w:before="40" w:after="40"/>
      </w:pPr>
      <w:r>
        <w:rPr>
          <w:rFonts w:ascii="Arial" w:cs="Arial" w:eastAsia="Arial" w:hAnsi="Arial"/>
          <w:color w:val="404040"/>
          <w:sz w:val="20"/>
          <w:szCs w:val="20"/>
        </w:rPr>
        <w:t xml:space="preserve">Bank Guarantee (BG) tracking: Performance Security (typically 5% of LOA) and Advance Payment BG tracked in system with expiry date alerts (30, 15, 7 days before expiry)</w:t>
      </w:r>
    </w:p>
    <w:p>
      <w:pPr>
        <w:pStyle w:val="ListParagraph"/>
        <w:numPr>
          <w:ilvl w:val="0"/>
          <w:numId w:val="2"/>
        </w:numPr>
        <w:spacing w:before="40" w:after="40"/>
      </w:pPr>
      <w:r>
        <w:rPr>
          <w:rFonts w:ascii="Arial" w:cs="Arial" w:eastAsia="Arial" w:hAnsi="Arial"/>
          <w:color w:val="404040"/>
          <w:sz w:val="20"/>
          <w:szCs w:val="20"/>
        </w:rPr>
        <w:t xml:space="preserve">Retention: System automatically calculates and tracks retention deductions (typically 5% of each RA bill) until the retention release milestone (typically on DLP completion)</w:t>
      </w:r>
    </w:p>
    <w:p>
      <w:pPr>
        <w:pStyle w:val="ListParagraph"/>
        <w:numPr>
          <w:ilvl w:val="0"/>
          <w:numId w:val="2"/>
        </w:numPr>
        <w:spacing w:before="40" w:after="40"/>
      </w:pPr>
      <w:r>
        <w:rPr>
          <w:rFonts w:ascii="Arial" w:cs="Arial" w:eastAsia="Arial" w:hAnsi="Arial"/>
          <w:color w:val="404040"/>
          <w:sz w:val="20"/>
          <w:szCs w:val="20"/>
        </w:rPr>
        <w:t xml:space="preserve">Mobilisation advance: Advance payment tracked as a negative commitment; recovered through deductions from each subsequent RA bill at the agreed recovery rate</w:t>
      </w:r>
    </w:p>
    <w:p>
      <w:pPr>
        <w:pStyle w:val="ListParagraph"/>
        <w:numPr>
          <w:ilvl w:val="0"/>
          <w:numId w:val="2"/>
        </w:numPr>
        <w:spacing w:before="40" w:after="40"/>
      </w:pPr>
      <w:r>
        <w:rPr>
          <w:rFonts w:ascii="Arial" w:cs="Arial" w:eastAsia="Arial" w:hAnsi="Arial"/>
          <w:color w:val="404040"/>
          <w:sz w:val="20"/>
          <w:szCs w:val="20"/>
        </w:rPr>
        <w:t xml:space="preserve">Commitment vs. actuals: Real-time view of Committed Amount vs. Actuals Paid vs. Remaining to Bill for each contract</w:t>
      </w:r>
    </w:p>
    <w:p>
      <w:pPr>
        <w:pStyle w:val="ListParagraph"/>
        <w:numPr>
          <w:ilvl w:val="0"/>
          <w:numId w:val="2"/>
        </w:numPr>
        <w:spacing w:before="40" w:after="40"/>
      </w:pPr>
      <w:r>
        <w:rPr>
          <w:rFonts w:ascii="Arial" w:cs="Arial" w:eastAsia="Arial" w:hAnsi="Arial"/>
          <w:color w:val="404040"/>
          <w:sz w:val="20"/>
          <w:szCs w:val="20"/>
        </w:rPr>
        <w:t xml:space="preserve">Commitment expiry: LOAs expiring within 30 days flagged; extension workflow triggered if work still in progress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4.3 — RA Bill &amp; Invoice Management</w:t>
      </w:r>
    </w:p>
    <w:p>
      <w:pPr>
        <w:spacing w:before="80" w:after="80"/>
        <w:jc w:val="both"/>
      </w:pPr>
      <w:r>
        <w:rPr>
          <w:rFonts w:ascii="Arial" w:cs="Arial" w:eastAsia="Arial" w:hAnsi="Arial"/>
          <w:color w:val="404040"/>
          <w:sz w:val="20"/>
          <w:szCs w:val="20"/>
        </w:rPr>
        <w:t xml:space="preserve">This is the most operationally intensive sub-function in Module 4. The RA Bill (Running Account Bill) is the primary payment instrument in Indian government construction contracts — a periodic claim by the contractor for work done to date, measured, certified by the PMC, and approved through a defined financial approval chain before payment via PFMS.</w:t>
      </w:r>
    </w:p>
    <w:p>
      <w:pPr>
        <w:pStyle w:val="Heading3"/>
        <w:spacing w:before="180" w:after="80"/>
      </w:pPr>
      <w:r>
        <w:rPr>
          <w:rFonts w:ascii="Arial" w:cs="Arial" w:eastAsia="Arial" w:hAnsi="Arial"/>
          <w:b/>
          <w:bCs/>
          <w:color w:val="1A3C5E"/>
          <w:sz w:val="22"/>
          <w:szCs w:val="22"/>
        </w:rPr>
        <w:t xml:space="preserve">RA Bill Processing Stages</w:t>
      </w:r>
    </w:p>
    <w:p>
      <w:pPr>
        <w:pStyle w:val="ListParagraph"/>
        <w:numPr>
          <w:ilvl w:val="0"/>
          <w:numId w:val="3"/>
        </w:numPr>
        <w:spacing w:before="40" w:after="40"/>
      </w:pPr>
      <w:r>
        <w:rPr>
          <w:rFonts w:ascii="Arial" w:cs="Arial" w:eastAsia="Arial" w:hAnsi="Arial"/>
          <w:color w:val="404040"/>
          <w:sz w:val="20"/>
          <w:szCs w:val="20"/>
        </w:rPr>
        <w:t xml:space="preserve">Contractor Bill Entry: EPC contractor submits RA Bill via IC-PMS portal or mobile app. Inputs: Bill Number, Bill Date, WBS Package, Gross Claimed Amount, % Physical Complete claimed, supporting documents (BOQ item-wise claimed quantities).</w:t>
      </w:r>
    </w:p>
    <w:p>
      <w:pPr>
        <w:pStyle w:val="ListParagraph"/>
        <w:numPr>
          <w:ilvl w:val="0"/>
          <w:numId w:val="3"/>
        </w:numPr>
        <w:spacing w:before="40" w:after="40"/>
      </w:pPr>
      <w:r>
        <w:rPr>
          <w:rFonts w:ascii="Arial" w:cs="Arial" w:eastAsia="Arial" w:hAnsi="Arial"/>
          <w:color w:val="404040"/>
          <w:sz w:val="20"/>
          <w:szCs w:val="20"/>
        </w:rPr>
        <w:t xml:space="preserve">Measurement Book (MB) Verification: PMC Site Engineer enters certified quantities from physical measurement into the digital MB. System computes MB-certified value and compares with contractor-claimed value. Discrepancies &gt; 5% flagged for resolution.</w:t>
      </w:r>
    </w:p>
    <w:p>
      <w:pPr>
        <w:pStyle w:val="ListParagraph"/>
        <w:numPr>
          <w:ilvl w:val="0"/>
          <w:numId w:val="3"/>
        </w:numPr>
        <w:spacing w:before="40" w:after="40"/>
      </w:pPr>
      <w:r>
        <w:rPr>
          <w:rFonts w:ascii="Arial" w:cs="Arial" w:eastAsia="Arial" w:hAnsi="Arial"/>
          <w:color w:val="404040"/>
          <w:sz w:val="20"/>
          <w:szCs w:val="20"/>
        </w:rPr>
        <w:t xml:space="preserve">Satellite Progress Gate: System fetches the current AI-derived progress % from Module 3 for the WBS package. If |Contractor Claimed % – AI Progress %| &gt; 10%, bill is held pending PMC review and resolution. PMC may override with field inspection evidence (see Module 3 rules).</w:t>
      </w:r>
    </w:p>
    <w:p>
      <w:pPr>
        <w:pStyle w:val="ListParagraph"/>
        <w:numPr>
          <w:ilvl w:val="0"/>
          <w:numId w:val="3"/>
        </w:numPr>
        <w:spacing w:before="40" w:after="40"/>
      </w:pPr>
      <w:r>
        <w:rPr>
          <w:rFonts w:ascii="Arial" w:cs="Arial" w:eastAsia="Arial" w:hAnsi="Arial"/>
          <w:color w:val="404040"/>
          <w:sz w:val="20"/>
          <w:szCs w:val="20"/>
        </w:rPr>
        <w:t xml:space="preserve">PMC Certification: PMC Resident Engineer formally certifies the bill — confirming: quantities, quality compliance (no outstanding NCRs), safety compliance, milestone adherence. Certification is digital with DSC/Aadhaar eSign.</w:t>
      </w:r>
    </w:p>
    <w:p>
      <w:pPr>
        <w:pStyle w:val="ListParagraph"/>
        <w:numPr>
          <w:ilvl w:val="0"/>
          <w:numId w:val="3"/>
        </w:numPr>
        <w:spacing w:before="40" w:after="40"/>
      </w:pPr>
      <w:r>
        <w:rPr>
          <w:rFonts w:ascii="Arial" w:cs="Arial" w:eastAsia="Arial" w:hAnsi="Arial"/>
          <w:color w:val="404040"/>
          <w:sz w:val="20"/>
          <w:szCs w:val="20"/>
        </w:rPr>
        <w:t xml:space="preserve">Deductions Calculation: System auto-computes all deductions: Mobilisation Advance Recovery (% per contract terms), Retention Money (5% standard), Liquidated Damages (LD) if applicable, Material Advance Recovery, any other contract deductions. Net Bill Value = Gross – Deductions.</w:t>
      </w:r>
    </w:p>
    <w:p>
      <w:pPr>
        <w:pStyle w:val="ListParagraph"/>
        <w:numPr>
          <w:ilvl w:val="0"/>
          <w:numId w:val="3"/>
        </w:numPr>
        <w:spacing w:before="40" w:after="40"/>
      </w:pPr>
      <w:r>
        <w:rPr>
          <w:rFonts w:ascii="Arial" w:cs="Arial" w:eastAsia="Arial" w:hAnsi="Arial"/>
          <w:color w:val="404040"/>
          <w:sz w:val="20"/>
          <w:szCs w:val="20"/>
        </w:rPr>
        <w:t xml:space="preserve">GST / TDS Processing: GST (18% standard; 12% for affordable housing components) computed on net bill value. TDS deducted at source as per Income Tax Act Section 194C (1% for individual/HUF; 2% for companies). System validates contractor GSTIN against GSTN portal.</w:t>
      </w:r>
    </w:p>
    <w:p>
      <w:pPr>
        <w:pStyle w:val="ListParagraph"/>
        <w:numPr>
          <w:ilvl w:val="0"/>
          <w:numId w:val="3"/>
        </w:numPr>
        <w:spacing w:before="40" w:after="40"/>
      </w:pPr>
      <w:r>
        <w:rPr>
          <w:rFonts w:ascii="Arial" w:cs="Arial" w:eastAsia="Arial" w:hAnsi="Arial"/>
          <w:color w:val="404040"/>
          <w:sz w:val="20"/>
          <w:szCs w:val="20"/>
        </w:rPr>
        <w:t xml:space="preserve">Financial Approval Workflow: Net payable amount goes through tiered financial approval — SPV Engineer → PMC → SPV Finance Manager → SPV CFO → NICDC Finance (if above threshold). Each approver has a configurable financial delegation of authority.</w:t>
      </w:r>
    </w:p>
    <w:p>
      <w:pPr>
        <w:pStyle w:val="ListParagraph"/>
        <w:numPr>
          <w:ilvl w:val="0"/>
          <w:numId w:val="3"/>
        </w:numPr>
        <w:spacing w:before="40" w:after="40"/>
      </w:pPr>
      <w:r>
        <w:rPr>
          <w:rFonts w:ascii="Arial" w:cs="Arial" w:eastAsia="Arial" w:hAnsi="Arial"/>
          <w:color w:val="404040"/>
          <w:sz w:val="20"/>
          <w:szCs w:val="20"/>
        </w:rPr>
        <w:t xml:space="preserve">PFMS Payment Order: On final approval, system generates a PFMS-compatible payment order (Digital Payment Advice — DPA) and transmits to PFMS via API. PFMS processes direct bank transfer to contractor's registered account. Payment confirmation received and recorded in D4 (Payment Log).</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Delegation of Financial Authority — RA Bill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Net Bill Value</w:t>
            </w:r>
          </w:p>
        </w:tc>
        <w:tc>
          <w:tcPr>
            <w:tcW w:type="dxa" w:w="23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1 Approver</w:t>
            </w:r>
          </w:p>
        </w:tc>
        <w:tc>
          <w:tcPr>
            <w:tcW w:type="dxa" w:w="23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2 Approver</w:t>
            </w:r>
          </w:p>
        </w:tc>
        <w:tc>
          <w:tcPr>
            <w:tcW w:type="dxa" w:w="23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3 Approver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 to ₹ 1 Cr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Site Engineer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Resident Engineer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 Cr – ₹ 5 Cr</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Manager</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 Cr – ₹ 20 Cr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Manager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20 Cr – ₹ 50 Cr</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Manager</w:t>
            </w:r>
          </w:p>
        </w:tc>
        <w:tc>
          <w:tcPr>
            <w:tcW w:type="dxa" w:w="23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Above ₹ 50 Cr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Manager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23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concurrence note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4.4 — PFMS Integration &amp; Payment</w:t>
      </w:r>
    </w:p>
    <w:p>
      <w:pPr>
        <w:spacing w:before="80" w:after="80"/>
        <w:jc w:val="both"/>
      </w:pPr>
      <w:r>
        <w:rPr>
          <w:rFonts w:ascii="Arial" w:cs="Arial" w:eastAsia="Arial" w:hAnsi="Arial"/>
          <w:color w:val="404040"/>
          <w:sz w:val="20"/>
          <w:szCs w:val="20"/>
        </w:rPr>
        <w:t xml:space="preserve">The PFMS (Public Financial Management System) integration is the critical last-mile connection between IC-PMS's internal approval workflows and the Government of India's central treasury system. All payments on IC-PMS-managed projects flow through PFMS — ensuring full compliance with government fund management rules and enabling real-time fund utilisation tracking by the Controller General of Accounts (CGA).</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Payment order generation: On final IC-PMS approval, system auto-generates a Digital Payment Advice (DPA) with: Beneficiary name, Bank Account (validated against PFMS vendor master), IFSC code, Amount (with rupee and paise), Purpose code, DDO code, PAO code</w:t>
      </w:r>
    </w:p>
    <w:p>
      <w:pPr>
        <w:pStyle w:val="ListParagraph"/>
        <w:numPr>
          <w:ilvl w:val="0"/>
          <w:numId w:val="2"/>
        </w:numPr>
        <w:spacing w:before="40" w:after="40"/>
      </w:pPr>
      <w:r>
        <w:rPr>
          <w:rFonts w:ascii="Arial" w:cs="Arial" w:eastAsia="Arial" w:hAnsi="Arial"/>
          <w:color w:val="404040"/>
          <w:sz w:val="20"/>
          <w:szCs w:val="20"/>
        </w:rPr>
        <w:t xml:space="preserve">PFMS API transmission: DPA transmitted to PFMS via HTTPS REST API (OAuth 2.0); PFMS returns Transaction Reference Number (TRN) as acknowledgement</w:t>
      </w:r>
    </w:p>
    <w:p>
      <w:pPr>
        <w:pStyle w:val="ListParagraph"/>
        <w:numPr>
          <w:ilvl w:val="0"/>
          <w:numId w:val="2"/>
        </w:numPr>
        <w:spacing w:before="40" w:after="40"/>
      </w:pPr>
      <w:r>
        <w:rPr>
          <w:rFonts w:ascii="Arial" w:cs="Arial" w:eastAsia="Arial" w:hAnsi="Arial"/>
          <w:color w:val="404040"/>
          <w:sz w:val="20"/>
          <w:szCs w:val="20"/>
        </w:rPr>
        <w:t xml:space="preserve">Payment status tracking: System polls PFMS API for payment status (Pending / Processed / Failed / Returned); payment log updated in real-time; contractor notified via SMS/email on processing</w:t>
      </w:r>
    </w:p>
    <w:p>
      <w:pPr>
        <w:pStyle w:val="ListParagraph"/>
        <w:numPr>
          <w:ilvl w:val="0"/>
          <w:numId w:val="2"/>
        </w:numPr>
        <w:spacing w:before="40" w:after="40"/>
      </w:pPr>
      <w:r>
        <w:rPr>
          <w:rFonts w:ascii="Arial" w:cs="Arial" w:eastAsia="Arial" w:hAnsi="Arial"/>
          <w:color w:val="404040"/>
          <w:sz w:val="20"/>
          <w:szCs w:val="20"/>
        </w:rPr>
        <w:t xml:space="preserve">Fund availability check: Before DPA transmission, system queries PFMS for available balance in the relevant sanction head; insufficient funds flagged to NICDC Finance for supplementary grant request</w:t>
      </w:r>
    </w:p>
    <w:p>
      <w:pPr>
        <w:pStyle w:val="ListParagraph"/>
        <w:numPr>
          <w:ilvl w:val="0"/>
          <w:numId w:val="2"/>
        </w:numPr>
        <w:spacing w:before="40" w:after="40"/>
      </w:pPr>
      <w:r>
        <w:rPr>
          <w:rFonts w:ascii="Arial" w:cs="Arial" w:eastAsia="Arial" w:hAnsi="Arial"/>
          <w:color w:val="404040"/>
          <w:sz w:val="20"/>
          <w:szCs w:val="20"/>
        </w:rPr>
        <w:t xml:space="preserve">PFMS reconciliation: Monthly reconciliation between IC-PMS Payment Log (D4) and PFMS statement; discrepancies flagged for finance team investigation</w:t>
      </w:r>
    </w:p>
    <w:p>
      <w:pPr>
        <w:pStyle w:val="ListParagraph"/>
        <w:numPr>
          <w:ilvl w:val="0"/>
          <w:numId w:val="2"/>
        </w:numPr>
        <w:spacing w:before="40" w:after="40"/>
      </w:pPr>
      <w:r>
        <w:rPr>
          <w:rFonts w:ascii="Arial" w:cs="Arial" w:eastAsia="Arial" w:hAnsi="Arial"/>
          <w:color w:val="404040"/>
          <w:sz w:val="20"/>
          <w:szCs w:val="20"/>
        </w:rPr>
        <w:t xml:space="preserve">Failed payments: Failed/returned payments logged with reason code; re-submission workflow with corrected details before re-transmission to PFMS</w:t>
      </w:r>
    </w:p>
    <w:p>
      <w:pPr>
        <w:pStyle w:val="ListParagraph"/>
        <w:numPr>
          <w:ilvl w:val="0"/>
          <w:numId w:val="2"/>
        </w:numPr>
        <w:spacing w:before="40" w:after="40"/>
      </w:pPr>
      <w:r>
        <w:rPr>
          <w:rFonts w:ascii="Arial" w:cs="Arial" w:eastAsia="Arial" w:hAnsi="Arial"/>
          <w:color w:val="404040"/>
          <w:sz w:val="20"/>
          <w:szCs w:val="20"/>
        </w:rPr>
        <w:t xml:space="preserve">Advance payments: Mobilisation advance and material advance processed as separate PFMS transactions with Bank Guarantee linkage; recovery tracking auto-updated on each subsequent RA bill</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4.5 — Cost Forecasting &amp; EAC</w:t>
      </w:r>
    </w:p>
    <w:p>
      <w:pPr>
        <w:spacing w:before="80" w:after="80"/>
        <w:jc w:val="both"/>
      </w:pPr>
      <w:r>
        <w:rPr>
          <w:rFonts w:ascii="Arial" w:cs="Arial" w:eastAsia="Arial" w:hAnsi="Arial"/>
          <w:color w:val="404040"/>
          <w:sz w:val="20"/>
          <w:szCs w:val="20"/>
        </w:rPr>
        <w:t xml:space="preserve">Cost forecasting provides NICDC Finance and Ministry officials with forward-looking estimates of total project cost at completion, enabling early identification of cost overruns and timely corrective action. IC-PMS implements four standard EAC forecasting methods (aligned with ANSI/EIA-748 and Primavera Unifier), plus an IC-PMS ensemble forecast.</w:t>
      </w:r>
    </w:p>
    <w:p>
      <w:pPr>
        <w:pStyle w:val="Heading3"/>
        <w:spacing w:before="180" w:after="80"/>
      </w:pPr>
      <w:r>
        <w:rPr>
          <w:rFonts w:ascii="Arial" w:cs="Arial" w:eastAsia="Arial" w:hAnsi="Arial"/>
          <w:b/>
          <w:bCs/>
          <w:color w:val="1A3C5E"/>
          <w:sz w:val="22"/>
          <w:szCs w:val="22"/>
        </w:rPr>
        <w:t xml:space="preserve">EAC Forecasting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to Use</w:t>
            </w:r>
          </w:p>
        </w:tc>
        <w:tc>
          <w:tcPr>
            <w:tcW w:type="dxa" w:w="1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Reliability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Method 1 — BAC / CPI</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BAC / CPI</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Default; assumes past cost efficiency continues</w:t>
            </w:r>
          </w:p>
        </w:tc>
        <w:tc>
          <w:tcPr>
            <w:tcW w:type="dxa" w:w="1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 most commonly used in EVM</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Method 2 — ACWP + ETC/CPI</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ACWP + (BAC – BCWP) / CPI</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remaining work will continue at current efficiency</w:t>
            </w:r>
          </w:p>
        </w:tc>
        <w:tc>
          <w:tcPr>
            <w:tcW w:type="dxa" w:w="1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for mature projects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Method 3 — ACWP + Remaining Budget</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ACWP + (BAC – BCWP)</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current inefficiency is a one-time event</w:t>
            </w:r>
          </w:p>
        </w:tc>
        <w:tc>
          <w:tcPr>
            <w:tcW w:type="dxa" w:w="1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Optimistic — use with caution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Method 4 — Bottom-Up Roll-up</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ACWP + Sum(ETC per work package)</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When package-level re-estimates are available</w:t>
            </w:r>
          </w:p>
        </w:tc>
        <w:tc>
          <w:tcPr>
            <w:tcW w:type="dxa" w:w="1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Most accurate but effort-intensive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Ensemble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Weighted average of M1 (50%) + M4 (30%) + M2 (20%)</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Default NICDC reporting EAC</w:t>
            </w:r>
          </w:p>
        </w:tc>
        <w:tc>
          <w:tcPr>
            <w:tcW w:type="dxa" w:w="1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Balanced; reduces single-method bias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Auto-computation: EAC for all four methods computed automatically on each data date advance using current BCWP, ACWP, and BAC values from the EVM engine (Module 2)</w:t>
      </w:r>
    </w:p>
    <w:p>
      <w:pPr>
        <w:pStyle w:val="ListParagraph"/>
        <w:numPr>
          <w:ilvl w:val="0"/>
          <w:numId w:val="2"/>
        </w:numPr>
        <w:spacing w:before="40" w:after="40"/>
      </w:pPr>
      <w:r>
        <w:rPr>
          <w:rFonts w:ascii="Arial" w:cs="Arial" w:eastAsia="Arial" w:hAnsi="Arial"/>
          <w:color w:val="404040"/>
          <w:sz w:val="20"/>
          <w:szCs w:val="20"/>
        </w:rPr>
        <w:t xml:space="preserve">EAC trend tracking: Historical EAC values stored per data date to show whether forecast is improving or deteriorating — visible as EAC trend line on the forecast dashboard</w:t>
      </w:r>
    </w:p>
    <w:p>
      <w:pPr>
        <w:pStyle w:val="ListParagraph"/>
        <w:numPr>
          <w:ilvl w:val="0"/>
          <w:numId w:val="2"/>
        </w:numPr>
        <w:spacing w:before="40" w:after="40"/>
      </w:pPr>
      <w:r>
        <w:rPr>
          <w:rFonts w:ascii="Arial" w:cs="Arial" w:eastAsia="Arial" w:hAnsi="Arial"/>
          <w:color w:val="404040"/>
          <w:sz w:val="20"/>
          <w:szCs w:val="20"/>
        </w:rPr>
        <w:t xml:space="preserve">RCE trigger: If EAC (Method 1) exceeds BAC by &gt; 5% for two consecutive data dates, system auto-generates a Revised Cost Estimate (RCE) initiation notification to SPV CFO</w:t>
      </w:r>
    </w:p>
    <w:p>
      <w:pPr>
        <w:pStyle w:val="ListParagraph"/>
        <w:numPr>
          <w:ilvl w:val="0"/>
          <w:numId w:val="2"/>
        </w:numPr>
        <w:spacing w:before="40" w:after="40"/>
      </w:pPr>
      <w:r>
        <w:rPr>
          <w:rFonts w:ascii="Arial" w:cs="Arial" w:eastAsia="Arial" w:hAnsi="Arial"/>
          <w:color w:val="404040"/>
          <w:sz w:val="20"/>
          <w:szCs w:val="20"/>
        </w:rPr>
        <w:t xml:space="preserve">What-if forecasting: Users can model 'what-if' scenarios — e.g., 'If CPI improves to 0.95 in Q3, what will EAC be?' — with results shown in a scenario comparison table</w:t>
      </w:r>
    </w:p>
    <w:p>
      <w:pPr>
        <w:pStyle w:val="ListParagraph"/>
        <w:numPr>
          <w:ilvl w:val="0"/>
          <w:numId w:val="2"/>
        </w:numPr>
        <w:spacing w:before="40" w:after="40"/>
      </w:pPr>
      <w:r>
        <w:rPr>
          <w:rFonts w:ascii="Arial" w:cs="Arial" w:eastAsia="Arial" w:hAnsi="Arial"/>
          <w:color w:val="404040"/>
          <w:sz w:val="20"/>
          <w:szCs w:val="20"/>
        </w:rPr>
        <w:t xml:space="preserve">Contingency drawdown forecast: System forecasts remaining contingency balance considering committed VOs and probabilistic VO pipeline, alerting when contingency is likely to be exhausted before project completion</w:t>
      </w:r>
    </w:p>
    <w:p>
      <w:pPr>
        <w:pStyle w:val="ListParagraph"/>
        <w:numPr>
          <w:ilvl w:val="0"/>
          <w:numId w:val="2"/>
        </w:numPr>
        <w:spacing w:before="40" w:after="40"/>
      </w:pPr>
      <w:r>
        <w:rPr>
          <w:rFonts w:ascii="Arial" w:cs="Arial" w:eastAsia="Arial" w:hAnsi="Arial"/>
          <w:color w:val="404040"/>
          <w:sz w:val="20"/>
          <w:szCs w:val="20"/>
        </w:rPr>
        <w:t xml:space="preserve">Price escalation forecast: WPI/CPI trends applied to remaining uncommitted budget to project total escalation liability for the project duration</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4.6 — Variation Order (VO) Management</w:t>
      </w:r>
    </w:p>
    <w:p>
      <w:pPr>
        <w:spacing w:before="80" w:after="80"/>
        <w:jc w:val="both"/>
      </w:pPr>
      <w:r>
        <w:rPr>
          <w:rFonts w:ascii="Arial" w:cs="Arial" w:eastAsia="Arial" w:hAnsi="Arial"/>
          <w:color w:val="404040"/>
          <w:sz w:val="20"/>
          <w:szCs w:val="20"/>
        </w:rPr>
        <w:t xml:space="preserve">Variation Orders arise when the scope of work under a contract needs to change — due to design modifications, unforeseen site conditions, quantity variations, or extra items not covered in the original BOQ. IC-PMS provides a full VO lifecycle management system aligned with GFR 2017 Rule 209 and CPWD Works Manual procedures.</w:t>
      </w:r>
    </w:p>
    <w:p>
      <w:pPr>
        <w:pStyle w:val="Heading3"/>
        <w:spacing w:before="180" w:after="80"/>
      </w:pPr>
      <w:r>
        <w:rPr>
          <w:rFonts w:ascii="Arial" w:cs="Arial" w:eastAsia="Arial" w:hAnsi="Arial"/>
          <w:b/>
          <w:bCs/>
          <w:color w:val="1A3C5E"/>
          <w:sz w:val="22"/>
          <w:szCs w:val="22"/>
        </w:rPr>
        <w:t xml:space="preserve">VO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VO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GFR Limit</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Approval Authority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Deviation (Quantity Change)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Increase or decrease in BOQ item quantity beyond ±25%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value ≤ 5% of LOA: SPV Director; 5–10%: NICDC</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209(1)</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Extra Item</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item not in original BOQ; rates derived from DSR or market analysis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value ≤ 5% of LOA: SPV Director; 5–10%: NICDC</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209(2)</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Substitution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Replace one material/method with another equivalent; must be cost-neutral or cheaper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value: SPV Director with PMC recommendation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Omission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Delete a BOQ item entirely; reduces contract value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value: SPV Director</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conditions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Emergency VO</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Urgent work required to prevent danger to life/property; post-facto approval</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Limited to emergency; post-facto within 7 days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approval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Design Change VO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 in engineering design with cost impact; requires Proof Consultant review</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5% LOA: NICDC; &gt; 10%: Ministry concurrence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 + CVC guidelines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VO register: All VOs for all contracts logged in D6 with: VO number, Type, Description, BOQ item reference, Quantity change, Rate justification, VO value, Running total as % of LOA value</w:t>
      </w:r>
    </w:p>
    <w:p>
      <w:pPr>
        <w:pStyle w:val="ListParagraph"/>
        <w:numPr>
          <w:ilvl w:val="0"/>
          <w:numId w:val="2"/>
        </w:numPr>
        <w:spacing w:before="40" w:after="40"/>
      </w:pPr>
      <w:r>
        <w:rPr>
          <w:rFonts w:ascii="Arial" w:cs="Arial" w:eastAsia="Arial" w:hAnsi="Arial"/>
          <w:color w:val="404040"/>
          <w:sz w:val="20"/>
          <w:szCs w:val="20"/>
        </w:rPr>
        <w:t xml:space="preserve">GFR 10% ceiling: System tracks cumulative VO value as % of LOA for each contract; alert at 8% (approaching limit); hard stop with Ministry approval workflow at 10%</w:t>
      </w:r>
    </w:p>
    <w:p>
      <w:pPr>
        <w:pStyle w:val="ListParagraph"/>
        <w:numPr>
          <w:ilvl w:val="0"/>
          <w:numId w:val="2"/>
        </w:numPr>
        <w:spacing w:before="40" w:after="40"/>
      </w:pPr>
      <w:r>
        <w:rPr>
          <w:rFonts w:ascii="Arial" w:cs="Arial" w:eastAsia="Arial" w:hAnsi="Arial"/>
          <w:color w:val="404040"/>
          <w:sz w:val="20"/>
          <w:szCs w:val="20"/>
        </w:rPr>
        <w:t xml:space="preserve">Rate justification: Extra item rates must be supported by: DSR 2024-25 analysis, Market rate analysis (3 quotations minimum), or Contractor-quoted rate with PMC recommendation</w:t>
      </w:r>
    </w:p>
    <w:p>
      <w:pPr>
        <w:pStyle w:val="ListParagraph"/>
        <w:numPr>
          <w:ilvl w:val="0"/>
          <w:numId w:val="2"/>
        </w:numPr>
        <w:spacing w:before="40" w:after="40"/>
      </w:pPr>
      <w:r>
        <w:rPr>
          <w:rFonts w:ascii="Arial" w:cs="Arial" w:eastAsia="Arial" w:hAnsi="Arial"/>
          <w:color w:val="404040"/>
          <w:sz w:val="20"/>
          <w:szCs w:val="20"/>
        </w:rPr>
        <w:t xml:space="preserve">VO impact analysis: Before submission for approval, system computes impact on: budget (uncommitted balance), schedule (Module 2 EVM float impact), and overall EAC</w:t>
      </w:r>
    </w:p>
    <w:p>
      <w:pPr>
        <w:pStyle w:val="ListParagraph"/>
        <w:numPr>
          <w:ilvl w:val="0"/>
          <w:numId w:val="2"/>
        </w:numPr>
        <w:spacing w:before="40" w:after="40"/>
      </w:pPr>
      <w:r>
        <w:rPr>
          <w:rFonts w:ascii="Arial" w:cs="Arial" w:eastAsia="Arial" w:hAnsi="Arial"/>
          <w:color w:val="404040"/>
          <w:sz w:val="20"/>
          <w:szCs w:val="20"/>
        </w:rPr>
        <w:t xml:space="preserve">VO approval workflow: Tiered by VO value and type; all approvals tracked with timestamp and digital signature; rejected VOs returned with reason code</w:t>
      </w:r>
    </w:p>
    <w:p>
      <w:pPr>
        <w:pStyle w:val="ListParagraph"/>
        <w:numPr>
          <w:ilvl w:val="0"/>
          <w:numId w:val="2"/>
        </w:numPr>
        <w:spacing w:before="40" w:after="40"/>
      </w:pPr>
      <w:r>
        <w:rPr>
          <w:rFonts w:ascii="Arial" w:cs="Arial" w:eastAsia="Arial" w:hAnsi="Arial"/>
          <w:color w:val="404040"/>
          <w:sz w:val="20"/>
          <w:szCs w:val="20"/>
        </w:rPr>
        <w:t xml:space="preserve">Cumulative VO analytics: Dashboard showing total VO value by package, by type, trend over time — enabling NICDC to identify which packages are experiencing scope instability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4.7 — Cash Flow Analytics</w:t>
      </w:r>
    </w:p>
    <w:p>
      <w:pPr>
        <w:spacing w:before="80" w:after="80"/>
        <w:jc w:val="both"/>
      </w:pPr>
      <w:r>
        <w:rPr>
          <w:rFonts w:ascii="Arial" w:cs="Arial" w:eastAsia="Arial" w:hAnsi="Arial"/>
          <w:color w:val="404040"/>
          <w:sz w:val="20"/>
          <w:szCs w:val="20"/>
        </w:rPr>
        <w:t xml:space="preserve">Cash flow analytics provides time-phased financial planning and monitoring — the ability to see not just total budget but how much money needs to flow in each month, compare it against what actually flowed, and forecast future cash requirements based on current progress and EAC.</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S-curve generation: Cumulative planned vs. actual vs. forecast cash flow chart (₹ Cr per month and cumulative) at project, node, package, and programme levels</w:t>
      </w:r>
    </w:p>
    <w:p>
      <w:pPr>
        <w:pStyle w:val="ListParagraph"/>
        <w:numPr>
          <w:ilvl w:val="0"/>
          <w:numId w:val="2"/>
        </w:numPr>
        <w:spacing w:before="40" w:after="40"/>
      </w:pPr>
      <w:r>
        <w:rPr>
          <w:rFonts w:ascii="Arial" w:cs="Arial" w:eastAsia="Arial" w:hAnsi="Arial"/>
          <w:color w:val="404040"/>
          <w:sz w:val="20"/>
          <w:szCs w:val="20"/>
        </w:rPr>
        <w:t xml:space="preserve">Monthly cash flow planning: Budget phased to monthly level based on linked schedule; actual cash flow updated on each PFMS payment confirmation</w:t>
      </w:r>
    </w:p>
    <w:p>
      <w:pPr>
        <w:pStyle w:val="ListParagraph"/>
        <w:numPr>
          <w:ilvl w:val="0"/>
          <w:numId w:val="2"/>
        </w:numPr>
        <w:spacing w:before="40" w:after="40"/>
      </w:pPr>
      <w:r>
        <w:rPr>
          <w:rFonts w:ascii="Arial" w:cs="Arial" w:eastAsia="Arial" w:hAnsi="Arial"/>
          <w:color w:val="404040"/>
          <w:sz w:val="20"/>
          <w:szCs w:val="20"/>
        </w:rPr>
        <w:t xml:space="preserve">Forecast cash flow: Based on EAC and current schedule, system projects monthly cash requirements for the remainder of the project — enabling NICDC Finance to plan fund releases</w:t>
      </w:r>
    </w:p>
    <w:p>
      <w:pPr>
        <w:pStyle w:val="ListParagraph"/>
        <w:numPr>
          <w:ilvl w:val="0"/>
          <w:numId w:val="2"/>
        </w:numPr>
        <w:spacing w:before="40" w:after="40"/>
      </w:pPr>
      <w:r>
        <w:rPr>
          <w:rFonts w:ascii="Arial" w:cs="Arial" w:eastAsia="Arial" w:hAnsi="Arial"/>
          <w:color w:val="404040"/>
          <w:sz w:val="20"/>
          <w:szCs w:val="20"/>
        </w:rPr>
        <w:t xml:space="preserve">Annual budget vs. actuals: Monthly comparison of annual budget allocation (released by Ministry) vs. actual expenditure; alert if spending pace puts annual budget at risk (under-spend or over-spend vs. allocation)</w:t>
      </w:r>
    </w:p>
    <w:p>
      <w:pPr>
        <w:pStyle w:val="ListParagraph"/>
        <w:numPr>
          <w:ilvl w:val="0"/>
          <w:numId w:val="2"/>
        </w:numPr>
        <w:spacing w:before="40" w:after="40"/>
      </w:pPr>
      <w:r>
        <w:rPr>
          <w:rFonts w:ascii="Arial" w:cs="Arial" w:eastAsia="Arial" w:hAnsi="Arial"/>
          <w:color w:val="404040"/>
          <w:sz w:val="20"/>
          <w:szCs w:val="20"/>
        </w:rPr>
        <w:t xml:space="preserve">Pending bills ageing: Bills in queue analysed by days pending at each approval stage; alerts for bills pending &gt; 30 days (GFR timely payment obligation)</w:t>
      </w:r>
    </w:p>
    <w:p>
      <w:pPr>
        <w:pStyle w:val="ListParagraph"/>
        <w:numPr>
          <w:ilvl w:val="0"/>
          <w:numId w:val="2"/>
        </w:numPr>
        <w:spacing w:before="40" w:after="40"/>
      </w:pPr>
      <w:r>
        <w:rPr>
          <w:rFonts w:ascii="Arial" w:cs="Arial" w:eastAsia="Arial" w:hAnsi="Arial"/>
          <w:color w:val="404040"/>
          <w:sz w:val="20"/>
          <w:szCs w:val="20"/>
        </w:rPr>
        <w:t xml:space="preserve">Fund utilisation report: Real-time fund utilisation by WBS node, cost head, and financial year for NICDC Finance, Ministry, and CAG reporting</w:t>
      </w:r>
    </w:p>
    <w:p>
      <w:pPr>
        <w:pStyle w:val="ListParagraph"/>
        <w:numPr>
          <w:ilvl w:val="0"/>
          <w:numId w:val="2"/>
        </w:numPr>
        <w:spacing w:before="40" w:after="40"/>
      </w:pPr>
      <w:r>
        <w:rPr>
          <w:rFonts w:ascii="Arial" w:cs="Arial" w:eastAsia="Arial" w:hAnsi="Arial"/>
          <w:color w:val="404040"/>
          <w:sz w:val="20"/>
          <w:szCs w:val="20"/>
        </w:rPr>
        <w:t xml:space="preserve">Cash flow scenarios: What-if modelling for accelerated/decelerated construction scenarios — showing impact on monthly cash requirements under each scenario</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4.8 — Cost Reporting</w:t>
      </w:r>
    </w:p>
    <w:p>
      <w:pPr>
        <w:spacing w:before="80" w:after="80"/>
        <w:jc w:val="both"/>
      </w:pPr>
      <w:r>
        <w:rPr>
          <w:rFonts w:ascii="Arial" w:cs="Arial" w:eastAsia="Arial" w:hAnsi="Arial"/>
          <w:color w:val="404040"/>
          <w:sz w:val="20"/>
          <w:szCs w:val="20"/>
        </w:rPr>
        <w:t xml:space="preserve">The Cost Reporting sub-function auto-generates all mandatory financial reports required by NICDC governance, Ministry oversight, lender covenants, and CAG audit — pulling data from the cost ledger, payment log, and EVM engine to produce accurate, formatted, and distribution-ready outputs.</w:t>
      </w:r>
    </w:p>
    <w:p>
      <w:pPr>
        <w:pStyle w:val="Heading3"/>
        <w:spacing w:before="180" w:after="80"/>
      </w:pPr>
      <w:r>
        <w:rPr>
          <w:rFonts w:ascii="Arial" w:cs="Arial" w:eastAsia="Arial" w:hAnsi="Arial"/>
          <w:b/>
          <w:bCs/>
          <w:color w:val="1A3C5E"/>
          <w:sz w:val="22"/>
          <w:szCs w:val="22"/>
        </w:rPr>
        <w:t xml:space="preserve">Standard Cost Reports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31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 Name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Content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Financial Progress Report (MFPR)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(5th of month)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 Ministry</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 utilisation, EAC vs. BAC, VO status, pending bills, cash flow S-curve, RCE status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Payment Status Flash</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(Monday)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 / PMC</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Bills pending, PFMS queue status, payments made in week, aged bills &gt; 14 days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Fund Utilisation Report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Annually (March 31)</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 CAG / CGA</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year expenditure vs. allocation by project and head of account; PFMS reconciliation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Forecast Report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with MFPR</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Lenders / Ministry</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four EAC methods, ensemble EAC, trend chart, package-level breakdown, contingency balance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Register Report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 Legal</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VOs by package — type, value, status, cumulative %, GFR headroom</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Trail Report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demand / Annually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 Internal Audit</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 financial ledger — every budget entry, commitment, deduction, payment; with user, timestamp, PFMS ref</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Retention &amp; BG Expiry Report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 Legal</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pending retention releases, BG expiry dates within 60 days, advance recovery balance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Overrun Early Warning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Automatic (weekly)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Packages where EAC &gt; BAC + 5%; CPI &lt; 0.90; contingency &lt; 20% remaining</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shows Module 4 as the Cost Management Engine (Process 4.0) receiving budget parameters from Module 1, EVM metrics from Module 2, RA Bills from contractors, fund releases from PFMS, and LOA/VO values from Module 5. It feeds payment data back to PFMS, cost actuals to Module 2, and financial reports to NICDC Finance and Ministry.</w:t>
      </w:r>
    </w:p>
    <w:p>
      <w:pPr>
        <w:spacing w:before="120" w:after="60"/>
        <w:jc w:val="center"/>
      </w:pPr>
      <w:r>
        <w:drawing>
          <wp:inline distT="0" distB="0" distL="0" distR="0">
            <wp:extent cx="6000750" cy="3857625"/>
            <wp:effectExtent t="0" r="0" b="0" l="0"/>
            <wp:docPr id="1" name="Figure 3.1 — DFD Level 0: Module 4 Context Diagram (PFMS, WBS, EVM, Contractor, Ministry Flows)" descr="Figure 3.1 — DFD Level 0: Module 4 Context Diagram (PFMS, WBS, EVM, Contractor, Ministry Flows)" title="Figure 3.1 — DFD Level 0: Module 4 Context Diagram (PFMS, WBS, EVM, Contractor, Ministry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4 Context Diagram (PFMS, WBS, EVM, Contractor, Ministry Flows)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4</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4</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budget hierarchy, DPR estimate values, cost templates per asset type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nodes seeded in cost ledger, Cost confirmation per WBS element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 CGA Treasury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 release confirmations, Payment processing status, Failed payment reason codes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Payment Advice (DPA) for each approved invoice, PFMS payment order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EVM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 (time-phased budget), BCWP (earned value), EVM data date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 (actual cost from invoices), EAC forecast, Cost variance reports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Mgmt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values, VO approvals, Advance payment amounts, Retention release milestones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 schedule, Commitment data, VO budget impact, Pending deductions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EPC Contractor / Billing</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Bills (gross amount, BOQ claims, % complete), Advance payment requests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 status, Deduction statements, Net payable, PFMS payment reference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 CAG Audit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queries, Compliance requirements, Ministry financial ceilings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audit reports, Expenditure statements, PFMS reconciliation, Ledger exports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 CCEA / Lenders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Sanctioned budget allocations, Policy directives, Loan disbursement conditions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 utilisation reports, EAC forecasts, Milestone payment certificates for lenders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cost management processes feeding eight data stores. The pipeline flows from budget setup through commitment, billing, payment, and then branches into forecasting, VO management, cash flow analytics, and reporting.</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&amp; Data Store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Setup</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Establishes WBS-linked budget hierarchy; seeds from DPR; manages RCE workflow</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Budget Ledger</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Commitment Register</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Records LOA/WO/PO/VO commitments; tracks BG and advance; manages retention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Commitment Register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 &amp; Invoice Mgmt</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Processes contractor bills through MB verify, satellite gate, PMC cert, deductions, GST/TDS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Invoice Store, D9 MB Register, D10 Deduction Log</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Payment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Generates DPA, transmits to PFMS API, tracks payment status, handles reconciliation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Payment Log</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Forecasting</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EAC (4 methods + ensemble), contingency forecast, price escalation projection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Forecast Store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Management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VO lifecycle — initiation, rate justification, approval, budget impact, GFR ceiling tracking</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VO Register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Cash Flow Analytics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Generates S-curves, monthly plan vs. actual, forecast cash requirements, aged bills analysis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Cash Flow Store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Reporting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Auto-generates MFPR, audit trail, VO register, EAC report, retention/BG expiry report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Report Archive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4.3: RA Bill &amp; Invoice Management (Exploded)</w:t>
      </w:r>
    </w:p>
    <w:p>
      <w:pPr>
        <w:spacing w:before="80" w:after="80"/>
        <w:jc w:val="both"/>
      </w:pPr>
      <w:r>
        <w:rPr>
          <w:rFonts w:ascii="Arial" w:cs="Arial" w:eastAsia="Arial" w:hAnsi="Arial"/>
          <w:color w:val="404040"/>
          <w:sz w:val="20"/>
          <w:szCs w:val="20"/>
        </w:rPr>
        <w:t xml:space="preserve">The Level 2 DFD drills into the most complex and operationally critical process in Module 4 — the RA Bill workflow. It shows all eight sub-processes from contractor bill entry through MB verification, satellite gate, PMC certification, deductions, GST/TDS processing, approval workflow, and PFMS payment order generation, including the satellite progress gate decision diamond.</w:t>
      </w:r>
    </w:p>
    <w:p>
      <w:pPr>
        <w:spacing w:before="120" w:after="60"/>
        <w:jc w:val="center"/>
      </w:pPr>
      <w:r>
        <w:drawing>
          <wp:inline distT="0" distB="0" distL="0" distR="0">
            <wp:extent cx="6000750" cy="3752850"/>
            <wp:effectExtent t="0" r="0" b="0" l="0"/>
            <wp:docPr id="1" name="Figure 3.3 — DFD Level 2: Process 4.3 RA Bill Management — 8 Sub-Processes with Satellite Gate Decision" descr="Figure 3.3 — DFD Level 2: Process 4.3 RA Bill Management — 8 Sub-Processes with Satellite Gate Decision" title="Figure 3.3 — DFD Level 2: Process 4.3 RA Bill Management — 8 Sub-Processes with Satellite Gat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4.3 RA Bill Management — 8 Sub-Processes with Satellite Gate Decision</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Bill Entry</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EPC contractor submits RA Bill via IC-PMS portal: Bill number, date, WBS package, BOQ item-wise quantities claimed, gross amount, % physical complete claimed, supporting documents. System creates invoice record in D3 with status = Submitted.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Measurement Book Verification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Site Engineer enters field-measured quantities item-by-item in the digital MB (D9). System computes MB-certified value and flags discrepancy if &gt; 5% vs. contractor claim. Measurement book entry requires PMC Engineer DSC/Aadhaar eSign. MB-certified amount updates the invoice record.</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Progress Gate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fetches AI-derived progress % from Module 3 (D4 of Module 3 — Satellite Progress Record) for the WBS package at current data date. Compares with contractor-claimed %. If |AI% – Claim%| &gt; 10%: invoice HELD; PMC alert raised. PMC can override with field evidence. Gate decision writes PASS/HOLD to invoice record.</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Certification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Resident Engineer reviews MB quantities, satellite gate result, quality compliance (NCR status), and safety compliance. Formally certifies the bill — amount, deductions applicable, and recommended net payment. Certification recorded with DSC timestamp. Certified amount enters deductions calculator.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Deductions Calculator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auto-computes all applicable deductions from certified gross amount: Mobilisation Advance Recovery (per contract recovery schedule), Retention Money (5% standard per bill), Liquidated Damages (if delay exists and LD not waived), Material Advance Recovery, Other contract deductions. Net Bill = Gross – Sum(Deductions). Deduction records written to D10.</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 TDS Processor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 (18% standard; 12% for specified works) computed on net bill value. TDS deducted at 2% (corporate) per Income Tax Act Section 194C. System validates contractor GSTIN against GSTN API (D11). Net payable = Net Bill + GST – TDS. GST/TDS record written to D11.</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Workflow</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Net payable amount routed through tiered approval chain based on amount (see delegation matrix in Section 2.3). Each approver reviews all bill details, deductions, and satellite evidence. System enforces sequential approval; parallel approval not permitted. Time-stamped approval records written to D3.</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Payment Order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final approval, system generates PFMS Digital Payment Advice (DPA): beneficiary details, validated bank account, amount, purpose code, DDO/PAO codes. DPA transmitted to PFMS REST API. PFMS Transaction Reference Number received and stored. Payment status polled and recorded in D4 (Payment Log). Audit entry written to D8.</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4 master data model contains twelve core financial entities. The Budget Ledger is the root entity; the Commitment Register, Invoice, and Payment Log form the operational financial pipeline. The Deduction Ledger, GST/TDS Record, VO Register, and Retention Register are supporting entities that ensure complete auditability of every financial transaction.</w:t>
      </w:r>
    </w:p>
    <w:p>
      <w:pPr>
        <w:spacing w:before="120" w:after="60"/>
        <w:jc w:val="center"/>
      </w:pPr>
      <w:r>
        <w:drawing>
          <wp:inline distT="0" distB="0" distL="0" distR="0">
            <wp:extent cx="6000750" cy="3752850"/>
            <wp:effectExtent t="0" r="0" b="0" l="0"/>
            <wp:docPr id="1" name="Figure 4.1 — Master Data Entity Relationship Overview (Module 4 — Cost Management &amp; Budget Control)" descr="Figure 4.1 — Master Data Entity Relationship Overview (Module 4 — Cost Management &amp; Budget Control)" title="Figure 4.1 — Master Data Entity Relationship Overview (Module 4 — Cost Management &amp; Budge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4 — Cost Management &amp; Budget Control)</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Budget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one budget node per WBS element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Original_DPR / Revised_RCE_v1 / Revised_RCE_v2 / Current_Approved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sanctioned_cr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total approved budget for this WBS element in INR Crore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revised_cr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budget after approved RCE; NULL if no revision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contingency provision; managed as separate sub-ledger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price escalation provision; auto-updated monthly using WPI/CPI</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annual_phasing_json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{'FY2025-26': 280.5, 'FY2026-27': 420.0, ...} phasing by financial year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committed_cr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computed: sum of all active commitments against this WBS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computed: sum of all approved payments against this WBS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forecast_cr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EAC from Module 2 EVM engine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Submitted / Approved / Active / Under_Revision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Finance authority who approved the budget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budget approval</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Commitment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the work scope the commitment covers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5 Contract Master — the contract this commitment stems from</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LOA / Work_Order / Purchase_Order / Consultant_Agreement / VO_Commitment / Advance_Payment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loa_value_cr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original LOA/contract value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current_value_cr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LOA value + all approved VOs to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committed_date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LOA/WO issuance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 the contracted party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advance_paid_cr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mobilisation/material advance paid to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advance_recovered_cr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advance recovered through RA Bill deductions to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retention_held_cr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cumulative retention deducted from bills to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bg_performance_ref</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Performance Security BG reference number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bg_expiry_date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PBG expiry; system alert 30/15/7 days before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Active / Partially_Billed / Fully_Billed / Closed / Terminated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Invoice / RA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Commitment Register — the LOA this bill is against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the work package billed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contractor-assigned bill number (e.g. RAB-005)</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contractor submission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Running_Account / Final_Bill / Advance_Payment / Material_Advance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gross_amount_cr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contractor-claimed gross amount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mb_certified_amount_cr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PMC measurement book certified amount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satellite_ai_pct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AI-derived progress at bill date (from Module 3)</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contractor-claimed physical % complete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satellite_gate_status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Passed / Held / Override_Approved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pmc_certified_amount_cr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final PMC certified payable amount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net_payable_cr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gross – deductions + GST – TDS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Submitted / MB_Verify / Satellite_Gate / PMC_Cert / Deductions / GST_TDS / Approval / PFMS_Pending / Paid / Rejected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current_approver_id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person currently holding the approval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age_days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computed: days since submission</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Payment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Invoice / RA Bill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pfms_ref_no</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PFMS Transaction Reference Number (TRN)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payment was processed by PFMS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net_amount_cr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actual amount remitted to contractor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beneficiary_account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VARCHAR(20) — masked bank account number (last 4 digits visible)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ifsc_code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VARCHAR(11) — validated IFSC code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DPA_Generated / Transmitted / Processed / Failed / Returned / Reconciled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payment_mode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RTGS / NEFT / IMPS — determined by amount and urgency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head_of_account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PFMS Major/Sub-Major/Minor head of account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ddo_code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Drawing and Disbursing Officer code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pao_code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Principal Accounts Office code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failure_reason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populated if pfms_status = Failed / Returned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reconciled_date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reconciled with PFMS statement; NULL if pending</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Variation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Commitment Register — the LOA this VO modifies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scope of the variation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sequential VO number (e.g. VO-042)</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Deviation / Extra_Item / Substitution / Omission / Emergency / Design_Change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detailed description of the variation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original_boa_ref</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original BOQ item reference (for Deviation type)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vo_quantity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quantity variation (positive = increase, negative = decrease)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vo_rate_cr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rate per unit (from DSR / Market / Contractor quote)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vo_amount_cr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total VO value = quantity × rate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cumulative_vo_pct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computed: cumulative VO value as % of LOA — critical for GFR 10% ceiling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rate_justification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DSR item ref, market analysis summary, or PMC recommendation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Submitted / PMC_Recommended / SPV_Approved / NICDC_Approved / Ministry_Approved / Rejected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gfr_ceiling_flag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VO would cause cumulative VO% to exceed 10%</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Revised Cost Estimate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(typically project level)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rce_version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RCE-01, RCE-02</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original_est_cr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original DPR estimate value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revised_est_cr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revised total project cost estimate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variance_cr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revised_est_cr – original_est_cr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variance_pct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variance as % of original estimate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cause_of_revision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mandatory explanation of cost increase causes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escalation_component_cr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amount attributable to WPI/CPI escalation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scope_change_component_cr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amount attributable to scope additions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design_change_component_cr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amount attributable to design revisions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Ministry / NICDC authority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ccea_note_required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variance &gt; 20% or absolute &gt; ₹1,000 Cr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4 delivers five primary screens covering the main financial management workflows. The design maintains consistency with Modules 1–3 — dark navy sidebar, gold accents, green as the Module 4 identity colour (representing money/finance). Financial figures are displayed in Indian numbering format (₹ Cr) throughout. All screens support role-based data visibility — contractors see only their own financial data; NICDC Finance sees all corridors; SPV Finance sees their node only.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Budget Dashboard</w:t>
      </w:r>
    </w:p>
    <w:p>
      <w:pPr>
        <w:spacing w:before="80" w:after="80"/>
        <w:jc w:val="both"/>
      </w:pPr>
      <w:r>
        <w:rPr>
          <w:rFonts w:ascii="Arial" w:cs="Arial" w:eastAsia="Arial" w:hAnsi="Arial"/>
          <w:color w:val="404040"/>
          <w:sz w:val="20"/>
          <w:szCs w:val="20"/>
        </w:rPr>
        <w:t xml:space="preserve">The Budget Dashboard is the financial health overview screen for NICDC Finance, SPV CFOs, and Ministry officials. It shows the four key financial metrics (Budget, Committed, Actual, EAC) as headline KPI cards, a package-level budget vs. committed vs. actual bar chart, a fund utilisation by cost head panel, and a live pending RA Bills queue.</w:t>
      </w:r>
    </w:p>
    <w:p>
      <w:pPr>
        <w:spacing w:before="120" w:after="60"/>
        <w:jc w:val="center"/>
      </w:pPr>
      <w:r>
        <w:drawing>
          <wp:inline distT="0" distB="0" distL="0" distR="0">
            <wp:extent cx="6000750" cy="3752850"/>
            <wp:effectExtent t="0" r="0" b="0" l="0"/>
            <wp:docPr id="1" name="Figure 5.1 — Budget Dashboard (KPI Cards, Budget vs. Actual Chart, Cost Head Utilisation, Pending Bills Queue)" descr="Figure 5.1 — Budget Dashboard (KPI Cards, Budget vs. Actual Chart, Cost Head Utilisation, Pending Bills Queue)" title="Figure 5.1 — Budget Dashboard (KPI Cards, Budget vs. Actual Chart, Cost Head Utilisation, Pending Bills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Budget Dashboard (KPI Cards, Budget vs. Actual Chart, Cost Head Utilisation, Pending Bills Queue)</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Sanctioned Budget, Committed (LOA Value), Actual Expenditure, EAC — with colour coding and reference values. Navy=Budget, Blue=Committed, Green=Actual, Red=EAC if over Budget.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drill into that metric's detail screen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vs. Committed vs. Actual (bar chart)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Grouped bar chart per package showing 3 bars: Budget (blue), Committed (teal), Actual (green). Y-axis in ₹ Cr.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 package bar group to navigate to that package's financial detail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 Utilisation by Cost Head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bar list showing each cost head with value and % of total expenditure. Coloured left stripe per head.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 cost head to see transaction-level breakdown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Pending Bills Queue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Tabular list of bills in approval pipeline with contractor, package, amount, current stage, and age. Age column colour-coded: Green &lt;7d, Orange 7–30d, Red &gt;30d.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 bill row to open the RA Bill processing screen (Screen 2)</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Navigation Sidebar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links for Module 4 functions; active screen highlighted green with gold stripe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Standard IC-PMS navigation pattern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RA Bill &amp; Invoice Processing</w:t>
      </w:r>
    </w:p>
    <w:p>
      <w:pPr>
        <w:spacing w:before="80" w:after="80"/>
        <w:jc w:val="both"/>
      </w:pPr>
      <w:r>
        <w:rPr>
          <w:rFonts w:ascii="Arial" w:cs="Arial" w:eastAsia="Arial" w:hAnsi="Arial"/>
          <w:color w:val="404040"/>
          <w:sz w:val="20"/>
          <w:szCs w:val="20"/>
        </w:rPr>
        <w:t xml:space="preserve">The RA Bill screen is the most operationally complex screen in Module 4. It shows the 8-step workflow as a progress stepper at the top, a bill header form, a deductions calculation panel, and the satellite progress gate evidence panel — all in a single scrollable view. The screen is used daily by PMC engineers and SPV finance staff.</w:t>
      </w:r>
    </w:p>
    <w:p>
      <w:pPr>
        <w:spacing w:before="120" w:after="60"/>
        <w:jc w:val="center"/>
      </w:pPr>
      <w:r>
        <w:drawing>
          <wp:inline distT="0" distB="0" distL="0" distR="0">
            <wp:extent cx="6000750" cy="3600450"/>
            <wp:effectExtent t="0" r="0" b="0" l="0"/>
            <wp:docPr id="1" name="Figure 5.2 — RA Bill Processing Screen (Workflow Stepper, Bill Header, Deductions Panel, Satellite Gate Evidence)" descr="Figure 5.2 — RA Bill Processing Screen (Workflow Stepper, Bill Header, Deductions Panel, Satellite Gate Evidence)" title="Figure 5.2 — RA Bill Processing Screen (Workflow Stepper, Bill Header, Deductions Panel, Satellite Gate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RA Bill Processing Screen (Workflow Stepper, Bill Header, Deductions Panel, Satellite Gate Evidence)</w:t>
      </w:r>
    </w:p>
    <w:p>
      <w:pPr>
        <w:pStyle w:val="Heading3"/>
        <w:spacing w:before="180" w:after="80"/>
      </w:pPr>
      <w:r>
        <w:rPr>
          <w:rFonts w:ascii="Arial" w:cs="Arial" w:eastAsia="Arial" w:hAnsi="Arial"/>
          <w:b/>
          <w:bCs/>
          <w:color w:val="1A3C5E"/>
          <w:sz w:val="22"/>
          <w:szCs w:val="22"/>
        </w:rPr>
        <w:t xml:space="preserve">RA Bill Screen UX Design Decisions</w:t>
      </w:r>
    </w:p>
    <w:p>
      <w:pPr>
        <w:pStyle w:val="ListParagraph"/>
        <w:numPr>
          <w:ilvl w:val="0"/>
          <w:numId w:val="2"/>
        </w:numPr>
        <w:spacing w:before="40" w:after="40"/>
      </w:pPr>
      <w:r>
        <w:rPr>
          <w:rFonts w:ascii="Arial" w:cs="Arial" w:eastAsia="Arial" w:hAnsi="Arial"/>
          <w:color w:val="404040"/>
          <w:sz w:val="20"/>
          <w:szCs w:val="20"/>
        </w:rPr>
        <w:t xml:space="preserve">Workflow stepper: 8 numbered steps shown as a horizontal progress bar at the top — completed steps in green, current step in orange, future steps in grey. Users cannot skip steps.</w:t>
      </w:r>
    </w:p>
    <w:p>
      <w:pPr>
        <w:pStyle w:val="ListParagraph"/>
        <w:numPr>
          <w:ilvl w:val="0"/>
          <w:numId w:val="2"/>
        </w:numPr>
        <w:spacing w:before="40" w:after="40"/>
      </w:pPr>
      <w:r>
        <w:rPr>
          <w:rFonts w:ascii="Arial" w:cs="Arial" w:eastAsia="Arial" w:hAnsi="Arial"/>
          <w:color w:val="404040"/>
          <w:sz w:val="20"/>
          <w:szCs w:val="20"/>
        </w:rPr>
        <w:t xml:space="preserve">Deductions panel: Right column shows a running 'bill calculator' where every deduction is shown as a line item reducing from gross to net — mimicking the physical 'abstract of bill' document familiar to PMC engineers</w:t>
      </w:r>
    </w:p>
    <w:p>
      <w:pPr>
        <w:pStyle w:val="ListParagraph"/>
        <w:numPr>
          <w:ilvl w:val="0"/>
          <w:numId w:val="2"/>
        </w:numPr>
        <w:spacing w:before="40" w:after="40"/>
      </w:pPr>
      <w:r>
        <w:rPr>
          <w:rFonts w:ascii="Arial" w:cs="Arial" w:eastAsia="Arial" w:hAnsi="Arial"/>
          <w:color w:val="404040"/>
          <w:sz w:val="20"/>
          <w:szCs w:val="20"/>
        </w:rPr>
        <w:t xml:space="preserve">Satellite gate panel: Fixed at the bottom of the screen — shows three circular progress dials (AI Satellite, Contractor Claimed, PMC Certified) with colour coding, enabling instant visual comparison of the three progress sources</w:t>
      </w:r>
    </w:p>
    <w:p>
      <w:pPr>
        <w:pStyle w:val="ListParagraph"/>
        <w:numPr>
          <w:ilvl w:val="0"/>
          <w:numId w:val="2"/>
        </w:numPr>
        <w:spacing w:before="40" w:after="40"/>
      </w:pPr>
      <w:r>
        <w:rPr>
          <w:rFonts w:ascii="Arial" w:cs="Arial" w:eastAsia="Arial" w:hAnsi="Arial"/>
          <w:color w:val="404040"/>
          <w:sz w:val="20"/>
          <w:szCs w:val="20"/>
        </w:rPr>
        <w:t xml:space="preserve">Gate result badge: Prominently displayed — PASS (green) or HOLD (orange) — with the gap percentage and override status clearly stated</w:t>
      </w:r>
    </w:p>
    <w:p>
      <w:pPr>
        <w:pStyle w:val="ListParagraph"/>
        <w:numPr>
          <w:ilvl w:val="0"/>
          <w:numId w:val="2"/>
        </w:numPr>
        <w:spacing w:before="40" w:after="40"/>
      </w:pPr>
      <w:r>
        <w:rPr>
          <w:rFonts w:ascii="Arial" w:cs="Arial" w:eastAsia="Arial" w:hAnsi="Arial"/>
          <w:color w:val="404040"/>
          <w:sz w:val="20"/>
          <w:szCs w:val="20"/>
        </w:rPr>
        <w:t xml:space="preserve">Approver action bar: For the current approver, an action bar appears at the bottom: Approve / Reject / Return for Correction — with mandatory comment field for Reject/Return</w:t>
      </w:r>
    </w:p>
    <w:p>
      <w:pPr>
        <w:pStyle w:val="ListParagraph"/>
        <w:numPr>
          <w:ilvl w:val="0"/>
          <w:numId w:val="2"/>
        </w:numPr>
        <w:spacing w:before="40" w:after="40"/>
      </w:pPr>
      <w:r>
        <w:rPr>
          <w:rFonts w:ascii="Arial" w:cs="Arial" w:eastAsia="Arial" w:hAnsi="Arial"/>
          <w:color w:val="404040"/>
          <w:sz w:val="20"/>
          <w:szCs w:val="20"/>
        </w:rPr>
        <w:t xml:space="preserve">Timeline: Collapsible timeline panel showing all actions taken on the bill with actor, timestamp, and comment — full audit trail visible at any stage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Cash Flow S-Curve Analytics</w:t>
      </w:r>
    </w:p>
    <w:p>
      <w:pPr>
        <w:spacing w:before="80" w:after="80"/>
        <w:jc w:val="both"/>
      </w:pPr>
      <w:r>
        <w:rPr>
          <w:rFonts w:ascii="Arial" w:cs="Arial" w:eastAsia="Arial" w:hAnsi="Arial"/>
          <w:color w:val="404040"/>
          <w:sz w:val="20"/>
          <w:szCs w:val="20"/>
        </w:rPr>
        <w:t xml:space="preserve">The Cash Flow screen is the temporal financial view — showing the complete planned, actual, and forecast cash flow over the project lifecycle as both a cumulative S-curve and monthly bar chart. The screen is the primary tool for NICDC Finance's monthly fund planning and Ministry's budget release decisions.</w:t>
      </w:r>
    </w:p>
    <w:p>
      <w:pPr>
        <w:spacing w:before="120" w:after="60"/>
        <w:jc w:val="center"/>
      </w:pPr>
      <w:r>
        <w:drawing>
          <wp:inline distT="0" distB="0" distL="0" distR="0">
            <wp:extent cx="6000750" cy="3752850"/>
            <wp:effectExtent t="0" r="0" b="0" l="0"/>
            <wp:docPr id="1" name="Figure 5.3 — Cash Flow S-Curve Analytics (Cumulative S-Curve, Monthly Bar Chart, Data Date Marker, Variance Shading)" descr="Figure 5.3 — Cash Flow S-Curve Analytics (Cumulative S-Curve, Monthly Bar Chart, Data Date Marker, Variance Shading)" title="Figure 5.3 — Cash Flow S-Curve Analytics (Cumulative S-Curve, Monthly Bar Chart, Data Date Marker, Variance Sh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Cash Flow S-Curve Analytics (Cumulative S-Curve, Monthly Bar Chart, Data Date Marker, Variance Shading)</w:t>
      </w:r>
    </w:p>
    <w:p>
      <w:pPr>
        <w:pStyle w:val="Heading3"/>
        <w:spacing w:before="180" w:after="80"/>
      </w:pPr>
      <w:r>
        <w:rPr>
          <w:rFonts w:ascii="Arial" w:cs="Arial" w:eastAsia="Arial" w:hAnsi="Arial"/>
          <w:b/>
          <w:bCs/>
          <w:color w:val="1A3C5E"/>
          <w:sz w:val="22"/>
          <w:szCs w:val="22"/>
        </w:rPr>
        <w:t xml:space="preserve">Cash Flow Screen UI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S-curve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Three lines: Planned (blue), Actual (green), Forecast (orange dashed). Shaded red area between planned and actual = schedule variance in financial terms.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date vertical line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dashed vertical line marking today — separates historical actual data from forecast. Always visible even when scrolling.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bar chart (right panel)</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Side-by-side monthly bars for planned vs. actual expenditure. Enables identification of months with under-spend or over-spend against allocation.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Scope selector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Switch between Programme/Corridor/Node/Package level; period selector for YTD/FY/Lifetime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tooltip</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on any point of S-curve or bar to see exact planned, actual, and forecast values for that month in INR Crore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 options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 chart as PNG; data as Excel; full cash flow table as PDF for Ministry submission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Variation Order Register</w:t>
      </w:r>
    </w:p>
    <w:p>
      <w:pPr>
        <w:spacing w:before="80" w:after="80"/>
        <w:jc w:val="both"/>
      </w:pPr>
      <w:r>
        <w:rPr>
          <w:rFonts w:ascii="Arial" w:cs="Arial" w:eastAsia="Arial" w:hAnsi="Arial"/>
          <w:color w:val="404040"/>
          <w:sz w:val="20"/>
          <w:szCs w:val="20"/>
        </w:rPr>
        <w:t xml:space="preserve">The VO Register screen provides a complete view of all variation orders across the selected scope — filterable by status, type, and package. The alert system for GFR 10% ceiling compliance is prominently featured. The detail panel at the bottom shows the full VO justification, approval chain, and budget impact.</w:t>
      </w:r>
    </w:p>
    <w:p>
      <w:pPr>
        <w:spacing w:before="120" w:after="60"/>
        <w:jc w:val="center"/>
      </w:pPr>
      <w:r>
        <w:drawing>
          <wp:inline distT="0" distB="0" distL="0" distR="0">
            <wp:extent cx="6000750" cy="3600450"/>
            <wp:effectExtent t="0" r="0" b="0" l="0"/>
            <wp:docPr id="1" name="Figure 5.4 — Variation Order Register (VO Table, Status Filters, GFR Summary Panel, Detail View)" descr="Figure 5.4 — Variation Order Register (VO Table, Status Filters, GFR Summary Panel, Detail View)" title="Figure 5.4 — Variation Order Register (VO Table, Status Filters, GFR Summary Panel,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Variation Order Register (VO Table, Status Filters, GFR Summary Panel, Detail View)</w:t>
      </w:r>
    </w:p>
    <w:p>
      <w:pPr>
        <w:pStyle w:val="Heading3"/>
        <w:spacing w:before="180" w:after="80"/>
      </w:pPr>
      <w:r>
        <w:rPr>
          <w:rFonts w:ascii="Arial" w:cs="Arial" w:eastAsia="Arial" w:hAnsi="Arial"/>
          <w:b/>
          <w:bCs/>
          <w:color w:val="1A3C5E"/>
          <w:sz w:val="22"/>
          <w:szCs w:val="22"/>
        </w:rPr>
        <w:t xml:space="preserve">VO Register UX Design</w:t>
      </w:r>
    </w:p>
    <w:p>
      <w:pPr>
        <w:pStyle w:val="ListParagraph"/>
        <w:numPr>
          <w:ilvl w:val="0"/>
          <w:numId w:val="2"/>
        </w:numPr>
        <w:spacing w:before="40" w:after="40"/>
      </w:pPr>
      <w:r>
        <w:rPr>
          <w:rFonts w:ascii="Arial" w:cs="Arial" w:eastAsia="Arial" w:hAnsi="Arial"/>
          <w:color w:val="404040"/>
          <w:sz w:val="20"/>
          <w:szCs w:val="20"/>
        </w:rPr>
        <w:t xml:space="preserve">Coloured left border on each row: Green = Approved, Orange = Pending, Red = Rejected — instant status recognition without reading the status column</w:t>
      </w:r>
    </w:p>
    <w:p>
      <w:pPr>
        <w:pStyle w:val="ListParagraph"/>
        <w:numPr>
          <w:ilvl w:val="0"/>
          <w:numId w:val="2"/>
        </w:numPr>
        <w:spacing w:before="40" w:after="40"/>
      </w:pPr>
      <w:r>
        <w:rPr>
          <w:rFonts w:ascii="Arial" w:cs="Arial" w:eastAsia="Arial" w:hAnsi="Arial"/>
          <w:color w:val="404040"/>
          <w:sz w:val="20"/>
          <w:szCs w:val="20"/>
        </w:rPr>
        <w:t xml:space="preserve">GFR headroom indicator: The summary panel at the bottom always shows the current cumulative VO % vs. the 10% GFR limit — with a green/amber/red progress bar. This is the most important compliance metric for finance officers</w:t>
      </w:r>
    </w:p>
    <w:p>
      <w:pPr>
        <w:pStyle w:val="ListParagraph"/>
        <w:numPr>
          <w:ilvl w:val="0"/>
          <w:numId w:val="2"/>
        </w:numPr>
        <w:spacing w:before="40" w:after="40"/>
      </w:pPr>
      <w:r>
        <w:rPr>
          <w:rFonts w:ascii="Arial" w:cs="Arial" w:eastAsia="Arial" w:hAnsi="Arial"/>
          <w:color w:val="404040"/>
          <w:sz w:val="20"/>
          <w:szCs w:val="20"/>
        </w:rPr>
        <w:t xml:space="preserve">VO value sign colour: Positive VOs (extras/increases) shown in green; negative VOs (omissions/reductions) in red — following accounting convention</w:t>
      </w:r>
    </w:p>
    <w:p>
      <w:pPr>
        <w:pStyle w:val="ListParagraph"/>
        <w:numPr>
          <w:ilvl w:val="0"/>
          <w:numId w:val="2"/>
        </w:numPr>
        <w:spacing w:before="40" w:after="40"/>
      </w:pPr>
      <w:r>
        <w:rPr>
          <w:rFonts w:ascii="Arial" w:cs="Arial" w:eastAsia="Arial" w:hAnsi="Arial"/>
          <w:color w:val="404040"/>
          <w:sz w:val="20"/>
          <w:szCs w:val="20"/>
        </w:rPr>
        <w:t xml:space="preserve">Rate justification field: Shown as a collapsible cell in the table — click to expand and read the DSR/market analysis justification without navigating away</w:t>
      </w:r>
    </w:p>
    <w:p>
      <w:pPr>
        <w:pStyle w:val="ListParagraph"/>
        <w:numPr>
          <w:ilvl w:val="0"/>
          <w:numId w:val="2"/>
        </w:numPr>
        <w:spacing w:before="40" w:after="40"/>
      </w:pPr>
      <w:r>
        <w:rPr>
          <w:rFonts w:ascii="Arial" w:cs="Arial" w:eastAsia="Arial" w:hAnsi="Arial"/>
          <w:color w:val="404040"/>
          <w:sz w:val="20"/>
          <w:szCs w:val="20"/>
        </w:rPr>
        <w:t xml:space="preserve">Bulk approval: Select multiple Pending VOs and approve in batch (for SPV Director processing weekly backlog)</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Cost Forecast &amp; EAC Analytics</w:t>
      </w:r>
    </w:p>
    <w:p>
      <w:pPr>
        <w:spacing w:before="80" w:after="80"/>
        <w:jc w:val="both"/>
      </w:pPr>
      <w:r>
        <w:rPr>
          <w:rFonts w:ascii="Arial" w:cs="Arial" w:eastAsia="Arial" w:hAnsi="Arial"/>
          <w:color w:val="404040"/>
          <w:sz w:val="20"/>
          <w:szCs w:val="20"/>
        </w:rPr>
        <w:t xml:space="preserve">The EAC Analytics screen gives NICDC Finance and Ministry officials the forward-looking financial picture. The left panel shows all four EAC methods side-by-side with the ensemble recommendation; the right panels show the EAC trend over time and a package-level EAC table with CPI and contingency headroom.</w:t>
      </w:r>
    </w:p>
    <w:p>
      <w:pPr>
        <w:spacing w:before="120" w:after="60"/>
        <w:jc w:val="center"/>
      </w:pPr>
      <w:r>
        <w:drawing>
          <wp:inline distT="0" distB="0" distL="0" distR="0">
            <wp:extent cx="6000750" cy="3752850"/>
            <wp:effectExtent t="0" r="0" b="0" l="0"/>
            <wp:docPr id="1" name="Figure 5.5 — Cost Forecast &amp; EAC Analytics (4 EAC Methods, EAC Trend, Package-level EAC Table)" descr="Figure 5.5 — Cost Forecast &amp; EAC Analytics (4 EAC Methods, EAC Trend, Package-level EAC Table)" title="Figure 5.5 — Cost Forecast &amp; EAC Analytics (4 EAC Methods, EAC Trend, Package-level EAC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Cost Forecast &amp; EAC Analytics (4 EAC Methods, EAC Trend, Package-level EAC Table)</w:t>
      </w:r>
    </w:p>
    <w:p>
      <w:pPr>
        <w:pStyle w:val="Heading3"/>
        <w:spacing w:before="180" w:after="80"/>
      </w:pPr>
      <w:r>
        <w:rPr>
          <w:rFonts w:ascii="Arial" w:cs="Arial" w:eastAsia="Arial" w:hAnsi="Arial"/>
          <w:b/>
          <w:bCs/>
          <w:color w:val="1A3C5E"/>
          <w:sz w:val="22"/>
          <w:szCs w:val="22"/>
        </w:rPr>
        <w:t xml:space="preserve">EAC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User Value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Method cards (4 + ensemble)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Four stacked cards showing EAC value, variance from BAC (₹ Cr and %), and method basis. Ensemble recommendation highlighted in blue border.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Allows Finance Director to choose which EAC to report to Ministry based on risk appetite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Trend Line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 chart showing how EAC has evolved over the past 6 months vs. flat BAC line. Shaded area = overrun zone.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Trend direction (improving/worsening) is critical — a rising EAC trend triggers RCE initiation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Package EAC Table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Per-package: BAC, EAC, Variance, CPI, and Contingency headroom. Row highlighted red if EAC &gt; BAC + 5%.</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Pinpoints which specific packages are driving the overrun — enables targeted corrective action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'What-If' scenario button</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 a modal where user can input alternative CPI assumption; system recomputes all four EAC methods and shows before/after comparison.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we improve delivery efficiency on P07 to CPI=0.95, the overrun reduces to ₹320 Cr'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Budget &amp; Commitment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CST-001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commitment (LOA/WO/PO) cannot be created if the uncommitted budget balance for the WBS node is insufficient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error: 'Insufficient uncommitted budget. Available: ₹X Cr. Requested: ₹Y Cr. Initiate RCE or reduce commitment.'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CST-002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phased budget must sum to the total approved project budget across all financial years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Validation error on budget setup: 'Annual phasing total (₹X Cr) does not match total approved budget (₹Y Cr).'</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CST-003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Revised Cost Estimate (RCE) must be approved before the revised budget can be used for new commitments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RCE submitted but not approved — new commitments limited to original budget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CST-004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Performance Security BG expiry &lt; 30 days from current date without extension: invoice approvals for that contract blocked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SPV Legal + SPV CFO; invoice approval blocked until BG extended or renewed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CST-005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Mobilisation advance recovery must be completed (advance balance = 0) before the Final Bill can be processed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prevents Final Bill submission if advance recovery balance &gt; 0</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RA Bill &amp; Payment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progress gate: If |AI% – Contractor Claimed%| &gt; 10%, bill status is set to HOLD; invoice approval workflow cannot progress until PMC resolves discrepancy</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 held at Satellite Gate stage; PMC alert sent; invoice age counter continues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 timely payment: Payment must be released within 15 working days of PMC certification; delay beyond 30 days triggers interest liability at RBI base rate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flags bills approaching 15-day limit (amber at day 10); NICDC Finance alert at day 15; interest liability calculated automatically from day 31</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GSTIN validation: Contractor GSTIN must be validated against GSTN portal and show 'Active' status before GST is computed and bill approved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Blocked: 'Contractor GSTIN not active on GSTN. Contact contractor to resolve GST compliance before bill can proceed.'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Liquidated Damages (LD) are automatically calculated and deducted if: (a) Milestone delay &gt; contract LD-free period, and (b) No LD waiver is approved in system</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LD computed as: (LOA value × LD rate per day × delay days); deducted from each subsequent RA Bill; LD waiver requires SPV Director + NICDC approval</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Bill can only be raised after: (a) All milestones for the package are complete, (b) DLP period has elapsed or is being settled, (c) All NCRs closed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'Final Bill cannot be raised. Open Milestones: 2; Open NCRs: 3. Resolve before Final Bill submission.'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Variation Order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VO value must not exceed 10% of LOA value without Ministry approval (GFR Rule 209)</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blocks VO approval beyond 10%; Ministry concurrence workflow automatically initiated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Extra Item rates must be supported by a DSR 2024-25 reference OR three market quotations OR a PMC technical justification report — all uploaded to Module 6 DMS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'Extra item rate justification document not uploaded. Upload before VO can be submitted.'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VO must be fully approved before the quantities / items in it can be included in a contractor's RA Bill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rejects RA Bill line items that reference unapproved VO items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Emergency VOs approved verbally (in field emergency) must be formally ratified in system within 7 working days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approving authority after 3 days; VO automatically flagged as 'Overdue Ratification' after 7 days; NICDC Finance notified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hierarchy, DPR estimate values, cost templates; Outbound: Budget nodes seeded per WBS element, cost confirmation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budget nodes auto-created with DPR baseline values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 / EVM</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BCWS time-phased budget, BCWP earned value, EVM data date; Outbound: ACWP (actual invoiced amounts), EAC forecast, CPI/SPI for dashboard</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each PFMS payment confirmation; daily sync of EVM cost parameters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AI-derived progress % per WBS package at data date (satellite progress gate); Outbound: EAC to satellite report, data date for satellite scene alignment</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 RA Bill satellite gate check (real-time query); weekly after satellite run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Mgmt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LOA values, VO approvals, advance amounts, retention release milestones; Outbound: Payment schedule, commitment amounts, VO budget impact</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LOA award; on VO approval; on retention release milestone completion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Rate justification documents, RCE approval documents, LD waiver documents stored in DMS; Inbound: Document references for VO/RCE approvals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document upload in any approval workflow; auto-filed under WBS DMS folder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ACWP, EAC, VO status, fund utilisation, pending bills data for executive dashboards and MPR</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REST API read; refreshed daily after payment processing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Protocol</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(CGA)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DPA for each approved invoice; fund availability query. Inbound: TRN acknowledgement, payment status, failed payment codes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OAuth 2.0; HTTPS; NeSDA API gateway; PFMS sandbox for testing</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 (GST Portal)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GSTIN validation for each contractor; Active/Inactive status; GST return filing status</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 sandbox API; 24-hour cache to reduce API calls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RBI WPI/CPI Data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 Open Data</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WPI and CPI index values for price escalation computation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DBIE (RBI Data Warehouse) REST API; auto-downloaded 15th of each month</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Portal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 status and delivery confirmation for GeM procurement; payment trigger on GeM delivery confirmation</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Seller API; OAuth 2.0</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Income Tax (TRACES)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TDS certificate generation; 26AS reconciliation for contractor TDS credit</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TRACES API; quarterly reconciliation</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Bank / CBS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 SFTP</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Account validation (Penny Drop) before first payment to new vendor; payment instruction delivery for RTGS/NEFT</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NPC / RBI payment framework; account validation 24 hrs before first payment</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RA Bill Approval Chain — Summary</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1872"/>
        <w:gridCol w:w="1872"/>
        <w:gridCol w:w="1872"/>
        <w:gridCol w:w="1872"/>
        <w:gridCol w:w="1272"/>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Bill Value (Net Payable)</w:t>
            </w:r>
          </w:p>
        </w:tc>
        <w:tc>
          <w:tcPr>
            <w:tcW w:type="dxa" w:w="1872"/>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 1</w:t>
            </w:r>
          </w:p>
        </w:tc>
        <w:tc>
          <w:tcPr>
            <w:tcW w:type="dxa" w:w="1872"/>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 2</w:t>
            </w:r>
          </w:p>
        </w:tc>
        <w:tc>
          <w:tcPr>
            <w:tcW w:type="dxa" w:w="1872"/>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 3</w:t>
            </w:r>
          </w:p>
        </w:tc>
        <w:tc>
          <w:tcPr>
            <w:tcW w:type="dxa" w:w="1872"/>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 4</w:t>
            </w:r>
          </w:p>
        </w:tc>
        <w:tc>
          <w:tcPr>
            <w:tcW w:type="dxa" w:w="1272"/>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 (Working Days)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 to ₹ 1 Cr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Site Engr.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2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days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1–5 Cr</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RE</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Mgr</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2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days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5–20 Cr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Mgr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2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 days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20–50 Cr</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Mgr</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8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272"/>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12 days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 50 Cr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Mgr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note</w:t>
            </w:r>
          </w:p>
        </w:tc>
        <w:tc>
          <w:tcPr>
            <w:tcW w:type="dxa" w:w="18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272"/>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days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Budget / RCE Approval Chain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1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Revision Trigger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Level 1</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Level 2</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Level 3</w:t>
            </w:r>
          </w:p>
        </w:tc>
        <w:tc>
          <w:tcPr>
            <w:tcW w:type="dxa" w:w="1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Conditions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Initial DPR Budget setup</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Mandatory before any LOA issuance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 — variance ≤ 5%</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Detailed differential analysis required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 — variance 5–20%</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concurrence note</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CVC guidelines applicable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 — variance &gt; 20% or &gt; ₹1,000 Cr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note</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Parliamentary question risk — high sensitivity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Contingency drawdown</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CFO</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Reason code and residual balance check mandatory</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 screen load</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for bill with all deductions, satellite data, and approval history</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audit; P95 under load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API transmission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from DPA generation to PFMS acknowledgement (TRN receipt)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API call timing log; alert if &gt; 60 seconds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rollup computation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seconds to recompute full corridor budget rollup (all WBS nodes, all cost heads)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DB query time with proper indexing on wbs_id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computation (4 methods)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10 seconds after data date advance for all four EAC methods across all active WBS nodes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computation job duration log</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chart render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to render 24-month S-curve with 3 lines and monthly data</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Frontend chart render time; Recharts/D3 performance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financial users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finance staff simultaneously on RA Bill and budget screens without degradation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100 VUs for 15 minutes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reconciliation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reconciliation run completed within 4 hours on month-end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Reconciliation job completion log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trail query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seconds to retrieve full financial audit trail for any WBS element (5-year history)</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PostgreSQL query with Elasticsearch backup for large volumes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retention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for all financial records per GFR 2017</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archival; cold storage after 7 years active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uptime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99.5% for RA Bill and PFMS payment functions (critical financial operations)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Synthetic monitoring; monthly SLA report to NICDC Finance</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4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Running Account Bill — periodic payment claim by contractor for work executed to date; standard Indian government construction payment instrument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Letter of Award — formal document communicating contract award to a successful bidder; creates a legally binding commitment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Public Financial Management System — GoI central treasury system operated by CGA under Ministry of Finance; all government payments flow through PFMS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at Completion — total approved project budget (sum of all WBS budget nodes)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Estimate at Completion — predicted total project cost based on current performance trends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2017</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General Financial Rules 2017 — comprehensive Government of India financial management regulations governing procurement, payments, advances, and accounts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CGA</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Controller General of Accounts — Head of the Indian Government Accounting Service; operates PFMS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DPA</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Payment Advice — PFMS-formatted payment instruction generated by IC-PMS for each approved invoice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TRN</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Transaction Reference Number — PFMS-generated unique identifier for each payment order</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Variation Order — formal document authorising a change in scope, quantity, or specification within an existing contract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Revised Cost Estimate — formal upward revision of the DPR-approved project cost estimate; requires tiered approval</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MB</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Measurement Book — official record of quantities of work measured and certified by the PMC/engineer; primary basis for RA Bill payment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LD</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Liquidated Damages — pre-agreed penalty deducted from contractor payments for each day of delay beyond the contractual completion date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Retention Money</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Amount withheld (typically 5%) from each RA Bill payment as security against defects; released after DLP completion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DLP</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Defect Liability Period — period after project handover during which contractor is responsible for fixing defects; typically 12–24 months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BG</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Bank Guarantee — financial instrument from contractor's bank guaranteeing performance; types: Performance Security, Advance Payment BG, Retention BG</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of Rates — published rate schedule (CPWD SOR, state-specific DSR) used for valuing work items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DSR</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Delhi Schedule of Rates (also refers to state-specific District Schedule of Rates) — basis for market rate analysis of extra items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WPI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Wholesale Price Index — RBI-tracked price index for goods; used to compute inflation-linked price escalation in construction contracts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Goods and Services Tax Network — government portal for GST registration and return filing; IC-PMS validates contractor GSTIN against GSTN</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4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4: Cost Management &amp; Budget Control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ee01d53cea2e990899b48c1e0e250d5830325d3.png"/><Relationship Id="rId9" Type="http://schemas.openxmlformats.org/officeDocument/2006/relationships/image" Target="media/f515b58d4ba727eb56ce06ec0a5c4cfc33718114.png"/><Relationship Id="rId10" Type="http://schemas.openxmlformats.org/officeDocument/2006/relationships/image" Target="media/492b05071d0995b4d5e37bd0b2dab467b2b4199d.png"/><Relationship Id="rId11" Type="http://schemas.openxmlformats.org/officeDocument/2006/relationships/image" Target="media/0435af6ddc18beef887bf140bcc3138308ed9689.png"/><Relationship Id="rId12" Type="http://schemas.openxmlformats.org/officeDocument/2006/relationships/image" Target="media/23e3bd3d9d8dc58370a0e724be479263f44d0543.png"/><Relationship Id="rId13" Type="http://schemas.openxmlformats.org/officeDocument/2006/relationships/image" Target="media/1f91ffb0ffd3df4eab858787d02de7f2bbf62c7d.png"/><Relationship Id="rId14" Type="http://schemas.openxmlformats.org/officeDocument/2006/relationships/image" Target="media/de34b052405f7a14543a1b8981c3b9d4038c1136.png"/><Relationship Id="rId15" Type="http://schemas.openxmlformats.org/officeDocument/2006/relationships/image" Target="media/26d4c4d668cacfd566913cba740b98913d831ef0.png"/><Relationship Id="rId16" Type="http://schemas.openxmlformats.org/officeDocument/2006/relationships/image" Target="media/9c033dbaf6d249abb7e56776ef084e7087922574.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2026-03-28T11:57:03.183Z</dcterms:created>
  <dcterms:modified xsi:type="dcterms:W3CDTF">2026-03-28T11:57:03.184Z</dcterms:modified>
</cp:coreProperties>
</file>

<file path=docProps/custom.xml><?xml version="1.0" encoding="utf-8"?>
<Properties xmlns="http://schemas.openxmlformats.org/officeDocument/2006/custom-properties" xmlns:vt="http://schemas.openxmlformats.org/officeDocument/2006/docPropsVTypes"/>
</file>