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5</w:t>
      </w:r>
    </w:p>
    <w:p>
      <w:pPr>
        <w:spacing w:before="60" w:after="80"/>
        <w:jc w:val="center"/>
      </w:pPr>
      <w:r>
        <w:rPr>
          <w:rFonts w:ascii="Arial" w:cs="Arial" w:eastAsia="Arial" w:hAnsi="Arial"/>
          <w:b/>
          <w:bCs/>
          <w:color w:val="2E75B6"/>
          <w:sz w:val="38"/>
          <w:szCs w:val="38"/>
        </w:rPr>
        <w:t xml:space="preserve">Contract &amp;</w:t>
      </w:r>
    </w:p>
    <w:p>
      <w:pPr>
        <w:spacing w:before="60" w:after="80"/>
        <w:jc w:val="center"/>
      </w:pPr>
      <w:r>
        <w:rPr>
          <w:rFonts w:ascii="Arial" w:cs="Arial" w:eastAsia="Arial" w:hAnsi="Arial"/>
          <w:b/>
          <w:bCs/>
          <w:color w:val="2E75B6"/>
          <w:sz w:val="38"/>
          <w:szCs w:val="38"/>
        </w:rPr>
        <w:t xml:space="preserve">Procurement Management</w:t>
      </w:r>
    </w:p>
    <w:p>
      <w:pPr>
        <w:spacing w:before="80" w:after="300"/>
        <w:jc w:val="center"/>
      </w:pPr>
      <w:r>
        <w:rPr>
          <w:rFonts w:ascii="Arial" w:cs="Arial" w:eastAsia="Arial" w:hAnsi="Arial"/>
          <w:color w:val="1A8A8A"/>
          <w:sz w:val="22"/>
          <w:szCs w:val="22"/>
        </w:rPr>
        <w:t xml:space="preserve">GFR 2017 / CVC / GeM / CPPP Aligned End-to-End Contract Lifecycle</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5 — Contract &amp; Procurement Management — governs the complete lifecycle of every contract on India's industrial corridor programme, from the initial procurement plan through tender preparation, bid management, contract award, execution monitoring, variation order management, contractor performance scoring, dispute resolution, and final account settlement. It is the module that translates the physical programme (WBS in Module 1) into legally binding commercial relationships with contractors, consultants, and suppliers.</w:t>
      </w:r>
    </w:p>
    <w:p>
      <w:pPr>
        <w:spacing w:before="80" w:after="80"/>
        <w:jc w:val="both"/>
      </w:pPr>
      <w:r>
        <w:rPr>
          <w:rFonts w:ascii="Arial" w:cs="Arial" w:eastAsia="Arial" w:hAnsi="Arial"/>
          <w:color w:val="404040"/>
          <w:sz w:val="20"/>
          <w:szCs w:val="20"/>
        </w:rPr>
        <w:t xml:space="preserve">The module is designed in full compliance with the Government of India's General Financial Rules 2017 (GFR), Central Vigilance Commission (CVC) guidelines, and the Central Public Procurement Portal (CPPP) framework. It integrates with the Government e-Marketplace (GeM) for direct procurement, and with Module 4 (Cost Management) for LOA value commitment, payment scheduling, and VO budget impact. The contract lifecycle management model draws on Oracle Primavera Unifier's Contract Manager business process framework.</w:t>
      </w:r>
    </w:p>
    <w:p>
      <w:pPr>
        <w:spacing w:before="80" w:after="80"/>
        <w:jc w:val="both"/>
      </w:pPr>
      <w:r>
        <w:rPr>
          <w:rFonts w:ascii="Arial" w:cs="Arial" w:eastAsia="Arial" w:hAnsi="Arial"/>
          <w:color w:val="404040"/>
          <w:sz w:val="20"/>
          <w:szCs w:val="20"/>
        </w:rPr>
        <w:t xml:space="preserve">A distinctive feature of Module 5 is its Integrity Pact management capability — mandatory for all contracts above ₹10 Crore as per CVC guidelines — which tracks Integrity Pact signatures, potential breach events, and Independent External Monitor (IEM) appointments. The module also hosts a contractor performance scorecard system that generates monthly ratings across quality, safety, schedule, environmental compliance, and payment conduct — feeding into a contractor blacklisting register aligned with Ministry of Finance debarment rules.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Regulatory Reference</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plan creation &amp; approval (WBS-linked)</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144 — Commitment authorisation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 ITB preparation and document generation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149 / CPWD Works Manual</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e-Procurement publication (CPPP integration)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158 — Mandatory e-publishing</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portal integration (direct procurement)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149A — GeM preference policy</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receipt, technical &amp; financial evaluation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175 — Evaluation methodology</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Comparative Statement (CS) generation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 CS format</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 Pact management (CVC guidelines)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CVC OM No. 04-03-00-CTE-9 (2007)</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Negotiation minutes and L1 confirmation</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175 — L1 negotiation</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 Contract award and execution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149 — Contract conditions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Contractual milestone tracking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Unifier Contract Manager</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Variation Order lifecycle (types, approvals, GFR limits)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GFR Rule 209</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 management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sub-letting clause — NIT conditions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performance scorecard (8 KPIs)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Innovation — NICDC requirement</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 &amp; arbitration register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Arbitration &amp; Conciliation Act 1996</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Bank Guarantee tracking and alerts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conditions / GFR Rule 235</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Defect Liability Period (DLP) and retention management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conditions / GFR Rule 209</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account settlement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CPWD Works Manual — Final Bill procedures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GFR-first procurement: All procurement method selections (OCT, LTE, GeM, Nomination) are governed by GFR thresholds; the system enforces the correct method based on estimated contract value</w:t>
      </w:r>
    </w:p>
    <w:p>
      <w:pPr>
        <w:pStyle w:val="ListParagraph"/>
        <w:numPr>
          <w:ilvl w:val="0"/>
          <w:numId w:val="2"/>
        </w:numPr>
        <w:spacing w:before="40" w:after="40"/>
      </w:pPr>
      <w:r>
        <w:rPr>
          <w:rFonts w:ascii="Arial" w:cs="Arial" w:eastAsia="Arial" w:hAnsi="Arial"/>
          <w:color w:val="404040"/>
          <w:sz w:val="20"/>
          <w:szCs w:val="20"/>
        </w:rPr>
        <w:t xml:space="preserve">Transparency by design: Every bid evaluation, committee decision, and award recommendation is logged with user ID, timestamp, and justification — CVC-grade audit trail from NIT to LOA</w:t>
      </w:r>
    </w:p>
    <w:p>
      <w:pPr>
        <w:pStyle w:val="ListParagraph"/>
        <w:numPr>
          <w:ilvl w:val="0"/>
          <w:numId w:val="2"/>
        </w:numPr>
        <w:spacing w:before="40" w:after="40"/>
      </w:pPr>
      <w:r>
        <w:rPr>
          <w:rFonts w:ascii="Arial" w:cs="Arial" w:eastAsia="Arial" w:hAnsi="Arial"/>
          <w:color w:val="404040"/>
          <w:sz w:val="20"/>
          <w:szCs w:val="20"/>
        </w:rPr>
        <w:t xml:space="preserve">Integrity Pact enforcement: For contracts above ₹10 Cr, the Integrity Pact is a mandatory document; system blocks LOA issuance until IP is signed by both bidder and designated NICDC officer</w:t>
      </w:r>
    </w:p>
    <w:p>
      <w:pPr>
        <w:pStyle w:val="ListParagraph"/>
        <w:numPr>
          <w:ilvl w:val="0"/>
          <w:numId w:val="2"/>
        </w:numPr>
        <w:spacing w:before="40" w:after="40"/>
      </w:pPr>
      <w:r>
        <w:rPr>
          <w:rFonts w:ascii="Arial" w:cs="Arial" w:eastAsia="Arial" w:hAnsi="Arial"/>
          <w:color w:val="404040"/>
          <w:sz w:val="20"/>
          <w:szCs w:val="20"/>
        </w:rPr>
        <w:t xml:space="preserve">Primavera Unifier alignment: Contract types, milestone definitions, VO workflows, and final account processes mirror Oracle Primavera Unifier's Contract Manager for data model interoperability</w:t>
      </w:r>
    </w:p>
    <w:p>
      <w:pPr>
        <w:pStyle w:val="ListParagraph"/>
        <w:numPr>
          <w:ilvl w:val="0"/>
          <w:numId w:val="2"/>
        </w:numPr>
        <w:spacing w:before="40" w:after="40"/>
      </w:pPr>
      <w:r>
        <w:rPr>
          <w:rFonts w:ascii="Arial" w:cs="Arial" w:eastAsia="Arial" w:hAnsi="Arial"/>
          <w:color w:val="404040"/>
          <w:sz w:val="20"/>
          <w:szCs w:val="20"/>
        </w:rPr>
        <w:t xml:space="preserve">Performance drives payment: Contractor performance scorecard feeds directly into payment processing (Module 4); poor safety/quality scores can trigger PMC review before bill approval</w:t>
      </w:r>
    </w:p>
    <w:p>
      <w:pPr>
        <w:pStyle w:val="ListParagraph"/>
        <w:numPr>
          <w:ilvl w:val="0"/>
          <w:numId w:val="2"/>
        </w:numPr>
        <w:spacing w:before="40" w:after="40"/>
      </w:pPr>
      <w:r>
        <w:rPr>
          <w:rFonts w:ascii="Arial" w:cs="Arial" w:eastAsia="Arial" w:hAnsi="Arial"/>
          <w:color w:val="404040"/>
          <w:sz w:val="20"/>
          <w:szCs w:val="20"/>
        </w:rPr>
        <w:t xml:space="preserve">Single contract record: Every LOA, WO, amendment, VO, and correspondence is stored under a single contract record — eliminating the risk of parallel paper-and-digital tracking</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5.1 — Procurement Planning</w:t>
      </w:r>
    </w:p>
    <w:p>
      <w:pPr>
        <w:spacing w:before="80" w:after="80"/>
        <w:jc w:val="both"/>
      </w:pPr>
      <w:r>
        <w:rPr>
          <w:rFonts w:ascii="Arial" w:cs="Arial" w:eastAsia="Arial" w:hAnsi="Arial"/>
          <w:color w:val="404040"/>
          <w:sz w:val="20"/>
          <w:szCs w:val="20"/>
        </w:rPr>
        <w:t xml:space="preserve">Procurement Planning is the strategic front-end of the contract lifecycle. It translates the WBS work packages (from Module 1) into a structured procurement plan — identifying what needs to be procured, through which method, by when, at what estimated value, and with which contract type. An approved procurement plan is the mandatory precondition for initiating any tender process.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Procurement plan linked to WBS: Each WBS work package (Level 5 and below) generates a procurement plan entry; packages may be bundled (e.g., two small works combined) or split (e.g., phased procurement)</w:t>
      </w:r>
    </w:p>
    <w:p>
      <w:pPr>
        <w:pStyle w:val="ListParagraph"/>
        <w:numPr>
          <w:ilvl w:val="0"/>
          <w:numId w:val="2"/>
        </w:numPr>
        <w:spacing w:before="40" w:after="40"/>
      </w:pPr>
      <w:r>
        <w:rPr>
          <w:rFonts w:ascii="Arial" w:cs="Arial" w:eastAsia="Arial" w:hAnsi="Arial"/>
          <w:color w:val="404040"/>
          <w:sz w:val="20"/>
          <w:szCs w:val="20"/>
        </w:rPr>
        <w:t xml:space="preserve">Procurement method selection: Automated method recommendation based on estimated contract value and GFR thresholds, with override requiring documented justification and approval</w:t>
      </w:r>
    </w:p>
    <w:p>
      <w:pPr>
        <w:pStyle w:val="ListParagraph"/>
        <w:numPr>
          <w:ilvl w:val="0"/>
          <w:numId w:val="2"/>
        </w:numPr>
        <w:spacing w:before="40" w:after="40"/>
      </w:pPr>
      <w:r>
        <w:rPr>
          <w:rFonts w:ascii="Arial" w:cs="Arial" w:eastAsia="Arial" w:hAnsi="Arial"/>
          <w:color w:val="404040"/>
          <w:sz w:val="20"/>
          <w:szCs w:val="20"/>
        </w:rPr>
        <w:t xml:space="preserve">Contract type selection: Works Contract (CPWD/FIDIC), Supply Contract, Consultancy Agreement, Turnkey/EPC, PPP Concession — each with different bid documents, conditions of contract, and evaluation methodology</w:t>
      </w:r>
    </w:p>
    <w:p>
      <w:pPr>
        <w:pStyle w:val="ListParagraph"/>
        <w:numPr>
          <w:ilvl w:val="0"/>
          <w:numId w:val="2"/>
        </w:numPr>
        <w:spacing w:before="40" w:after="40"/>
      </w:pPr>
      <w:r>
        <w:rPr>
          <w:rFonts w:ascii="Arial" w:cs="Arial" w:eastAsia="Arial" w:hAnsi="Arial"/>
          <w:color w:val="404040"/>
          <w:sz w:val="20"/>
          <w:szCs w:val="20"/>
        </w:rPr>
        <w:t xml:space="preserve">Annual procurement calendar: All planned tenders for the financial year displayed as a calendar view; NIT publication dates, bid due dates, and award target dates mapped to the project schedule</w:t>
      </w:r>
    </w:p>
    <w:p>
      <w:pPr>
        <w:pStyle w:val="ListParagraph"/>
        <w:numPr>
          <w:ilvl w:val="0"/>
          <w:numId w:val="2"/>
        </w:numPr>
        <w:spacing w:before="40" w:after="40"/>
      </w:pPr>
      <w:r>
        <w:rPr>
          <w:rFonts w:ascii="Arial" w:cs="Arial" w:eastAsia="Arial" w:hAnsi="Arial"/>
          <w:color w:val="404040"/>
          <w:sz w:val="20"/>
          <w:szCs w:val="20"/>
        </w:rPr>
        <w:t xml:space="preserve">Bundling and splitting: PMC or SPV PM can bundle multiple small WBS packages into a single tender (reducing procurement cost) or split a large package into multiple tenders (increasing competition)</w:t>
      </w:r>
    </w:p>
    <w:p>
      <w:pPr>
        <w:pStyle w:val="ListParagraph"/>
        <w:numPr>
          <w:ilvl w:val="0"/>
          <w:numId w:val="2"/>
        </w:numPr>
        <w:spacing w:before="40" w:after="40"/>
      </w:pPr>
      <w:r>
        <w:rPr>
          <w:rFonts w:ascii="Arial" w:cs="Arial" w:eastAsia="Arial" w:hAnsi="Arial"/>
          <w:color w:val="404040"/>
          <w:sz w:val="20"/>
          <w:szCs w:val="20"/>
        </w:rPr>
        <w:t xml:space="preserve">Procurement approval: Procurement plan submitted by SPV PM → approved by SPV Director → NICDC concurrence for packages above ₹50 Cr → Ministry approval for packages above ₹500 Cr</w:t>
      </w:r>
    </w:p>
    <w:p>
      <w:pPr>
        <w:pStyle w:val="ListParagraph"/>
        <w:numPr>
          <w:ilvl w:val="0"/>
          <w:numId w:val="2"/>
        </w:numPr>
        <w:spacing w:before="40" w:after="40"/>
      </w:pPr>
      <w:r>
        <w:rPr>
          <w:rFonts w:ascii="Arial" w:cs="Arial" w:eastAsia="Arial" w:hAnsi="Arial"/>
          <w:color w:val="404040"/>
          <w:sz w:val="20"/>
          <w:szCs w:val="20"/>
        </w:rPr>
        <w:t xml:space="preserve">Pre-qualification: For large complex contracts (typically &gt; ₹100 Cr), a Request for Qualification (RFQ) stage prior to ITB — managing shortlisted qualified bidders list</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Procurement Method Thresholds (GFR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Method</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GFR Rule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Value Threshold</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Conditions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Portal (Direct Order)</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149A</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 to ₹50 Lakh (Works); Higher with 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Preferred for goods/services on GeM; direct ordering</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Limited Tender Enquiry (LTE)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152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 to ₹25 Lakh</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 3 quotations; list of empanelled vendors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 Competitive Tender (OCT)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149</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Above ₹25 Lakh (Works)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CPPP publication mandatory &gt; ₹2 Cr; IP &gt; ₹10 Cr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Single Source / Nomination</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154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value; special conditions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Cabinet/CCEA approval; documented justification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Expression of Interest (EOI)</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160</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Typically &gt; ₹100 Cr complex works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Pre-qualification before full tender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Design-Build (FIDIC Yellow)</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Rule 149</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value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Additional technical capacity qualification required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5.2 — Tender Preparation</w:t>
      </w:r>
    </w:p>
    <w:p>
      <w:pPr>
        <w:spacing w:before="80" w:after="80"/>
        <w:jc w:val="both"/>
      </w:pPr>
      <w:r>
        <w:rPr>
          <w:rFonts w:ascii="Arial" w:cs="Arial" w:eastAsia="Arial" w:hAnsi="Arial"/>
          <w:color w:val="404040"/>
          <w:sz w:val="20"/>
          <w:szCs w:val="20"/>
        </w:rPr>
        <w:t xml:space="preserve">The Tender Preparation sub-function provides a structured document assembly environment for creating complete, GFR-compliant tender packages — including Notice Inviting Tender (NIT), Instructions to Bidders (ITB), Conditions of Contract, Bill of Quantities (BOQ), Technical Specifications, and Drawings Register. All documents are version-controlled and stored in Module 6 DMS.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NIT auto-generation: System generates a standardised NIT document from template (incorporating NICDC letterhead, tender number, scope summary, estimated value, bid security, completion period, eligibility criteria) — with editable fields for package-specific content</w:t>
      </w:r>
    </w:p>
    <w:p>
      <w:pPr>
        <w:pStyle w:val="ListParagraph"/>
        <w:numPr>
          <w:ilvl w:val="0"/>
          <w:numId w:val="2"/>
        </w:numPr>
        <w:spacing w:before="40" w:after="40"/>
      </w:pPr>
      <w:r>
        <w:rPr>
          <w:rFonts w:ascii="Arial" w:cs="Arial" w:eastAsia="Arial" w:hAnsi="Arial"/>
          <w:color w:val="404040"/>
          <w:sz w:val="20"/>
          <w:szCs w:val="20"/>
        </w:rPr>
        <w:t xml:space="preserve">BOQ builder: Line-item BOQ linked to CPWD SOR 2024-25 / MoRTH specifications / State PWD DSR for Works contracts; quantity cells editable; unit rates pre-filled from SOR with override capability</w:t>
      </w:r>
    </w:p>
    <w:p>
      <w:pPr>
        <w:pStyle w:val="ListParagraph"/>
        <w:numPr>
          <w:ilvl w:val="0"/>
          <w:numId w:val="2"/>
        </w:numPr>
        <w:spacing w:before="40" w:after="40"/>
      </w:pPr>
      <w:r>
        <w:rPr>
          <w:rFonts w:ascii="Arial" w:cs="Arial" w:eastAsia="Arial" w:hAnsi="Arial"/>
          <w:color w:val="404040"/>
          <w:sz w:val="20"/>
          <w:szCs w:val="20"/>
        </w:rPr>
        <w:t xml:space="preserve">Technical specification library: Reusable specification clauses (CPWD, IRC, IS codes) maintained in a specification library; clauses selected and assembled into package-specific specification document</w:t>
      </w:r>
    </w:p>
    <w:p>
      <w:pPr>
        <w:pStyle w:val="ListParagraph"/>
        <w:numPr>
          <w:ilvl w:val="0"/>
          <w:numId w:val="2"/>
        </w:numPr>
        <w:spacing w:before="40" w:after="40"/>
      </w:pPr>
      <w:r>
        <w:rPr>
          <w:rFonts w:ascii="Arial" w:cs="Arial" w:eastAsia="Arial" w:hAnsi="Arial"/>
          <w:color w:val="404040"/>
          <w:sz w:val="20"/>
          <w:szCs w:val="20"/>
        </w:rPr>
        <w:t xml:space="preserve">Eligibility criteria wizard: Turnover criteria, similar work experience criteria, personnel qualification requirements — configurable per contract type with GFR-mandated minimum criteria pre-set</w:t>
      </w:r>
    </w:p>
    <w:p>
      <w:pPr>
        <w:pStyle w:val="ListParagraph"/>
        <w:numPr>
          <w:ilvl w:val="0"/>
          <w:numId w:val="2"/>
        </w:numPr>
        <w:spacing w:before="40" w:after="40"/>
      </w:pPr>
      <w:r>
        <w:rPr>
          <w:rFonts w:ascii="Arial" w:cs="Arial" w:eastAsia="Arial" w:hAnsi="Arial"/>
          <w:color w:val="404040"/>
          <w:sz w:val="20"/>
          <w:szCs w:val="20"/>
        </w:rPr>
        <w:t xml:space="preserve">Bid security (EMD): System computes EMD amount (typically 2% of estimated value, capped at ₹1 Cr as per GFR Rule 166); modes: DD, BG, e-Payment via PFMS</w:t>
      </w:r>
    </w:p>
    <w:p>
      <w:pPr>
        <w:pStyle w:val="ListParagraph"/>
        <w:numPr>
          <w:ilvl w:val="0"/>
          <w:numId w:val="2"/>
        </w:numPr>
        <w:spacing w:before="40" w:after="40"/>
      </w:pPr>
      <w:r>
        <w:rPr>
          <w:rFonts w:ascii="Arial" w:cs="Arial" w:eastAsia="Arial" w:hAnsi="Arial"/>
          <w:color w:val="404040"/>
          <w:sz w:val="20"/>
          <w:szCs w:val="20"/>
        </w:rPr>
        <w:t xml:space="preserve">Pre-bid meeting management: Pre-bid meeting scheduled, minutes recorded in system, pre-bid queries logged and responses issued as Amendment/Corrigendum to tender</w:t>
      </w:r>
    </w:p>
    <w:p>
      <w:pPr>
        <w:pStyle w:val="ListParagraph"/>
        <w:numPr>
          <w:ilvl w:val="0"/>
          <w:numId w:val="2"/>
        </w:numPr>
        <w:spacing w:before="40" w:after="40"/>
      </w:pPr>
      <w:r>
        <w:rPr>
          <w:rFonts w:ascii="Arial" w:cs="Arial" w:eastAsia="Arial" w:hAnsi="Arial"/>
          <w:color w:val="404040"/>
          <w:sz w:val="20"/>
          <w:szCs w:val="20"/>
        </w:rPr>
        <w:t xml:space="preserve">Corrigendum management: Any post-publication changes to tender documents issued as numbered corrigenda; all registered bidders auto-notified; corrigendum auto-attached to tender package on CPPP</w:t>
      </w:r>
    </w:p>
    <w:p>
      <w:pPr>
        <w:pStyle w:val="ListParagraph"/>
        <w:numPr>
          <w:ilvl w:val="0"/>
          <w:numId w:val="2"/>
        </w:numPr>
        <w:spacing w:before="40" w:after="40"/>
      </w:pPr>
      <w:r>
        <w:rPr>
          <w:rFonts w:ascii="Arial" w:cs="Arial" w:eastAsia="Arial" w:hAnsi="Arial"/>
          <w:color w:val="404040"/>
          <w:sz w:val="20"/>
          <w:szCs w:val="20"/>
        </w:rPr>
        <w:t xml:space="preserve">Document hash: All tender documents given SHA-256 hash on publication; hash recorded in system for integrity verification — any tampering post-publication is detectable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5.3 — Bid Management</w:t>
      </w:r>
    </w:p>
    <w:p>
      <w:pPr>
        <w:spacing w:before="80" w:after="80"/>
        <w:jc w:val="both"/>
      </w:pPr>
      <w:r>
        <w:rPr>
          <w:rFonts w:ascii="Arial" w:cs="Arial" w:eastAsia="Arial" w:hAnsi="Arial"/>
          <w:color w:val="404040"/>
          <w:sz w:val="20"/>
          <w:szCs w:val="20"/>
        </w:rPr>
        <w:t xml:space="preserve">The Bid Management sub-function manages the complete bid lifecycle — from publication through receipt, technical evaluation, financial evaluation, comparative statement, integrity pact verification, negotiation, and final award recommendation. The process is fully electronic, with sealed bid envelopes handled through CPPP's secure two-envelope / three-envelope system.</w:t>
      </w:r>
    </w:p>
    <w:p>
      <w:pPr>
        <w:pStyle w:val="Heading3"/>
        <w:spacing w:before="180" w:after="80"/>
      </w:pPr>
      <w:r>
        <w:rPr>
          <w:rFonts w:ascii="Arial" w:cs="Arial" w:eastAsia="Arial" w:hAnsi="Arial"/>
          <w:b/>
          <w:bCs/>
          <w:color w:val="1A3C5E"/>
          <w:sz w:val="22"/>
          <w:szCs w:val="22"/>
        </w:rPr>
        <w:t xml:space="preserve">Bid Evaluation Process</w:t>
      </w:r>
    </w:p>
    <w:p>
      <w:pPr>
        <w:pStyle w:val="ListParagraph"/>
        <w:numPr>
          <w:ilvl w:val="0"/>
          <w:numId w:val="3"/>
        </w:numPr>
        <w:spacing w:before="40" w:after="40"/>
      </w:pPr>
      <w:r>
        <w:rPr>
          <w:rFonts w:ascii="Arial" w:cs="Arial" w:eastAsia="Arial" w:hAnsi="Arial"/>
          <w:color w:val="404040"/>
          <w:sz w:val="20"/>
          <w:szCs w:val="20"/>
        </w:rPr>
        <w:t xml:space="preserve">Publication: NIT published on CPPP and NICDC website simultaneously. GeM orders placed via GeM API for eligible items. Tender documents available for download against EMD payment.</w:t>
      </w:r>
    </w:p>
    <w:p>
      <w:pPr>
        <w:pStyle w:val="ListParagraph"/>
        <w:numPr>
          <w:ilvl w:val="0"/>
          <w:numId w:val="3"/>
        </w:numPr>
        <w:spacing w:before="40" w:after="40"/>
      </w:pPr>
      <w:r>
        <w:rPr>
          <w:rFonts w:ascii="Arial" w:cs="Arial" w:eastAsia="Arial" w:hAnsi="Arial"/>
          <w:color w:val="404040"/>
          <w:sz w:val="20"/>
          <w:szCs w:val="20"/>
        </w:rPr>
        <w:t xml:space="preserve">Bid Receipt: Bids submitted electronically via CPPP up to the due date and time. System records exact submission timestamp. Late bids automatically rejected without opening. Bid opening committee constituted and recorded.</w:t>
      </w:r>
    </w:p>
    <w:p>
      <w:pPr>
        <w:pStyle w:val="ListParagraph"/>
        <w:numPr>
          <w:ilvl w:val="0"/>
          <w:numId w:val="3"/>
        </w:numPr>
        <w:spacing w:before="40" w:after="40"/>
      </w:pPr>
      <w:r>
        <w:rPr>
          <w:rFonts w:ascii="Arial" w:cs="Arial" w:eastAsia="Arial" w:hAnsi="Arial"/>
          <w:color w:val="404040"/>
          <w:sz w:val="20"/>
          <w:szCs w:val="20"/>
        </w:rPr>
        <w:t xml:space="preserve">Technical Evaluation: Bids opened technically; evaluated against eligibility criteria — turnover, similar work experience, key personnel CVs, equipment list, bank solvency certificate. Scoring matrix applied. Technically qualified (TQ) / Not Qualified (NTQ) determination recorded with justification for each bidder.</w:t>
      </w:r>
    </w:p>
    <w:p>
      <w:pPr>
        <w:pStyle w:val="ListParagraph"/>
        <w:numPr>
          <w:ilvl w:val="0"/>
          <w:numId w:val="3"/>
        </w:numPr>
        <w:spacing w:before="40" w:after="40"/>
      </w:pPr>
      <w:r>
        <w:rPr>
          <w:rFonts w:ascii="Arial" w:cs="Arial" w:eastAsia="Arial" w:hAnsi="Arial"/>
          <w:color w:val="404040"/>
          <w:sz w:val="20"/>
          <w:szCs w:val="20"/>
        </w:rPr>
        <w:t xml:space="preserve">Integrity Pact Verification: For contracts above ₹10 Cr — Integrity Pact signed by each bidder checked against the IP register. Any bidder who has not signed or has a pending breach investigation is flagged; system holds their financial bid unopened pending resolution.</w:t>
      </w:r>
    </w:p>
    <w:p>
      <w:pPr>
        <w:pStyle w:val="ListParagraph"/>
        <w:numPr>
          <w:ilvl w:val="0"/>
          <w:numId w:val="3"/>
        </w:numPr>
        <w:spacing w:before="40" w:after="40"/>
      </w:pPr>
      <w:r>
        <w:rPr>
          <w:rFonts w:ascii="Arial" w:cs="Arial" w:eastAsia="Arial" w:hAnsi="Arial"/>
          <w:color w:val="404040"/>
          <w:sz w:val="20"/>
          <w:szCs w:val="20"/>
        </w:rPr>
        <w:t xml:space="preserve">Financial Evaluation: Financial bids of TQ bidders opened. L1 (lowest responsive bidder) identified. Comparative statement generated showing all bids ranked. If L1 bid is above estimated cost, negotiation with L1 may be conducted (documented in system).</w:t>
      </w:r>
    </w:p>
    <w:p>
      <w:pPr>
        <w:pStyle w:val="ListParagraph"/>
        <w:numPr>
          <w:ilvl w:val="0"/>
          <w:numId w:val="3"/>
        </w:numPr>
        <w:spacing w:before="40" w:after="40"/>
      </w:pPr>
      <w:r>
        <w:rPr>
          <w:rFonts w:ascii="Arial" w:cs="Arial" w:eastAsia="Arial" w:hAnsi="Arial"/>
          <w:color w:val="404040"/>
          <w:sz w:val="20"/>
          <w:szCs w:val="20"/>
        </w:rPr>
        <w:t xml:space="preserve">Award Recommendation: Award recommendation report prepared — summarising tender process, evaluation methodology, TQ/NTQ decisions, IP status, CS, negotiation outcome, and recommended L1 contractor. Report submitted through tiered approval workflow.</w:t>
      </w:r>
    </w:p>
    <w:p>
      <w:pPr>
        <w:pStyle w:val="ListParagraph"/>
        <w:numPr>
          <w:ilvl w:val="0"/>
          <w:numId w:val="3"/>
        </w:numPr>
        <w:spacing w:before="40" w:after="40"/>
      </w:pPr>
      <w:r>
        <w:rPr>
          <w:rFonts w:ascii="Arial" w:cs="Arial" w:eastAsia="Arial" w:hAnsi="Arial"/>
          <w:color w:val="404040"/>
          <w:sz w:val="20"/>
          <w:szCs w:val="20"/>
        </w:rPr>
        <w:t xml:space="preserve">LOA Issuance: On approval, Letter of Award generated from template and digitally signed (DSC). LOA transmitted to L1 contractor via CPPP and registered email. Contract execution (Module 5.5) initiated.</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Evaluation Criteria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600"/>
        <w:gridCol w:w="25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Criteria Category</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Sub-Criteria</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Minimum Threshold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Capacity</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Turnover (last 3 years); Net Worth; Solvency certificate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Turnover ≥ 3× estimated annual contract value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Experience</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40%</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Similar works (value, scope, geography); Works in progress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similar work ≥ 50% of estimated value in last 7 years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Key Personnel</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Manager (18yr exp), Resident Engineer (10yr exp), QC Engineer (8yr exp)</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key posts with minimum qualification and experience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equipment availability (owned + leased)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Key equipment: Batching plant, cranes, paver, excavators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Record</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Fatal accident rate; Safety certifications (OHSAS 18001)</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fatal accidents on GoI contracts in last 3 years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5.4 — Contract Award &amp; LOA Management</w:t>
      </w:r>
    </w:p>
    <w:p>
      <w:pPr>
        <w:spacing w:before="80" w:after="80"/>
        <w:jc w:val="both"/>
      </w:pPr>
      <w:r>
        <w:rPr>
          <w:rFonts w:ascii="Arial" w:cs="Arial" w:eastAsia="Arial" w:hAnsi="Arial"/>
          <w:color w:val="404040"/>
          <w:sz w:val="20"/>
          <w:szCs w:val="20"/>
        </w:rPr>
        <w:t xml:space="preserve">On approval of the award recommendation, the Contract Award sub-function formalises the commercial relationship — generating and issuing the Letter of Award (LOA), recording the Contract Master record, and initiating the post-award onboarding workflow including Performance Security submission, Integrity Pact execution, and advance payment processing.</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LOA generation: Auto-generated from standard NICDC LOA template incorporating: Contract number, WBS scope, LOA value, Completion period, Defect Liability Period, Liquidated Damages rate, Performance Security requirement, Milestone payment schedule, Special conditions</w:t>
      </w:r>
    </w:p>
    <w:p>
      <w:pPr>
        <w:pStyle w:val="ListParagraph"/>
        <w:numPr>
          <w:ilvl w:val="0"/>
          <w:numId w:val="2"/>
        </w:numPr>
        <w:spacing w:before="40" w:after="40"/>
      </w:pPr>
      <w:r>
        <w:rPr>
          <w:rFonts w:ascii="Arial" w:cs="Arial" w:eastAsia="Arial" w:hAnsi="Arial"/>
          <w:color w:val="404040"/>
          <w:sz w:val="20"/>
          <w:szCs w:val="20"/>
        </w:rPr>
        <w:t xml:space="preserve">Contract Master creation: LOA award triggers creation of Contract Master record (D4) as the definitive record of the contract — source of truth for all billing, VO, and performance tracking</w:t>
      </w:r>
    </w:p>
    <w:p>
      <w:pPr>
        <w:pStyle w:val="ListParagraph"/>
        <w:numPr>
          <w:ilvl w:val="0"/>
          <w:numId w:val="2"/>
        </w:numPr>
        <w:spacing w:before="40" w:after="40"/>
      </w:pPr>
      <w:r>
        <w:rPr>
          <w:rFonts w:ascii="Arial" w:cs="Arial" w:eastAsia="Arial" w:hAnsi="Arial"/>
          <w:color w:val="404040"/>
          <w:sz w:val="20"/>
          <w:szCs w:val="20"/>
        </w:rPr>
        <w:t xml:space="preserve">Performance Security: Contractor required to submit PBG (typically 5% of LOA) within 28 days of LOA; system tracks PBG submission status; advance payment blocked until PBG received</w:t>
      </w:r>
    </w:p>
    <w:p>
      <w:pPr>
        <w:pStyle w:val="ListParagraph"/>
        <w:numPr>
          <w:ilvl w:val="0"/>
          <w:numId w:val="2"/>
        </w:numPr>
        <w:spacing w:before="40" w:after="40"/>
      </w:pPr>
      <w:r>
        <w:rPr>
          <w:rFonts w:ascii="Arial" w:cs="Arial" w:eastAsia="Arial" w:hAnsi="Arial"/>
          <w:color w:val="404040"/>
          <w:sz w:val="20"/>
          <w:szCs w:val="20"/>
        </w:rPr>
        <w:t xml:space="preserve">Advance payment processing: Mobilisation advance (up to 10% of LOA per GFR Rule 236) and Material advance (against material at site) processed through Module 4 once BG received</w:t>
      </w:r>
    </w:p>
    <w:p>
      <w:pPr>
        <w:pStyle w:val="ListParagraph"/>
        <w:numPr>
          <w:ilvl w:val="0"/>
          <w:numId w:val="2"/>
        </w:numPr>
        <w:spacing w:before="40" w:after="40"/>
      </w:pPr>
      <w:r>
        <w:rPr>
          <w:rFonts w:ascii="Arial" w:cs="Arial" w:eastAsia="Arial" w:hAnsi="Arial"/>
          <w:color w:val="404040"/>
          <w:sz w:val="20"/>
          <w:szCs w:val="20"/>
        </w:rPr>
        <w:t xml:space="preserve">GeM order linkage: For procurement through GeM, the GeM order reference number linked to Contract Master; delivery tracking feeds Module 4 payment trigger</w:t>
      </w:r>
    </w:p>
    <w:p>
      <w:pPr>
        <w:pStyle w:val="ListParagraph"/>
        <w:numPr>
          <w:ilvl w:val="0"/>
          <w:numId w:val="2"/>
        </w:numPr>
        <w:spacing w:before="40" w:after="40"/>
      </w:pPr>
      <w:r>
        <w:rPr>
          <w:rFonts w:ascii="Arial" w:cs="Arial" w:eastAsia="Arial" w:hAnsi="Arial"/>
          <w:color w:val="404040"/>
          <w:sz w:val="20"/>
          <w:szCs w:val="20"/>
        </w:rPr>
        <w:t xml:space="preserve">Unsuccessful bidder notification: System auto-generates rejection letter to unsuccessful bidders on LOA issuance; EMD refund instructions triggered</w:t>
      </w:r>
    </w:p>
    <w:p>
      <w:pPr>
        <w:pStyle w:val="ListParagraph"/>
        <w:numPr>
          <w:ilvl w:val="0"/>
          <w:numId w:val="2"/>
        </w:numPr>
        <w:spacing w:before="40" w:after="40"/>
      </w:pPr>
      <w:r>
        <w:rPr>
          <w:rFonts w:ascii="Arial" w:cs="Arial" w:eastAsia="Arial" w:hAnsi="Arial"/>
          <w:color w:val="404040"/>
          <w:sz w:val="20"/>
          <w:szCs w:val="20"/>
        </w:rPr>
        <w:t xml:space="preserve">LOA acceptance: Contractor acknowledgement of LOA recorded in system (digital acknowledgement or scanned signed copy); timeline for PBG submission starts from LOA acceptance date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5.5 — Contract Execution Monitoring</w:t>
      </w:r>
    </w:p>
    <w:p>
      <w:pPr>
        <w:spacing w:before="80" w:after="80"/>
        <w:jc w:val="both"/>
      </w:pPr>
      <w:r>
        <w:rPr>
          <w:rFonts w:ascii="Arial" w:cs="Arial" w:eastAsia="Arial" w:hAnsi="Arial"/>
          <w:color w:val="404040"/>
          <w:sz w:val="20"/>
          <w:szCs w:val="20"/>
        </w:rPr>
        <w:t xml:space="preserve">Contract Execution Monitoring tracks the day-to-day performance of each active contract against its contractual obligations — milestones, progress, quality, safety, and financial compliance. It provides the PMC and SPV PM with real-time contract health dashboards and generates contractual notices (show-cause, LD, suspension) through structured workflows.</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Contractual milestone register: All milestones from the LOA payment schedule registered as trackable events with baseline dates, forecast dates, completion evidence requirement, and payment linkage</w:t>
      </w:r>
    </w:p>
    <w:p>
      <w:pPr>
        <w:pStyle w:val="ListParagraph"/>
        <w:numPr>
          <w:ilvl w:val="0"/>
          <w:numId w:val="2"/>
        </w:numPr>
        <w:spacing w:before="40" w:after="40"/>
      </w:pPr>
      <w:r>
        <w:rPr>
          <w:rFonts w:ascii="Arial" w:cs="Arial" w:eastAsia="Arial" w:hAnsi="Arial"/>
          <w:color w:val="404040"/>
          <w:sz w:val="20"/>
          <w:szCs w:val="20"/>
        </w:rPr>
        <w:t xml:space="preserve">Progress reporting: Contractor submits weekly progress report via IC-PMS portal; report format standardised (activities, resources deployed, issues); PMC reviews and certifies/disputes each week</w:t>
      </w:r>
    </w:p>
    <w:p>
      <w:pPr>
        <w:pStyle w:val="ListParagraph"/>
        <w:numPr>
          <w:ilvl w:val="0"/>
          <w:numId w:val="2"/>
        </w:numPr>
        <w:spacing w:before="40" w:after="40"/>
      </w:pPr>
      <w:r>
        <w:rPr>
          <w:rFonts w:ascii="Arial" w:cs="Arial" w:eastAsia="Arial" w:hAnsi="Arial"/>
          <w:color w:val="404040"/>
          <w:sz w:val="20"/>
          <w:szCs w:val="20"/>
        </w:rPr>
        <w:t xml:space="preserve">Site instruction management: PMC can issue numbered Site Instructions (SI) to contractor for day-to-day field instructions; contractor required to acknowledge and confirm compliance date</w:t>
      </w:r>
    </w:p>
    <w:p>
      <w:pPr>
        <w:pStyle w:val="ListParagraph"/>
        <w:numPr>
          <w:ilvl w:val="0"/>
          <w:numId w:val="2"/>
        </w:numPr>
        <w:spacing w:before="40" w:after="40"/>
      </w:pPr>
      <w:r>
        <w:rPr>
          <w:rFonts w:ascii="Arial" w:cs="Arial" w:eastAsia="Arial" w:hAnsi="Arial"/>
          <w:color w:val="404040"/>
          <w:sz w:val="20"/>
          <w:szCs w:val="20"/>
        </w:rPr>
        <w:t xml:space="preserve">Quality register: Non-Conformance Reports (NCRs) raised by PMC against defective work; contractor response, rectification, and PMC re-inspection recorded; open NCRs block Final Bill processing</w:t>
      </w:r>
    </w:p>
    <w:p>
      <w:pPr>
        <w:pStyle w:val="ListParagraph"/>
        <w:numPr>
          <w:ilvl w:val="0"/>
          <w:numId w:val="2"/>
        </w:numPr>
        <w:spacing w:before="40" w:after="40"/>
      </w:pPr>
      <w:r>
        <w:rPr>
          <w:rFonts w:ascii="Arial" w:cs="Arial" w:eastAsia="Arial" w:hAnsi="Arial"/>
          <w:color w:val="404040"/>
          <w:sz w:val="20"/>
          <w:szCs w:val="20"/>
        </w:rPr>
        <w:t xml:space="preserve">Safety incident register: All safety incidents (near-miss, minor injury, major injury, fatal) logged; NICDC Safety Officer automatically notified; incident investigation and closure tracked</w:t>
      </w:r>
    </w:p>
    <w:p>
      <w:pPr>
        <w:pStyle w:val="ListParagraph"/>
        <w:numPr>
          <w:ilvl w:val="0"/>
          <w:numId w:val="2"/>
        </w:numPr>
        <w:spacing w:before="40" w:after="40"/>
      </w:pPr>
      <w:r>
        <w:rPr>
          <w:rFonts w:ascii="Arial" w:cs="Arial" w:eastAsia="Arial" w:hAnsi="Arial"/>
          <w:color w:val="404040"/>
          <w:sz w:val="20"/>
          <w:szCs w:val="20"/>
        </w:rPr>
        <w:t xml:space="preserve">Liquidated Damages computation: If contract completion forecast extends beyond the Scheduled Completion Date, system auto-computes LD liability (LOA value × LD rate per day × delay days) — deducted through Module 4 billing</w:t>
      </w:r>
    </w:p>
    <w:p>
      <w:pPr>
        <w:pStyle w:val="ListParagraph"/>
        <w:numPr>
          <w:ilvl w:val="0"/>
          <w:numId w:val="2"/>
        </w:numPr>
        <w:spacing w:before="40" w:after="40"/>
      </w:pPr>
      <w:r>
        <w:rPr>
          <w:rFonts w:ascii="Arial" w:cs="Arial" w:eastAsia="Arial" w:hAnsi="Arial"/>
          <w:color w:val="404040"/>
          <w:sz w:val="20"/>
          <w:szCs w:val="20"/>
        </w:rPr>
        <w:t xml:space="preserve">Contractual correspondence: All formal notices — Show Cause Notice (SCN), Extension of Time (EOT), Termination Notice — prepared from template, digitally signed, and served via registered email with delivery confirmation</w:t>
      </w:r>
    </w:p>
    <w:p>
      <w:pPr>
        <w:pStyle w:val="ListParagraph"/>
        <w:numPr>
          <w:ilvl w:val="0"/>
          <w:numId w:val="2"/>
        </w:numPr>
        <w:spacing w:before="40" w:after="40"/>
      </w:pPr>
      <w:r>
        <w:rPr>
          <w:rFonts w:ascii="Arial" w:cs="Arial" w:eastAsia="Arial" w:hAnsi="Arial"/>
          <w:color w:val="404040"/>
          <w:sz w:val="20"/>
          <w:szCs w:val="20"/>
        </w:rPr>
        <w:t xml:space="preserve">Sub-contractor register: All sub-contractors notified by main contractor registered in system; PMC approves sub-contractors; sub-contractor scope and value tracked for sub-letting limit compliance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5.6 — Variation Order Management</w:t>
      </w:r>
    </w:p>
    <w:p>
      <w:pPr>
        <w:spacing w:before="80" w:after="80"/>
        <w:jc w:val="both"/>
      </w:pPr>
      <w:r>
        <w:rPr>
          <w:rFonts w:ascii="Arial" w:cs="Arial" w:eastAsia="Arial" w:hAnsi="Arial"/>
          <w:color w:val="404040"/>
          <w:sz w:val="20"/>
          <w:szCs w:val="20"/>
        </w:rPr>
        <w:t xml:space="preserve">Variation Order management is covered in full detail in Module 4 (Section 2.6) from a financial perspective. Module 5 manages the contractual initiation, rate justification, and approval chain for VOs — feeding the approved VO values to Module 4 for budget commitment. Key additional requirements from the contract management perspective are described here.</w:t>
      </w:r>
    </w:p>
    <w:p>
      <w:pPr>
        <w:pStyle w:val="Heading3"/>
        <w:spacing w:before="180" w:after="80"/>
      </w:pPr>
      <w:r>
        <w:rPr>
          <w:rFonts w:ascii="Arial" w:cs="Arial" w:eastAsia="Arial" w:hAnsi="Arial"/>
          <w:b/>
          <w:bCs/>
          <w:color w:val="1A3C5E"/>
          <w:sz w:val="22"/>
          <w:szCs w:val="22"/>
        </w:rPr>
        <w:t xml:space="preserve">Additional Contract-Specific VO Requirements</w:t>
      </w:r>
    </w:p>
    <w:p>
      <w:pPr>
        <w:pStyle w:val="ListParagraph"/>
        <w:numPr>
          <w:ilvl w:val="0"/>
          <w:numId w:val="2"/>
        </w:numPr>
        <w:spacing w:before="40" w:after="40"/>
      </w:pPr>
      <w:r>
        <w:rPr>
          <w:rFonts w:ascii="Arial" w:cs="Arial" w:eastAsia="Arial" w:hAnsi="Arial"/>
          <w:color w:val="404040"/>
          <w:sz w:val="20"/>
          <w:szCs w:val="20"/>
        </w:rPr>
        <w:t xml:space="preserve">VO initiation: VOs can be initiated by PMC (for site issues), SPV PM (for design changes), or contractor (for unforeseen conditions); all initiations captured with initiating party and reason code</w:t>
      </w:r>
    </w:p>
    <w:p>
      <w:pPr>
        <w:pStyle w:val="ListParagraph"/>
        <w:numPr>
          <w:ilvl w:val="0"/>
          <w:numId w:val="2"/>
        </w:numPr>
        <w:spacing w:before="40" w:after="40"/>
      </w:pPr>
      <w:r>
        <w:rPr>
          <w:rFonts w:ascii="Arial" w:cs="Arial" w:eastAsia="Arial" w:hAnsi="Arial"/>
          <w:color w:val="404040"/>
          <w:sz w:val="20"/>
          <w:szCs w:val="20"/>
        </w:rPr>
        <w:t xml:space="preserve">Rate analysis: For Extra Items, full rate analysis prepared in system — DSR base rate, add-ons for overhead and profit (per CPWD norms), site factor — with supporting quotation documents uploaded</w:t>
      </w:r>
    </w:p>
    <w:p>
      <w:pPr>
        <w:pStyle w:val="ListParagraph"/>
        <w:numPr>
          <w:ilvl w:val="0"/>
          <w:numId w:val="2"/>
        </w:numPr>
        <w:spacing w:before="40" w:after="40"/>
      </w:pPr>
      <w:r>
        <w:rPr>
          <w:rFonts w:ascii="Arial" w:cs="Arial" w:eastAsia="Arial" w:hAnsi="Arial"/>
          <w:color w:val="404040"/>
          <w:sz w:val="20"/>
          <w:szCs w:val="20"/>
        </w:rPr>
        <w:t xml:space="preserve">GFR 10% ceiling tracking: System maintains a running total of all VOs per contract as % of original LOA value; alert at 8%; workflow escalation at 10% before any further VO can be approved</w:t>
      </w:r>
    </w:p>
    <w:p>
      <w:pPr>
        <w:pStyle w:val="ListParagraph"/>
        <w:numPr>
          <w:ilvl w:val="0"/>
          <w:numId w:val="2"/>
        </w:numPr>
        <w:spacing w:before="40" w:after="40"/>
      </w:pPr>
      <w:r>
        <w:rPr>
          <w:rFonts w:ascii="Arial" w:cs="Arial" w:eastAsia="Arial" w:hAnsi="Arial"/>
          <w:color w:val="404040"/>
          <w:sz w:val="20"/>
          <w:szCs w:val="20"/>
        </w:rPr>
        <w:t xml:space="preserve">VO timeline: VOs must be approved before the work covered by the VO is executed; retrospective VOs flagged as irregular; Emergency VO ratification within 7 days required</w:t>
      </w:r>
    </w:p>
    <w:p>
      <w:pPr>
        <w:pStyle w:val="ListParagraph"/>
        <w:numPr>
          <w:ilvl w:val="0"/>
          <w:numId w:val="2"/>
        </w:numPr>
        <w:spacing w:before="40" w:after="40"/>
      </w:pPr>
      <w:r>
        <w:rPr>
          <w:rFonts w:ascii="Arial" w:cs="Arial" w:eastAsia="Arial" w:hAnsi="Arial"/>
          <w:color w:val="404040"/>
          <w:sz w:val="20"/>
          <w:szCs w:val="20"/>
        </w:rPr>
        <w:t xml:space="preserve">VO register export: Complete VO register exportable for NICDC quarterly VO review meeting and CVC tender scrutiny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5.7 — Contractor Performance Scorecard</w:t>
      </w:r>
    </w:p>
    <w:p>
      <w:pPr>
        <w:spacing w:before="80" w:after="80"/>
        <w:jc w:val="both"/>
      </w:pPr>
      <w:r>
        <w:rPr>
          <w:rFonts w:ascii="Arial" w:cs="Arial" w:eastAsia="Arial" w:hAnsi="Arial"/>
          <w:color w:val="404040"/>
          <w:sz w:val="20"/>
          <w:szCs w:val="20"/>
        </w:rPr>
        <w:t xml:space="preserve">The Contractor Performance Scorecard is an IC-PMS innovation — a monthly multi-dimensional rating of every active contractor across eight performance dimensions. The scorecard provides an objective, data-driven basis for performance improvement discussions, payment decisions (in combination with Module 4), and ultimately for maintaining NICDC's approved vendor list and debarment register.</w:t>
      </w:r>
    </w:p>
    <w:p>
      <w:pPr>
        <w:pStyle w:val="Heading3"/>
        <w:spacing w:before="180" w:after="80"/>
      </w:pPr>
      <w:r>
        <w:rPr>
          <w:rFonts w:ascii="Arial" w:cs="Arial" w:eastAsia="Arial" w:hAnsi="Arial"/>
          <w:b/>
          <w:bCs/>
          <w:color w:val="1A3C5E"/>
          <w:sz w:val="22"/>
          <w:szCs w:val="22"/>
        </w:rPr>
        <w:t xml:space="preserve">Scorecard KPI Framework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24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 Dimension</w:t>
            </w:r>
          </w:p>
        </w:tc>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Source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Scoring Method</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Green Threshold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 Compliance</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NCR register — Open NCRs vs. Bills processed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(Open NCRs × 5); floor at 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80 (≤ 4 open NCRs per bill)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SPI for contractor's WBS packages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 100 (capped at 100)</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80 (SPI ≥ 0.80)</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Record</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 incident register — LTIFR calculation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(Fatal×30) – (Major×10) – (Minor×2); floor 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90 (zero fatal, &lt; 2 minor)</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 Compliance</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RA Bill submission timeliness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(Avg days late × 5); capped at 100</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85 (&lt; 3 days late average)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Reporting Timeliness</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progress report submission rate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of reports submitted on time × 100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90 (≥ 9/10 reports on time)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Environmental Compliance</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MoEFCC / NICDC site audit findings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(Major finding×15) – (Minor×5)</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85 (no major findings)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Mobilisation</w:t>
            </w:r>
          </w:p>
        </w:tc>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EDI vs. contracted resource schedule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Equipment Count / Planned × 100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80 (≥ 80% deployed)</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 Conduct</w:t>
            </w:r>
          </w:p>
        </w:tc>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 register — frivolous claims ratio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 (Frivolous claims / Total claims × 100)</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 90 (&lt; 10% frivolous)</w:t>
            </w:r>
          </w:p>
        </w:tc>
      </w:tr>
    </w:tbl>
    <w:p>
      <w:pPr>
        <w:pStyle w:val="Heading3"/>
        <w:spacing w:before="180" w:after="80"/>
      </w:pPr>
      <w:r>
        <w:rPr>
          <w:rFonts w:ascii="Arial" w:cs="Arial" w:eastAsia="Arial" w:hAnsi="Arial"/>
          <w:b/>
          <w:bCs/>
          <w:color w:val="1A3C5E"/>
          <w:sz w:val="22"/>
          <w:szCs w:val="22"/>
        </w:rPr>
        <w:t xml:space="preserve">Scorecard Actions by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800"/>
        <w:gridCol w:w="23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Overall Score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Rating</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 4 Impact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90–100</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Excellent</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Commendation letter; priority shortlisting for future tenders</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impact on payment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80–89</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Good</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review — maintain performance</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impact on payment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70–79</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Satisfactory</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Improvement Notice with targets for next month</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impact on payment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60–69</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Poor</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Show Cause Notice; NICDC Director review meeting within 14 days</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may recommend payment hold on next RA Bill</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50–59</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Very Poor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of debarment; 30-day improvement plan mandated</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 Bill approval requires SPV Director sign-off</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Below 50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 Debarment Risk</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escalation; contract termination evaluation; debarment register entry</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 approval frozen; NICDC Finance Director must override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5.8 — Final Account &amp; Contract Closeout</w:t>
      </w:r>
    </w:p>
    <w:p>
      <w:pPr>
        <w:spacing w:before="80" w:after="80"/>
        <w:jc w:val="both"/>
      </w:pPr>
      <w:r>
        <w:rPr>
          <w:rFonts w:ascii="Arial" w:cs="Arial" w:eastAsia="Arial" w:hAnsi="Arial"/>
          <w:color w:val="404040"/>
          <w:sz w:val="20"/>
          <w:szCs w:val="20"/>
        </w:rPr>
        <w:t xml:space="preserve">The Final Account and Contract Closeout sub-function manages the financial and contractual closure of every completed contract — certifying the final value, releasing retention, confirming DLP obligations, settling disputes, and archiving the complete contract record for 30-year statutory retention.</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Final Measurement: PMC conducts final measurement of all executed quantities; final certified quantities entered in system; comparison with original BOQ and all approved VOs shows final scope</w:t>
      </w:r>
    </w:p>
    <w:p>
      <w:pPr>
        <w:pStyle w:val="ListParagraph"/>
        <w:numPr>
          <w:ilvl w:val="0"/>
          <w:numId w:val="2"/>
        </w:numPr>
        <w:spacing w:before="40" w:after="40"/>
      </w:pPr>
      <w:r>
        <w:rPr>
          <w:rFonts w:ascii="Arial" w:cs="Arial" w:eastAsia="Arial" w:hAnsi="Arial"/>
          <w:color w:val="404040"/>
          <w:sz w:val="20"/>
          <w:szCs w:val="20"/>
        </w:rPr>
        <w:t xml:space="preserve">Final Bill: Contractor submits Final Bill based on final certified quantities; System verifies all preceding RA Bills are paid and reconciled; Final Bill goes through the same satellite gate + PMC certification + approval workflow as regular RA Bills</w:t>
      </w:r>
    </w:p>
    <w:p>
      <w:pPr>
        <w:pStyle w:val="ListParagraph"/>
        <w:numPr>
          <w:ilvl w:val="0"/>
          <w:numId w:val="2"/>
        </w:numPr>
        <w:spacing w:before="40" w:after="40"/>
      </w:pPr>
      <w:r>
        <w:rPr>
          <w:rFonts w:ascii="Arial" w:cs="Arial" w:eastAsia="Arial" w:hAnsi="Arial"/>
          <w:color w:val="404040"/>
          <w:sz w:val="20"/>
          <w:szCs w:val="20"/>
        </w:rPr>
        <w:t xml:space="preserve">Final Account: System generates Final Account statement — original LOA + all VOs – all previous payments = Final Amount Due. Signed by contractor and NICDC as the definitive settlement</w:t>
      </w:r>
    </w:p>
    <w:p>
      <w:pPr>
        <w:pStyle w:val="ListParagraph"/>
        <w:numPr>
          <w:ilvl w:val="0"/>
          <w:numId w:val="2"/>
        </w:numPr>
        <w:spacing w:before="40" w:after="40"/>
      </w:pPr>
      <w:r>
        <w:rPr>
          <w:rFonts w:ascii="Arial" w:cs="Arial" w:eastAsia="Arial" w:hAnsi="Arial"/>
          <w:color w:val="404040"/>
          <w:sz w:val="20"/>
          <w:szCs w:val="20"/>
        </w:rPr>
        <w:t xml:space="preserve">No Claim Certificate (NCC): Contractor issues NCC confirming acceptance of Final Account and waiver of all further claims; NCC uploaded to DMS and linked to contract master</w:t>
      </w:r>
    </w:p>
    <w:p>
      <w:pPr>
        <w:pStyle w:val="ListParagraph"/>
        <w:numPr>
          <w:ilvl w:val="0"/>
          <w:numId w:val="2"/>
        </w:numPr>
        <w:spacing w:before="40" w:after="40"/>
      </w:pPr>
      <w:r>
        <w:rPr>
          <w:rFonts w:ascii="Arial" w:cs="Arial" w:eastAsia="Arial" w:hAnsi="Arial"/>
          <w:color w:val="404040"/>
          <w:sz w:val="20"/>
          <w:szCs w:val="20"/>
        </w:rPr>
        <w:t xml:space="preserve">Retention Release: On DLP completion and absence of outstanding defects, system triggers retention release workflow — PMC certifies DLP completion, SPV Director approves, Module 4 releases retained amount through PFMS</w:t>
      </w:r>
    </w:p>
    <w:p>
      <w:pPr>
        <w:pStyle w:val="ListParagraph"/>
        <w:numPr>
          <w:ilvl w:val="0"/>
          <w:numId w:val="2"/>
        </w:numPr>
        <w:spacing w:before="40" w:after="40"/>
      </w:pPr>
      <w:r>
        <w:rPr>
          <w:rFonts w:ascii="Arial" w:cs="Arial" w:eastAsia="Arial" w:hAnsi="Arial"/>
          <w:color w:val="404040"/>
          <w:sz w:val="20"/>
          <w:szCs w:val="20"/>
        </w:rPr>
        <w:t xml:space="preserve">Performance BG Release: PBG released after Final Account settlement and NCC receipt; BG register updated</w:t>
      </w:r>
    </w:p>
    <w:p>
      <w:pPr>
        <w:pStyle w:val="ListParagraph"/>
        <w:numPr>
          <w:ilvl w:val="0"/>
          <w:numId w:val="2"/>
        </w:numPr>
        <w:spacing w:before="40" w:after="40"/>
      </w:pPr>
      <w:r>
        <w:rPr>
          <w:rFonts w:ascii="Arial" w:cs="Arial" w:eastAsia="Arial" w:hAnsi="Arial"/>
          <w:color w:val="404040"/>
          <w:sz w:val="20"/>
          <w:szCs w:val="20"/>
        </w:rPr>
        <w:t xml:space="preserve">Dispute Settlement: All open disputes must be resolved (settled, arbitration award accepted, court judgement) before contract can be marked Closed; dispute register updated with resolution terms</w:t>
      </w:r>
    </w:p>
    <w:p>
      <w:pPr>
        <w:pStyle w:val="ListParagraph"/>
        <w:numPr>
          <w:ilvl w:val="0"/>
          <w:numId w:val="2"/>
        </w:numPr>
        <w:spacing w:before="40" w:after="40"/>
      </w:pPr>
      <w:r>
        <w:rPr>
          <w:rFonts w:ascii="Arial" w:cs="Arial" w:eastAsia="Arial" w:hAnsi="Arial"/>
          <w:color w:val="404040"/>
          <w:sz w:val="20"/>
          <w:szCs w:val="20"/>
        </w:rPr>
        <w:t xml:space="preserve">Contract archival: Closed contract record archived to Module 6 DMS with all documents (LOA, VOs, RA Bills, Final Account, NCC, correspondence); contract marked Closed in D4; 30-year retention policy applied</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shows Module 5 as the Contract &amp; Procurement Engine (Process 5.0) receiving WBS package definitions from Module 1, LOA values feeding into Module 4, bids from contractors, and publishing tenders to GeM/CPPP. It feeds contract data back to Module 4 (commitment values), Module 6 (document storage), and upstream to SPV/NICDC for approvals.</w:t>
      </w:r>
    </w:p>
    <w:p>
      <w:pPr>
        <w:spacing w:before="120" w:after="60"/>
        <w:jc w:val="center"/>
      </w:pPr>
      <w:r>
        <w:drawing>
          <wp:inline distT="0" distB="0" distL="0" distR="0">
            <wp:extent cx="6000750" cy="3857625"/>
            <wp:effectExtent t="0" r="0" b="0" l="0"/>
            <wp:docPr id="1" name="Figure 3.1 — DFD Level 0: Module 5 Context Diagram (GeM/CPPP, WBS, Cost, DMS, Contractor, Legal Flows)" descr="Figure 3.1 — DFD Level 0: Module 5 Context Diagram (GeM/CPPP, WBS, Cost, DMS, Contractor, Legal Flows)" title="Figure 3.1 — DFD Level 0: Module 5 Context Diagram (GeM/CPPP, WBS, Cost, DMS, Contractor, Legal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5 Context Diagram (GeM/CPPP, WBS, Cost, DMS, Contractor, Legal Flows)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5</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5</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work packages for procurement, Estimated contract values from budget nodes, Package scope and geography</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plan confirmation, Contract awards linked to WBS, Milestone dates for schedule integration</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 CPPP Portal</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responses from registered vendors, GeM order confirmations, Corrigendum acknowledgements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publication, Bid documents, GeM purchase orders, Award notices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value confirmation for commitment accounting, VO approvals for budget impact</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 schedule by milestone, Commitment data, VO values for budget, Advance payment requests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requests, Approval record references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documents (LOA, NIT, BOQ, VOs), Integrity Pact records, Audit trail, Correspondence log</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Bidders / Contractors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and financial bids, Pre-bid queries, Performance BG, Signed Integrity Pact</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ITB/NIT documents, Corrigenda, LOA / Rejection letter, Site instructions, Contractual notices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Legal / CVC</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 Pact compliance requirements, Audit queries, CVC inspection findings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 register, CVC compliance reports, Evaluation committee records, Blacklist status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 PMC / NICDC</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decisions on award, EOT requests, VO approvals, Scorecard reviews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Award recommendation reports, Contract status dashboards, Performance scorecard, Final accounts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contract management processes and eight data stores covering the full contract lifecycle from procurement planning through final account. The processes are sequential in the primary contract lifecycle direction, with performance monitoring and VO management as ongoing parallel processes during execution.</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and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Planning</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WBS-linked procurement plan; method selection; annual calendar; pre-qualification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Procurement Plan</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 Preparation</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Prepares NIT, BOQ, specifications, eligibility criteria; manages corrigenda; publishes to CPPP</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Tender Register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Management</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Receives, evaluates (technical+financial), generates CS, checks IP, recommends L1 award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Bid Register, D9 Evaluation, D11 IP Log</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Award</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Issues LOA, creates Contract Master, tracks PBG, processes advance, notifies unsuccessful bidders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Contract Master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Execution</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Monitors milestones, progress reports, NCRs, safety incidents, LD, correspondence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Milestone Register</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Variation Order Management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VO initiation, rate analysis, approval, GFR ceiling tracking, budget impact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VO Register</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Performance Scorecard</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monthly 8-KPI contractor score; generates notices; feeds debarment register</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Scorecard Store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Account &amp; Closeout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Manages final measurement, Final Bill, retention release, NCC, dispute closure, archival</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Final Account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5.3: Bid Management (Exploded)</w:t>
      </w:r>
    </w:p>
    <w:p>
      <w:pPr>
        <w:spacing w:before="80" w:after="80"/>
        <w:jc w:val="both"/>
      </w:pPr>
      <w:r>
        <w:rPr>
          <w:rFonts w:ascii="Arial" w:cs="Arial" w:eastAsia="Arial" w:hAnsi="Arial"/>
          <w:color w:val="404040"/>
          <w:sz w:val="20"/>
          <w:szCs w:val="20"/>
        </w:rPr>
        <w:t xml:space="preserve">The Level 2 DFD drills into the Bid Management process — the most regulated and scrutinised stage in government procurement. Eight sub-processes cover the complete evaluation pipeline from NIT publication through comparative statement, integrity pact check (decision diamond), negotiation, and final award. This process must be executed in strict sequence with all decisions documented.</w:t>
      </w:r>
    </w:p>
    <w:p>
      <w:pPr>
        <w:spacing w:before="120" w:after="60"/>
        <w:jc w:val="center"/>
      </w:pPr>
      <w:r>
        <w:drawing>
          <wp:inline distT="0" distB="0" distL="0" distR="0">
            <wp:extent cx="6000750" cy="3752850"/>
            <wp:effectExtent t="0" r="0" b="0" l="0"/>
            <wp:docPr id="1" name="Figure 3.3 — DFD Level 2: Process 5.3 Bid Management — 8 Sub-Processes with Integrity Pact Decision Diamond" descr="Figure 3.3 — DFD Level 2: Process 5.3 Bid Management — 8 Sub-Processes with Integrity Pact Decision Diamond" title="Figure 3.3 — DFD Level 2: Process 5.3 Bid Management — 8 Sub-Processes with Integrity Pact Decision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5.3 Bid Management — 8 Sub-Processes with Integrity Pact Decision Diamond</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Publish NIT / Tender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Finalised tender documents (from Process 5.2) published to CPPP via API. System generates unique tender ID, records publication timestamp, notifies pre-registered bidders, and sets bid opening date in system calendar. For GeM items, purchase request placed via GeM API.</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Receipt &amp; Registration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Bids received electronically via CPPP. Each received bid registered in D3 with: Bidder ID, submission timestamp, bid document reference. Late bids automatically rejected — system records rejection with timestamp. Bid opening committee (minimum 3 officers) records constituted in system.</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Evaluation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evaluation committee accesses bids. Each eligibility criterion evaluated with Yes/No + evidence reference. Scoring matrix (0–100) applied per criterion weight. Technical Qualified (TQ) / Not Technically Qualified (NTQ) status recorded for each bidder with mandatory written justification. All evaluations recorded in D9.</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Evaluation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bids of TQ bidders only are opened. Bid amounts recorded in D3. System ranks bidders by bid amount (lowest = L1). If L1 is &gt; 10% above estimate, system flags for committee review before proceeding. Price variation analysis computed against estimate and prevailing market rates.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Comparative Statement</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Auto-generated Comparative Statement (CS) in CPWD format: bidder-wise technical scores, financial bids, deviations from BOQ, delivery/completion period, special conditions. CS reviewed and signed by evaluation committee. Committee recommendations recorded. CS stored in D10 and published to CPPP.</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 Pact Check</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contracts &gt; ₹10 Cr: System queries D11 (IP Log) for each TQ bidder. Checks: IP signed by authorised signatory, No pending IP breach investigation, IEM (Independent External Monitor) appointed. Decision diamond: IP Clear → proceed to negotiation; IP Fail → bidder disqualified; disqualification recorded with reason.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Negotiation &amp; L1 Confirmation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Negotiation meeting with L1 bidder conducted (if bid &gt; estimate or committee requires clarification). Negotiation minutes recorded in system: original bid, negotiated amount, item-wise reductions agreed, compliance confirmation. If L1 walks away or is disqualified, process moves to L2 subject to committee approval.</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Approval &amp; Award Notice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Award recommendation submitted through tiered approval workflow (SPV Director → NICDC MD for &gt; ₹500 Cr → Ministry for &gt; ₹1,000 Cr). On approval, LOA auto-generated and transmitted to L1 via CPPP + registered email. Contract Master created in D4. All bid-related records archived in D8.</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5 master data model contains twelve entities. The Procurement Plan is the entry-point entity; the Tender Register, Bid Register, and Contract Master form the primary procurement-to-award pipeline. The Contract Milestone, VO Register, Contractor Scorecard, Final Account, Integrity Pact, Bank Guarantee, Dispute Register, and Evaluation Record are supporting entities that capture the full contract lifecycle.</w:t>
      </w:r>
    </w:p>
    <w:p>
      <w:pPr>
        <w:spacing w:before="120" w:after="60"/>
        <w:jc w:val="center"/>
      </w:pPr>
      <w:r>
        <w:drawing>
          <wp:inline distT="0" distB="0" distL="0" distR="0">
            <wp:extent cx="6000750" cy="3752850"/>
            <wp:effectExtent t="0" r="0" b="0" l="0"/>
            <wp:docPr id="1" name="Figure 4.1 — Master Data Entity Relationship Overview (Module 5 — Contract &amp; Procurement Management)" descr="Figure 4.1 — Master Data Entity Relationship Overview (Module 5 — Contract &amp; Procurement Management)" title="Figure 4.1 — Master Data Entity Relationship Overview (Module 5 — Contract &amp; Procure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5 — Contract &amp; Procurement Management)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Procurement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proc_plan_id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 the work package(s) to be procured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proc_method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OCT / LTE / GeM / Single_Source / EOI_then_ITB / Design_Build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Works_CPWD / Works_FIDIC_Red / Works_FIDIC_Yellow / Supply / Consultancy / PPP_Concession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est_value_cr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estimated contract value from WBS budget node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planned_nit_date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planned NIT publication date; linked to project schedule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planned_award_date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target LOA issuance 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pre_qual_required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EOI/RFQ pre-qualification stage required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integrity_pact_required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estimated value ≥ ₹10 Cr (mandatory)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bundled_wbs_json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array of additional WBS IDs if multiple packages bundled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approved_by</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approving authority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Submitted / Approved / NIT_Issued / Awarded / Cancelled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Tender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proc_plan_id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Procurement Plan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nit_no</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Official NIT number (NICDC/DMIC/PackageCode/Year-SerialNo)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Open / Limited / GeM / Nomination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bid_due_date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DATETIME — exact date and time of bid submission deadline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bid_opening_date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DATETIME — date/time of bid opening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published_date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CPPP / NICDC website publication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cppp_tender_id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CPPP-assigned tender reference ID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gem_demand_id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GeM demand number if procured via GeM</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estimated_value_cr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confirmed estimated value at tender stage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emd_amount_cr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Earnest Money Deposit; 2% of estimated value, max ₹1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corrigendum_count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corrigenda issued; 0 if no amendments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pre_bid_meeting_date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pre-bid meeting; NULL if not applicable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Published / Pre-Bid / Closed / Evaluated / Awarded / Cancelled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Bid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Tender Register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registered legal name of bidding firm</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bidder_gstin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GSTIN validated against GSTN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submission_timestamp</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WITH TIME ZONE — exact CPPP submission time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submission_status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On_Time / Late_Rejected / Withdrawn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tech_eval_status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Pending / TQ / NTQ</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total technical score 0–100</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tech_disqualification_reason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mandatory if tech_eval_status = NTQ</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fin_bid_cr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financial bid amount in INR Crore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l1_flag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is the lowest responsive bid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ip_status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Signed / Not_Signed / Breach_Pending — Integrity Pact status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negotiated_bid_cr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bid amount after negotiation; NULL if no negotiation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bid_outcome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L1_Awarded / L2_Reserve / Unsuccessful / Disqualified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Contract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Tender Register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primary scope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loa_no</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LOA number (NICDC/PackageCode/LOA/Year-SerialNo)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 inherited from Procurement Plan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Organisation Master (Module 1)</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loa_value_cr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original LOA value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current_value_cr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LOA + all approved VOs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start_date / completion_date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contractual start and scheduled completion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dlp_months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Defect Liability Period in months (typically 12–24)</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dlp_end_date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computed: completion_date + dlp_months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ld_rate_pct_per_day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DECIMAL(5,4) — LD rate as % of LOA per day of delay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pbg_received_date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Performance BG receipt date; advance blocked until set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advance_paid_cr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total advance paid (mobilisation + material)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Awarded / Active / At_Risk / Delayed / DLP / Closed / Terminated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fidic_book</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Red / Yellow / Silver / White / None — FIDIC conditions of contract</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Contractor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Contract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period_month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first day of the scored month</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quality_score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based on open NCRs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based on Module 2 SPI</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safety_score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based on incident log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RA Bill submission timeliness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reporting_score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weekly report submission rate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environment_score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site audit findings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equipment mobilisation ratio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dispute_score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0–100; frivolous claims ratio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overall_score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 — weighted average of all 8 dimensions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rating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Excellent / Good / Satisfactory / Poor / Very_Poor / Critical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action_taken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notices issued, meetings held, actions recorded this month</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Integrity Pact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bid_id / contract_id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linked to both bid (pre-award) and contract (post-award)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ip_version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IP document version (CVC standard format)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bidder_signatory_name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authorised signatory from bidder side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bidder_sign_date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bidder signature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nicdc_signatory_id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NICDC officer who countersigned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nicdc_sign_date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NICDC countersignature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iem_name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Independent External Monitor appointed by CVC/NICDC</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iem_appointment_date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breach_flag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a potential IP breach is under investigation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breach_description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description of alleged breach (if breach_flag = true)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breach_resolution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outcome of CVC/NICDC investigation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Active / Breach_Investigation / Resolved / Closed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4.2.7 Dispute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Contract Master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Contractor_Claim / NICDC_Counter_Claim / EOT_Dispute / Rate_Dispute / Termination_Dispute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claim_amount_cr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amount in dispute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dispute_description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detailed description of the dispute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contractor_position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contractor's stated position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nicdc_position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NICDC's stated position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dispute formally raised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resolution_mechanism</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Amicable_Settlement / DRB / Arbitration / Court / Pending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arbitrator_name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arbitrator/DRB member if appointed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award_amount_cr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DECIMAL(15,2) — arbitration award / settlement amount; NULL if pending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Open / Under_Negotiation / DRB_Filed / Arbitration / Court / Settled / Closed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resolution_date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date of final resolution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5 delivers five primary screens covering the main contract and procurement workflows. The module uses indigo as its identity colour (distinguishing it from the green of Module 4 Finance). Procurement and contract data are presented with a focus on action-orientation — the system always surfaces what needs to be done next, by whom, and by when. All screens support role-based visibility: contractors see only their own contract data; SPV PM sees all packages in their node; NICDC sees all corridors.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Contract &amp; Procurement Dashboard</w:t>
      </w:r>
    </w:p>
    <w:p>
      <w:pPr>
        <w:spacing w:before="80" w:after="80"/>
        <w:jc w:val="both"/>
      </w:pPr>
      <w:r>
        <w:rPr>
          <w:rFonts w:ascii="Arial" w:cs="Arial" w:eastAsia="Arial" w:hAnsi="Arial"/>
          <w:color w:val="404040"/>
          <w:sz w:val="20"/>
          <w:szCs w:val="20"/>
        </w:rPr>
        <w:t xml:space="preserve">The Dashboard provides a complete programme-wide view of contract health — active contracts by status, procurement pipeline by stage, pending critical actions (BG expiry, VO limit alerts, bid closings), and a live alert feed. It is the first screen opened by SPV contract managers and NICDC procurement officers each morning.</w:t>
      </w:r>
    </w:p>
    <w:p>
      <w:pPr>
        <w:spacing w:before="120" w:after="60"/>
        <w:jc w:val="center"/>
      </w:pPr>
      <w:r>
        <w:drawing>
          <wp:inline distT="0" distB="0" distL="0" distR="0">
            <wp:extent cx="6000750" cy="3752850"/>
            <wp:effectExtent t="0" r="0" b="0" l="0"/>
            <wp:docPr id="1" name="Figure 5.1 — Contract &amp; Procurement Dashboard (KPI Cards, Contract Status Panel, Procurement Pipeline, Alerts)" descr="Figure 5.1 — Contract &amp; Procurement Dashboard (KPI Cards, Contract Status Panel, Procurement Pipeline, Alerts)" title="Figure 5.1 — Contract &amp; Procurement Dashboard (KPI Cards, Contract Status Panel, Procurement Pipeline,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Contract &amp; Procurement Dashboard (KPI Cards, Contract Status Panel, Procurement Pipeline, Alerts)</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Contracts (count + total value), Tenders Live, Contracts At Risk, VO Headroom Average — colour-coded status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navigate to filtered list view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Status Panel (left)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Per-package contract row: contractor name, LOA value, phase, status badge (On Track/At Risk/Delayed), progress bar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row to open Contract Execution Monitor (Screen 4)</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Pipeline (right)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 pipeline by stage: NIT Published, Evaluation, Pre-Qual, Award Pending, Order Placed — with procurement method and value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row to open Bid Management (Screen 3)</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Alerts Panel (bottom)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Priority-sorted alerts: BG expiry, VO GFR limit approaching, bid closing, DLP expiry. Each with type badge, message, owner, and action button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alert to open relevant screen; action button = primary action (Renew BG, Submit VO, Review Bids)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Navigation Sidebar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module links (Dashboard → Procurement Plan → Tender → Bid → Contract Register → VO → Performance → Final Accounts)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screen highlighted indigo with gold stripe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Tender Preparation Wizard</w:t>
      </w:r>
    </w:p>
    <w:p>
      <w:pPr>
        <w:spacing w:before="80" w:after="80"/>
        <w:jc w:val="both"/>
      </w:pPr>
      <w:r>
        <w:rPr>
          <w:rFonts w:ascii="Arial" w:cs="Arial" w:eastAsia="Arial" w:hAnsi="Arial"/>
          <w:color w:val="404040"/>
          <w:sz w:val="20"/>
          <w:szCs w:val="20"/>
        </w:rPr>
        <w:t xml:space="preserve">The Tender Preparation Wizard is a 5-step guided workflow that ensures every mandatory element of a GFR-compliant tender package is completed before publication. The wizard prevents incomplete tender publications — a common source of CVC observations — by validating each step before allowing progression to the next.</w:t>
      </w:r>
    </w:p>
    <w:p>
      <w:pPr>
        <w:spacing w:before="120" w:after="60"/>
        <w:jc w:val="center"/>
      </w:pPr>
      <w:r>
        <w:drawing>
          <wp:inline distT="0" distB="0" distL="0" distR="0">
            <wp:extent cx="6000750" cy="4286250"/>
            <wp:effectExtent t="0" r="0" b="0" l="0"/>
            <wp:docPr id="1" name="Figure 5.2 — Tender Preparation Wizard (Step 1: Procurement Details | GFR Compliance Checks | Document Checklist)" descr="Figure 5.2 — Tender Preparation Wizard (Step 1: Procurement Details | GFR Compliance Checks | Document Checklist)" title="Figure 5.2 — Tender Preparation Wizard (Step 1: Procurement Details | GFR Compliance Checks | Document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42862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Tender Preparation Wizard (Step 1: Procurement Details | GFR Compliance Checks | Document Checklist)</w:t>
      </w:r>
    </w:p>
    <w:p>
      <w:pPr>
        <w:pStyle w:val="Heading3"/>
        <w:spacing w:before="180" w:after="80"/>
      </w:pPr>
      <w:r>
        <w:rPr>
          <w:rFonts w:ascii="Arial" w:cs="Arial" w:eastAsia="Arial" w:hAnsi="Arial"/>
          <w:b/>
          <w:bCs/>
          <w:color w:val="1A3C5E"/>
          <w:sz w:val="22"/>
          <w:szCs w:val="22"/>
        </w:rPr>
        <w:t xml:space="preserve">Tender Wizard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400"/>
        <w:gridCol w:w="3460"/>
      </w:tblGrid>
      <w:tr>
        <w:tc>
          <w:tcPr>
            <w:tcW w:type="dxa" w:w="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Title</w:t>
            </w:r>
          </w:p>
        </w:tc>
        <w:tc>
          <w:tcPr>
            <w:tcW w:type="dxa" w:w="3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Fields</w:t>
            </w:r>
          </w:p>
        </w:tc>
        <w:tc>
          <w:tcPr>
            <w:tcW w:type="dxa" w:w="34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Completion Gate</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Details</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Number (auto), Package, WBS, Method, Contract Type, Estimated Value, Tender Type, CPPP mode, Dates</w:t>
            </w:r>
          </w:p>
        </w:tc>
        <w:tc>
          <w:tcPr>
            <w:tcW w:type="dxa" w:w="34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mandatory fields; GFR compliance auto-checked</w:t>
            </w:r>
          </w:p>
        </w:tc>
      </w:tr>
      <w:tr>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&amp; Tender Documents</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body (from template), Scope of Work, Special Conditions, Addenda, Pre-bid meeting arrangements</w:t>
            </w:r>
          </w:p>
        </w:tc>
        <w:tc>
          <w:tcPr>
            <w:tcW w:type="dxa" w:w="34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document uploaded/generated; at least one scope document attached</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BOQ &amp; SOR Linkage</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Line-item BOQ with SOR codes, quantities, units; DSR rate auto-filled; total estimated cost validated vs. budget node</w:t>
            </w:r>
          </w:p>
        </w:tc>
        <w:tc>
          <w:tcPr>
            <w:tcW w:type="dxa" w:w="34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BOQ total within ±5% of budget; all items have SOR reference or justification</w:t>
            </w:r>
          </w:p>
        </w:tc>
      </w:tr>
      <w:tr>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Eligibility Criteria</w:t>
            </w:r>
          </w:p>
        </w:tc>
        <w:tc>
          <w:tcPr>
            <w:tcW w:type="dxa" w:w="3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Turnover criterion (min 3× annual contract value), Similar work experience, Key personnel, Equipment list, EMD amount</w:t>
            </w:r>
          </w:p>
        </w:tc>
        <w:tc>
          <w:tcPr>
            <w:tcW w:type="dxa" w:w="34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criteria within GFR/CVC minimum requirements; IP mandatory check if value &gt; ₹10 Cr</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&amp; Publish</w:t>
            </w:r>
          </w:p>
        </w:tc>
        <w:tc>
          <w:tcPr>
            <w:tcW w:type="dxa" w:w="3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Summary of all information; document hash preview; CPPP publishing confirmation; notification to registered bidders</w:t>
            </w:r>
          </w:p>
        </w:tc>
        <w:tc>
          <w:tcPr>
            <w:tcW w:type="dxa" w:w="34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digital approval; system posts to CPPP via API; NICDC website simultaneously updated</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Bid Evaluation &amp; Comparative Statement</w:t>
      </w:r>
    </w:p>
    <w:p>
      <w:pPr>
        <w:spacing w:before="80" w:after="80"/>
        <w:jc w:val="both"/>
      </w:pPr>
      <w:r>
        <w:rPr>
          <w:rFonts w:ascii="Arial" w:cs="Arial" w:eastAsia="Arial" w:hAnsi="Arial"/>
          <w:color w:val="404040"/>
          <w:sz w:val="20"/>
          <w:szCs w:val="20"/>
        </w:rPr>
        <w:t xml:space="preserve">The Bid Evaluation screen is the most governance-sensitive screen in Module 5. It presents all received bids in a matrix view for the evaluation committee — showing technical scores, financial bids, L1 ranking, IP status, and eligibility status. The Comparative Statement is auto-generated and signed digitally by all committee members within the screen.</w:t>
      </w:r>
    </w:p>
    <w:p>
      <w:pPr>
        <w:spacing w:before="120" w:after="60"/>
        <w:jc w:val="center"/>
      </w:pPr>
      <w:r>
        <w:drawing>
          <wp:inline distT="0" distB="0" distL="0" distR="0">
            <wp:extent cx="6000750" cy="3752850"/>
            <wp:effectExtent t="0" r="0" b="0" l="0"/>
            <wp:docPr id="1" name="Figure 5.3 — Bid Evaluation Screen (Stage Tabs, Bidder Comparison Matrix, L1 Recommendation, Award Action)" descr="Figure 5.3 — Bid Evaluation Screen (Stage Tabs, Bidder Comparison Matrix, L1 Recommendation, Award Action)" title="Figure 5.3 — Bid Evaluation Screen (Stage Tabs, Bidder Comparison Matrix, L1 Recommendation, Awar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Bid Evaluation Screen (Stage Tabs, Bidder Comparison Matrix, L1 Recommendation, Award Action)</w:t>
      </w:r>
    </w:p>
    <w:p>
      <w:pPr>
        <w:pStyle w:val="Heading3"/>
        <w:spacing w:before="180" w:after="80"/>
      </w:pPr>
      <w:r>
        <w:rPr>
          <w:rFonts w:ascii="Arial" w:cs="Arial" w:eastAsia="Arial" w:hAnsi="Arial"/>
          <w:b/>
          <w:bCs/>
          <w:color w:val="1A3C5E"/>
          <w:sz w:val="22"/>
          <w:szCs w:val="22"/>
        </w:rPr>
        <w:t xml:space="preserve">Bid Evaluation Screen Design Principles</w:t>
      </w:r>
    </w:p>
    <w:p>
      <w:pPr>
        <w:pStyle w:val="ListParagraph"/>
        <w:numPr>
          <w:ilvl w:val="0"/>
          <w:numId w:val="2"/>
        </w:numPr>
        <w:spacing w:before="40" w:after="40"/>
      </w:pPr>
      <w:r>
        <w:rPr>
          <w:rFonts w:ascii="Arial" w:cs="Arial" w:eastAsia="Arial" w:hAnsi="Arial"/>
          <w:color w:val="404040"/>
          <w:sz w:val="20"/>
          <w:szCs w:val="20"/>
        </w:rPr>
        <w:t xml:space="preserve">Stage tabs: Horizontal progress tabs (Technical → Financial → CS → Negotiation → Award) show which stage is complete (green tick) and which is active (indigo highlight) — committee cannot access Financial tab until Technical is complete</w:t>
      </w:r>
    </w:p>
    <w:p>
      <w:pPr>
        <w:pStyle w:val="ListParagraph"/>
        <w:numPr>
          <w:ilvl w:val="0"/>
          <w:numId w:val="2"/>
        </w:numPr>
        <w:spacing w:before="40" w:after="40"/>
      </w:pPr>
      <w:r>
        <w:rPr>
          <w:rFonts w:ascii="Arial" w:cs="Arial" w:eastAsia="Arial" w:hAnsi="Arial"/>
          <w:color w:val="404040"/>
          <w:sz w:val="20"/>
          <w:szCs w:val="20"/>
        </w:rPr>
        <w:t xml:space="preserve">Gold border for L1: The lowest responsive bidder is automatically highlighted with a gold left border and circular bid amount indicator — immediately visible to committee without needing to hunt through data</w:t>
      </w:r>
    </w:p>
    <w:p>
      <w:pPr>
        <w:pStyle w:val="ListParagraph"/>
        <w:numPr>
          <w:ilvl w:val="0"/>
          <w:numId w:val="2"/>
        </w:numPr>
        <w:spacing w:before="40" w:after="40"/>
      </w:pPr>
      <w:r>
        <w:rPr>
          <w:rFonts w:ascii="Arial" w:cs="Arial" w:eastAsia="Arial" w:hAnsi="Arial"/>
          <w:color w:val="404040"/>
          <w:sz w:val="20"/>
          <w:szCs w:val="20"/>
        </w:rPr>
        <w:t xml:space="preserve">IP status column: Prominently shown for all bidders; red if IP not signed or breach pending; clicking the IP cell opens the IP register for that bidder</w:t>
      </w:r>
    </w:p>
    <w:p>
      <w:pPr>
        <w:pStyle w:val="ListParagraph"/>
        <w:numPr>
          <w:ilvl w:val="0"/>
          <w:numId w:val="2"/>
        </w:numPr>
        <w:spacing w:before="40" w:after="40"/>
      </w:pPr>
      <w:r>
        <w:rPr>
          <w:rFonts w:ascii="Arial" w:cs="Arial" w:eastAsia="Arial" w:hAnsi="Arial"/>
          <w:color w:val="404040"/>
          <w:sz w:val="20"/>
          <w:szCs w:val="20"/>
        </w:rPr>
        <w:t xml:space="preserve">Recommendation box: Fixed at the bottom of the screen — always visible regardless of scroll position; shows the system-generated award recommendation with basis; committee can endorse or override with documented reason</w:t>
      </w:r>
    </w:p>
    <w:p>
      <w:pPr>
        <w:pStyle w:val="ListParagraph"/>
        <w:numPr>
          <w:ilvl w:val="0"/>
          <w:numId w:val="2"/>
        </w:numPr>
        <w:spacing w:before="40" w:after="40"/>
      </w:pPr>
      <w:r>
        <w:rPr>
          <w:rFonts w:ascii="Arial" w:cs="Arial" w:eastAsia="Arial" w:hAnsi="Arial"/>
          <w:color w:val="404040"/>
          <w:sz w:val="20"/>
          <w:szCs w:val="20"/>
        </w:rPr>
        <w:t xml:space="preserve">Sealed evaluation: During Technical evaluation, Financial bids are cryptographically sealed and not visible; system enforces two-envelope process — technical evaluation committee cannot see financial bids until their evaluation is submitted and locked</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Contract Execution Monitor</w:t>
      </w:r>
    </w:p>
    <w:p>
      <w:pPr>
        <w:spacing w:before="80" w:after="80"/>
        <w:jc w:val="both"/>
      </w:pPr>
      <w:r>
        <w:rPr>
          <w:rFonts w:ascii="Arial" w:cs="Arial" w:eastAsia="Arial" w:hAnsi="Arial"/>
          <w:color w:val="404040"/>
          <w:sz w:val="20"/>
          <w:szCs w:val="20"/>
        </w:rPr>
        <w:t xml:space="preserve">The Contract Execution Monitor is the single-screen view of a live contract — combining the contractual milestone tracker, financial summary, and contractor performance scorecard in one information-dense but well-organised screen. PMC engineers and SPV PMs use this as their primary daily monitoring tool.</w:t>
      </w:r>
    </w:p>
    <w:p>
      <w:pPr>
        <w:spacing w:before="120" w:after="60"/>
        <w:jc w:val="center"/>
      </w:pPr>
      <w:r>
        <w:drawing>
          <wp:inline distT="0" distB="0" distL="0" distR="0">
            <wp:extent cx="6000750" cy="3600450"/>
            <wp:effectExtent t="0" r="0" b="0" l="0"/>
            <wp:docPr id="1" name="Figure 5.4 — Contract Execution Monitor (Milestone Tracker, Financial Summary, Contractor Performance Score)" descr="Figure 5.4 — Contract Execution Monitor (Milestone Tracker, Financial Summary, Contractor Performance Score)" title="Figure 5.4 — Contract Execution Monitor (Milestone Tracker, Financial Summary, Contractor Performanc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Contract Execution Monitor (Milestone Tracker, Financial Summary, Contractor Performance Score)</w:t>
      </w:r>
    </w:p>
    <w:p>
      <w:pPr>
        <w:pStyle w:val="Heading3"/>
        <w:spacing w:before="180" w:after="80"/>
      </w:pPr>
      <w:r>
        <w:rPr>
          <w:rFonts w:ascii="Arial" w:cs="Arial" w:eastAsia="Arial" w:hAnsi="Arial"/>
          <w:b/>
          <w:bCs/>
          <w:color w:val="1A3C5E"/>
          <w:sz w:val="22"/>
          <w:szCs w:val="22"/>
        </w:rPr>
        <w:t xml:space="preserve">Contract Monitor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Panel</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Interaction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Header Strip</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number, LOA value, contract type, start/completion dates, status — always visible at top of screen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 badge click opens contract status change workflow</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Contractual Milestone Tracker (left)</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7-milestone Gantt with coloured status badges, baseline vs. forecast dates, progress bar, milestone ID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milestone to open evidence upload / completion certification form</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Summary (top right)</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value, VOs, current contract value, billed to date, paid to date, retention held, advance pending, remaining to bill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figure links to Module 4 for transaction detail</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Performance Score (bottom right)</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8-KPI bar chart with current month's scores; overall score circular badge; month-over-month trend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KPI bar to see detailed sub-criteria breakdown; click overall badge to open full scorecard (Screen 5)</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Quick Actions bar</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Issue Site Instruction, Raise NCR, Log Safety Incident, Request EOT, Issue Notice, Process RA Bill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button opens the relevant form without navigating away</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Contractor Performance Scorecard</w:t>
      </w:r>
    </w:p>
    <w:p>
      <w:pPr>
        <w:spacing w:before="80" w:after="80"/>
        <w:jc w:val="both"/>
      </w:pPr>
      <w:r>
        <w:rPr>
          <w:rFonts w:ascii="Arial" w:cs="Arial" w:eastAsia="Arial" w:hAnsi="Arial"/>
          <w:color w:val="404040"/>
          <w:sz w:val="20"/>
          <w:szCs w:val="20"/>
        </w:rPr>
        <w:t xml:space="preserve">The Scorecard screen provides the full multi-dimensional performance view of a contractor — a radar/spider chart showing all 8 KPIs visually, a 6-month trend chart showing whether performance is improving or declining, and a cross-contractor comparison table allowing benchmarking across all active packages. This screen is used by NICDC and SPV Directors for contractor performance review meetings.</w:t>
      </w:r>
    </w:p>
    <w:p>
      <w:pPr>
        <w:spacing w:before="120" w:after="60"/>
        <w:jc w:val="center"/>
      </w:pPr>
      <w:r>
        <w:drawing>
          <wp:inline distT="0" distB="0" distL="0" distR="0">
            <wp:extent cx="6000750" cy="3752850"/>
            <wp:effectExtent t="0" r="0" b="0" l="0"/>
            <wp:docPr id="1" name="Figure 5.5 — Contractor Performance Scorecard (Radar Chart, Cross-Contractor Comparison, 6-Month Trend, Score Breakdown)" descr="Figure 5.5 — Contractor Performance Scorecard (Radar Chart, Cross-Contractor Comparison, 6-Month Trend, Score Breakdown)" title="Figure 5.5 — Contractor Performance Scorecard (Radar Chart, Cross-Contractor Comparison, 6-Month Trend, Scor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Contractor Performance Scorecard (Radar Chart, Cross-Contractor Comparison, 6-Month Trend, Score Breakdown)</w:t>
      </w:r>
    </w:p>
    <w:p>
      <w:pPr>
        <w:pStyle w:val="Heading3"/>
        <w:spacing w:before="180" w:after="80"/>
      </w:pPr>
      <w:r>
        <w:rPr>
          <w:rFonts w:ascii="Arial" w:cs="Arial" w:eastAsia="Arial" w:hAnsi="Arial"/>
          <w:b/>
          <w:bCs/>
          <w:color w:val="1A3C5E"/>
          <w:sz w:val="22"/>
          <w:szCs w:val="22"/>
        </w:rPr>
        <w:t xml:space="preserve">Scorecard Screen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Radar Chart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8-axis polygon spider chart showing current month's scores on each KPI. Filled orange polygon vs. grey reference circles at 20/40/60/80/100. Score labels at each axis tip with colour (Red&lt;70, Orange&lt;80, Green≥80).</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 Breakdown (axis labels)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axis label shows KPI name and current score. Clicking an axis opens the detailed sub-criteria breakdown showing exactly what drove the score (e.g., 'Safety: 2 minor incidents = -4 points').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Cross-Contractor Table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active contractors in the node listed with their scores on Quality, Schedule, Safety, and Overall. Sorted by Overall score descending. Red-highlighted rows = score &lt; 70 in any category.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6-Month Trend Chart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Line chart showing 4 key KPI trends (Quality, Schedule, Safety, Payment) over 6 months. Trend direction (improving/worsening) more important than absolute score. Declining trend lines shown in red.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Action Buttons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 Improvement Notice, Issue Show Cause Notice, Request Meeting, View Performance History — contextual actions based on current score rating.</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Procurement &amp; Tender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method must comply with GFR thresholds; Open Tender mandatory for Works &gt; ₹25 Lakh; single-source requires documented justification and Cabinet 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enforces method vs. value mapping; override requires SPV Director + NICDC approval with mandatory justification text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OCT above ₹2 Crore, NIT must be published on CPPP for minimum 28 days before bid due date (GFR Rule 158)</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blocks bid due date if &lt; 28 days from NIT publication; corrigendum extending bid date does not reset the 28-day clock</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 Pact is mandatory for all contracts with estimated value ≥ ₹10 Crore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blocks LOA issuance if IP status for awarded bidder is Not_Signed; IP must be executed before LOA transmission</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evaluation committee must have minimum 3 members; no member can have a conflict of interest with any bidder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Committee constitution recorded in system; any member flagging conflict of interest triggers automatic committee reconstitution workflow</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bids must be fully evaluated and locked before any financial bid is opened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enforces two-envelope process; financial bids remain cryptographically sealed until all technical evaluations are submitted and locked by committee chair</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Contract Execution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CON-006</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Performance BG must be received within 28 days of LOA; advance payment blocked until PBG is confirmed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blocks Module 4 advance payment until pbg_received_date is set in Contract Master; alert to SPV legal team from day 21</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CON-007</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Sub-contracting limited to 49% of total contract value without explicit NICDC approval (standard NIT condition)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computes cumulative sub-contracting value; alert at 40%; approval workflow triggered if 49% threshold approached</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CON-008</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Liquidated Damages start accruing on the day after Scheduled Completion Date if work is not complete and no Extension of Time (EOT) is approved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auto-computes LD from completion date; LD deduction auto-applied in Module 4 billing unless LD waiver approved in system</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CON-009</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Extension of Time (EOT) can only be granted for Force Majeure, NICDC delays, or change in scope; contractor-attributable delays do not qualify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EOT request must include: reason code, supporting evidence, calculation of delay attributable to qualifying event; PMC recommendation mandatory</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CON-010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contract cannot be Closed until: All milestones complete, All NCRs closed, Dispute register clear, NCC received, DLP period elapsed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enforces all five conditions as blocking checks in contract closeout workflow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Scorecard &amp; Debarment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CON-011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scorecard must be completed by PMC Lead and countersigned by SPV PM within 5 working days of month end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PMC Lead at day 3; escalation to SPV PM at day 5; RA Bill for that month held if scorecard not completed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CON-012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contractor scoring below 50 (Critical) for 2 consecutive months triggers mandatory debarment evaluation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notification; Debarment evaluation committee constituted; contractor notified in writing</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CON-013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contractor who is debarred by Ministry of Finance (per Suspension and Debarment policy) cannot be awarded any IC-PMS contract</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validates new bidders against MoF debarment register via API; debarred entities blocked at bid submission stage</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work packages, estimated values from budget nodes, package scope; Outbound: Contract awards with LOA values linked to WBS, contractual milestone dates</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from Module 1; award trigger creates commitment entry in Module 4</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Schedule SPI per contractor WBS package (for scorecard); Outbound: Contractual milestone dates as schedule constraints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scorecard computation; milestone date updates trigger Module 2 constraint revision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LOA values for commitment accounting, VO approvals with values, advance amounts, milestone payment schedule; Inbound: Payment confirmation for contract financial tracking</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LOA issuance; on VO approval; on each PFMS payment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AI progress % per WBS package — used to validate contractor progress claims in milestone reporting; Outbound: Contract polygon scope for satellite scene ordering</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satellite run; real-time milestone completion verification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All tender documents (NIT, BOQ, specs, corrigenda), LOA, VOs, Integrity Pact, correspondence, Final Account — auto-filed under WBS DMS folder</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each document creation / approval event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Contract status, procurement pipeline, VO summary, scorecard aggregate, pending BG/DLP data for executive dashboards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REST API read; refreshed daily</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Protocol</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CPPP (Central Public Procurement Portal)</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 publication, bid receipt, corrigendum posting, award notification, tender documents download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CPPP API; OAuth 2.0; mandatory for OCT &gt; ₹2 Cr</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(Government e-Marketplace)</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bidirectional</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Purchase request creation, GeM order placement, delivery confirmation, payment trigger</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 Seller/Buyer API; session-based auth; GeM integration policy GFR Rule 149A</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MoF Debarment Register</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Bidder debarment status check before bid registration; contractor blacklist verification</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of Finance API; checked on every new bid submission</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GSTIN validation and compliance status at bid evaluation stage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GSTN sandbox; 24-hour cache</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Aadhaar / DSC (eSign)</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 eSign API</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Digital signature of evaluation committee members, LOA signing by SPV Director, IP countersigning</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CDAC eSign API; DSC USB token integration for authorised officers</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SMS / Email Gateway</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SMTP / SMS API</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Notifications to bidders (NIT publication, bid receipt, award, rejection), contractual notices</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email gateway; SMS for milestone alerts and bid closing reminders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Contract Award Approval Chain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1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Contract Value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1</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2</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Level 3</w:t>
            </w:r>
          </w:p>
        </w:tc>
        <w:tc>
          <w:tcPr>
            <w:tcW w:type="dxa" w:w="1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 to ₹ 5 Cr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Two-level; DFA applicable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5–50 Cr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concurrence required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50–500 Cr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as final authority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500 Cr – ₹ 1,000 Cr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note (Secretary)</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t>
            </w:r>
          </w:p>
        </w:tc>
        <w:tc>
          <w:tcPr>
            <w:tcW w:type="dxa" w:w="1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informed; Secretary-level concurrence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Above ₹ 1,000 Cr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approval</w:t>
            </w:r>
          </w:p>
        </w:tc>
        <w:tc>
          <w:tcPr>
            <w:tcW w:type="dxa" w:w="1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note mandatory; Cabinet approval for &gt; ₹5,000 Cr</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Bid Management Timeline (GFR Minimum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Stage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GFR / CVC Requirement</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IC-PMS Default</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Trigger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 publication to Bid Due Date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28 days for OCT &gt; ₹2 Cr; ≥ 14 days for LTE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days OCT / 14 days LTE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blocks if &lt; GFR minimum</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validity period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Minimum 90 days from bid due date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90 days standard; 120 days for large contracts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extend if award delayed beyond day 75</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Technical evaluation completion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GFR limit; CVC recommends &lt; 30 days from opening</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 working days from bid opening</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to committee head at day 15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evaluation &amp; CS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GFR limit; CVC recommends &lt; 15 days from Technical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 working days from Tech evaluation lock</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at day 8</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Award after L1 determination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GFR limit; Ministry guidance: &lt; 30 days from CS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21 working days from CS approval</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 to NICDC if not awarded by day 25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 issuance after approval</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7 days of final award approval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working days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auto-generates LOA on approval; alert if delayed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 document generation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to auto-generate full NIT + BOQ + eligibility from templates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Job completion time log</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CPPP API publication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from Publish action to CPPP confirmation</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API call timing; alert if &gt; 2 minutes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 evaluation matrix load</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for evaluation matrix with 10 bidders and 20 criteria</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P95; load tested with 50 concurrent evaluators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Comparative Statement generation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seconds to generate auto-formatted CS for up to 20 bidders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 generation job timer</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Scorecard computation</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10 minutes to compute all active contract scorecards at month-end</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batch job completion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search</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2 seconds full-text search across all active contracts by LOA number, contractor name, package code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query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procurement users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 simultaneous bid evaluation committee members without degradation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50 VUs during evaluation</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storage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size limit per tender package; 99.9% availability for tender documents during bid window</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object storage SLA</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trail completeness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user action logged with user ID, timestamp, IP, action type — no gaps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audit completeness check; VAPT test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retention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30 years for all tender and contract records per GFR 2017</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Automated archival policy; cold storage after 7 years</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5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Notice Inviting Tender — public advertisement inviting bids for a contract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ITB</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Instruction to Bidders — document setting out bid submission rules, evaluation criteria, and contract conditions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OCT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 Competitive Tender — procurement method open to all eligible bidders; mandatory for Works contracts above ₹25 Lakh under GFR</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Limited Tender Enquiry — procurement from a shortlisted panel of empanelled vendors; up to ₹25 Lakh under GFR</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GeM</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Government e-Marketplace — GoI's online procurement platform for goods and services; integrated with PFMS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CPPP</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Central Public Procurement Portal — mandatory e-procurement portal for GoI tenders above ₹2 Crore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L1</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Lowest (1st) evaluated bidder — the technically qualified bidder with the lowest financial bid; normally awarded the contract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Comparative Statement — tabular summary of all bids with technical scores, financial bids, and ranking; primary basis for award decision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IP</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Integrity Pact — agreement between NICDC and each bidder/contractor committing to ethical conduct; mandatory for contracts &gt; ₹10 Cr</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IEM</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Independent External Monitor — CVC-appointed independent person who monitors procurement for IP compliance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Letter of Award — formal document communicating contract award; creates legally binding obligations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PBG</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Performance Bank Guarantee — financial security (typically 5% of LOA) against contractor performance failure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EMD</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Earnest Money Deposit — bid security submitted with the bid (typically 2% of estimated value); forfeited if L1 withdraws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EOT</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Extension of Time — formal approval extending the contract completion date for qualifying reasons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LD</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Liquidated Damages — pre-agreed penalty for delay beyond Scheduled Completion Date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DLP</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Defect Liability Period — post-completion period during which contractor must rectify defects; typically 12–24 months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NCR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Non-Conformance Report — PMC's formal record of a quality defect; must be closed before Final Bill</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NCC</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Claim Certificate — contractor's written statement accepting Final Account and waiving all future claims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FIDIC</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Fédération Internationale Des Ingénieurs-Conseils — international body issuing standard construction contract conditions (Red/Yellow/Silver Book)</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DRB</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Dispute Resolution Board — panel of neutral experts who adjudicate construction disputes; faster than arbitration</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5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5: Contract &amp; Procurement Management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c96690a20b4bca9755dc37bad7e42def2dde926.png"/><Relationship Id="rId9" Type="http://schemas.openxmlformats.org/officeDocument/2006/relationships/image" Target="media/927e3eb06681630ef2b89448eb51de0394ad57d3.png"/><Relationship Id="rId10" Type="http://schemas.openxmlformats.org/officeDocument/2006/relationships/image" Target="media/40e1c5ce26c9b1dd7f8e41420a50027d12bad8d4.png"/><Relationship Id="rId11" Type="http://schemas.openxmlformats.org/officeDocument/2006/relationships/image" Target="media/e5e1e1976ead68b917f4883ddf929c0758332dea.png"/><Relationship Id="rId12" Type="http://schemas.openxmlformats.org/officeDocument/2006/relationships/image" Target="media/a22503cc4c4d62e6b44e72fc3d3914338ec46414.png"/><Relationship Id="rId13" Type="http://schemas.openxmlformats.org/officeDocument/2006/relationships/image" Target="media/a1130eaf1bb9572d59a4560fe5d6adb8fe8e1710.png"/><Relationship Id="rId14" Type="http://schemas.openxmlformats.org/officeDocument/2006/relationships/image" Target="media/5e25eef8e87ec7b5a34cf96e236909dc5a63d928.png"/><Relationship Id="rId15" Type="http://schemas.openxmlformats.org/officeDocument/2006/relationships/image" Target="media/77bd3e710a101f6e263695d70979d86d234bf810.png"/><Relationship Id="rId16" Type="http://schemas.openxmlformats.org/officeDocument/2006/relationships/image" Target="media/c6eb19faafe582399898695e80431436742e189e.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2026-03-28T12:10:47.052Z</dcterms:created>
  <dcterms:modified xsi:type="dcterms:W3CDTF">2026-03-28T12:10:47.053Z</dcterms:modified>
</cp:coreProperties>
</file>

<file path=docProps/custom.xml><?xml version="1.0" encoding="utf-8"?>
<Properties xmlns="http://schemas.openxmlformats.org/officeDocument/2006/custom-properties" xmlns:vt="http://schemas.openxmlformats.org/officeDocument/2006/docPropsVTypes"/>
</file>