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7</w:t>
      </w:r>
    </w:p>
    <w:p>
      <w:pPr>
        <w:spacing w:before="60" w:after="80"/>
        <w:jc w:val="center"/>
      </w:pPr>
      <w:r>
        <w:rPr>
          <w:rFonts w:ascii="Arial" w:cs="Arial" w:eastAsia="Arial" w:hAnsi="Arial"/>
          <w:b/>
          <w:bCs/>
          <w:color w:val="2E75B6"/>
          <w:sz w:val="42"/>
          <w:szCs w:val="42"/>
        </w:rPr>
        <w:t xml:space="preserve">Risk Management</w:t>
      </w:r>
    </w:p>
    <w:p>
      <w:pPr>
        <w:spacing w:before="80" w:after="300"/>
        <w:jc w:val="center"/>
      </w:pPr>
      <w:r>
        <w:rPr>
          <w:rFonts w:ascii="Arial" w:cs="Arial" w:eastAsia="Arial" w:hAnsi="Arial"/>
          <w:color w:val="1A8A8A"/>
          <w:sz w:val="22"/>
          <w:szCs w:val="22"/>
        </w:rPr>
        <w:t xml:space="preserve">ISO 31000 / PMBOK 7 / Primavera Risk Analysis Aligned  |  Monte Carlo Simulation Engine</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7 — Risk Management — is the proactive intelligence layer of IC-PMS. It systematically identifies, assesses, quantifies, plans responses to, monitors, and reports on the risks and opportunities that could affect the delivery of India's industrial corridor programme. The module is designed to align with the international risk management standard ISO 31000:2018, the PMBOK 7th Edition risk management process, and the quantitative simulation capabilities of Oracle Primavera Risk Analysis — making it the most analytically sophisticated module in IC-PMS.</w:t>
      </w:r>
    </w:p>
    <w:p>
      <w:pPr>
        <w:spacing w:before="80" w:after="80"/>
        <w:jc w:val="both"/>
      </w:pPr>
      <w:r>
        <w:rPr>
          <w:rFonts w:ascii="Arial" w:cs="Arial" w:eastAsia="Arial" w:hAnsi="Arial"/>
          <w:color w:val="404040"/>
          <w:sz w:val="20"/>
          <w:szCs w:val="20"/>
        </w:rPr>
        <w:t xml:space="preserve">The module addresses a fundamental challenge in large Indian government infrastructure projects: risks are often identified informally, tracked in spreadsheets, monitored inconsistently, and escalated reactively — after damage has occurred. IC-PMS Module 7 replaces this ad-hoc approach with a structured, data-driven risk management framework that integrates with schedule data (Module 2), satellite monitoring (Module 3), cost forecasts (Module 4), and contract intelligence (Module 5) to provide a comprehensive, continuously updated picture of programme risk exposure.</w:t>
      </w:r>
    </w:p>
    <w:p>
      <w:pPr>
        <w:spacing w:before="80" w:after="80"/>
        <w:jc w:val="both"/>
      </w:pPr>
      <w:r>
        <w:rPr>
          <w:rFonts w:ascii="Arial" w:cs="Arial" w:eastAsia="Arial" w:hAnsi="Arial"/>
          <w:color w:val="404040"/>
          <w:sz w:val="20"/>
          <w:szCs w:val="20"/>
        </w:rPr>
        <w:t xml:space="preserve">The Monte Carlo simulation engine embedded in Module 7 — executing 10,000 iterations per simulation run — enables NICDC and Ministry officials to understand not just 'what could go wrong' but 'how likely is it to go wrong and by how much?' The P50 and P80 confidence intervals for cost overrun and schedule delay derived from Monte Carlo analysis are the most credible financial risk disclosures available to programme leadership and lenders.</w:t>
      </w:r>
    </w:p>
    <w:p>
      <w:pPr>
        <w:spacing w:before="80" w:after="80"/>
        <w:jc w:val="both"/>
      </w:pPr>
      <w:r>
        <w:rPr>
          <w:rFonts w:ascii="Arial" w:cs="Arial" w:eastAsia="Arial" w:hAnsi="Arial"/>
          <w:color w:val="404040"/>
          <w:sz w:val="20"/>
          <w:szCs w:val="20"/>
        </w:rPr>
        <w:t xml:space="preserve">India-specific risk categories — Land Acquisition, Statutory Clearances (MoEFCC, Forest, CRZ), Contractor Financial Health, Monsoon Impact, Tribal Land (Forest Rights Act), and State Government Interface — are built into the risk category taxonomy, making the module relevant to the specific risk landscape of Indian infrastructure programmes.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Standard / Reference</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identification — structured interviews, checklists, Delphi</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ISO 31000 / PMBOK 7 Risk Identification</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category taxonomy — India-specific (9 categories, 48 sub-types)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 NICDC Risk Breakdown Structure (RBS)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Qualitative risk assessment — 5×5 probability-impact matrix</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PMBOK / APM Risk Scoring</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scoring — Risk Score = Probability × Impact (cost + schedule)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Risk Analysis aligned</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ownership and accountable party assignment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RACI model — Owner / Action Owner / Reviewer</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response planning (Avoid, Transfer, Mitigate, Accept)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PMBOK 7 / ISO 31000 Risk Response</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simulation — schedule and cost (10,000+ iterations)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Oracle Primavera Risk Analysis methodology</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 / P80 confidence intervals for cost and schedule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EIA / PMI EVM Risk standards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Sensitivity analysis — Tornado chart (top risk contributors)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Risk Analysis output</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trigger monitoring and auto-escalation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Innovation — linked to Module 2/3 data</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India-specific risk integration (LA, EC, Tribal land, Monsoon)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risk register template</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Opportunity register (positive risk identification)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PMBOK 7 — Opportunities as positive risks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heat map with temporal evolution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RAG heat map — 5×5 matrix view</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Lessons learned register (feed-forward to future projects)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ISO 21500 / APM learning framework</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reporting (monthly to NICDC, quarterly to Ministry)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governance reporting framework</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Integrated risk intelligence: Risk scores are not isolated — they are cross-referenced with Module 2 schedule float data, Module 3 satellite anomaly alerts, and Module 4 cost overrun trends to produce a composite, evidence-based risk picture</w:t>
      </w:r>
    </w:p>
    <w:p>
      <w:pPr>
        <w:pStyle w:val="ListParagraph"/>
        <w:numPr>
          <w:ilvl w:val="0"/>
          <w:numId w:val="2"/>
        </w:numPr>
        <w:spacing w:before="40" w:after="40"/>
      </w:pPr>
      <w:r>
        <w:rPr>
          <w:rFonts w:ascii="Arial" w:cs="Arial" w:eastAsia="Arial" w:hAnsi="Arial"/>
          <w:color w:val="404040"/>
          <w:sz w:val="20"/>
          <w:szCs w:val="20"/>
        </w:rPr>
        <w:t xml:space="preserve">India-specific risk taxonomy: The Risk Breakdown Structure (RBS) is built around the nine most impactful risk categories for Indian infrastructure — not generic PMBOK categories — ensuring relevance for DMIC, CBIC, and other corridor teams</w:t>
      </w:r>
    </w:p>
    <w:p>
      <w:pPr>
        <w:pStyle w:val="ListParagraph"/>
        <w:numPr>
          <w:ilvl w:val="0"/>
          <w:numId w:val="2"/>
        </w:numPr>
        <w:spacing w:before="40" w:after="40"/>
      </w:pPr>
      <w:r>
        <w:rPr>
          <w:rFonts w:ascii="Arial" w:cs="Arial" w:eastAsia="Arial" w:hAnsi="Arial"/>
          <w:color w:val="404040"/>
          <w:sz w:val="20"/>
          <w:szCs w:val="20"/>
        </w:rPr>
        <w:t xml:space="preserve">Monte Carlo as the standard: Qualitative risk matrices are useful for prioritisation but insufficient for financial disclosure. P80 cost and schedule estimates from 10,000-iteration Monte Carlo simulations are the standard output for lender and Ministry reporting</w:t>
      </w:r>
    </w:p>
    <w:p>
      <w:pPr>
        <w:pStyle w:val="ListParagraph"/>
        <w:numPr>
          <w:ilvl w:val="0"/>
          <w:numId w:val="2"/>
        </w:numPr>
        <w:spacing w:before="40" w:after="40"/>
      </w:pPr>
      <w:r>
        <w:rPr>
          <w:rFonts w:ascii="Arial" w:cs="Arial" w:eastAsia="Arial" w:hAnsi="Arial"/>
          <w:color w:val="404040"/>
          <w:sz w:val="20"/>
          <w:szCs w:val="20"/>
        </w:rPr>
        <w:t xml:space="preserve">Automatic trigger detection: Module 7 continuously monitors Module 2 (SPI threshold breaches), Module 3 (satellite encroachment alerts), and Module 4 (CPI below 0.85) as automatic risk triggers — removing reliance on manual reporting of bad news</w:t>
      </w:r>
    </w:p>
    <w:p>
      <w:pPr>
        <w:pStyle w:val="ListParagraph"/>
        <w:numPr>
          <w:ilvl w:val="0"/>
          <w:numId w:val="2"/>
        </w:numPr>
        <w:spacing w:before="40" w:after="40"/>
      </w:pPr>
      <w:r>
        <w:rPr>
          <w:rFonts w:ascii="Arial" w:cs="Arial" w:eastAsia="Arial" w:hAnsi="Arial"/>
          <w:color w:val="404040"/>
          <w:sz w:val="20"/>
          <w:szCs w:val="20"/>
        </w:rPr>
        <w:t xml:space="preserve">Opportunity register parity: Opportunities (positive risks) are tracked with equal rigour as threats; NICDC's value engineering savings, faster delivery bonuses, and green infrastructure benefits are documented and monitored</w:t>
      </w:r>
    </w:p>
    <w:p>
      <w:pPr>
        <w:pStyle w:val="ListParagraph"/>
        <w:numPr>
          <w:ilvl w:val="0"/>
          <w:numId w:val="2"/>
        </w:numPr>
        <w:spacing w:before="40" w:after="40"/>
      </w:pPr>
      <w:r>
        <w:rPr>
          <w:rFonts w:ascii="Arial" w:cs="Arial" w:eastAsia="Arial" w:hAnsi="Arial"/>
          <w:color w:val="404040"/>
          <w:sz w:val="20"/>
          <w:szCs w:val="20"/>
        </w:rPr>
        <w:t xml:space="preserve">Lessons learned as institutional knowledge: Every closed risk is analysed for lessons; reusable lessons are tagged and searchable across all future corridor projects — building NICDC's institutional risk intelligence over time</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7.1 — Risk Identification</w:t>
      </w:r>
    </w:p>
    <w:p>
      <w:pPr>
        <w:spacing w:before="80" w:after="80"/>
        <w:jc w:val="both"/>
      </w:pPr>
      <w:r>
        <w:rPr>
          <w:rFonts w:ascii="Arial" w:cs="Arial" w:eastAsia="Arial" w:hAnsi="Arial"/>
          <w:color w:val="404040"/>
          <w:sz w:val="20"/>
          <w:szCs w:val="20"/>
        </w:rPr>
        <w:t xml:space="preserve">Risk Identification is the process of systematically discovering and documenting all risks that could affect the industrial corridor programme. IC-PMS supports multiple identification techniques and provides structured capture forms that guide risk owners to describe risks with sufficient specificity to enable meaningful assessment and response planning.</w:t>
      </w:r>
    </w:p>
    <w:p>
      <w:pPr>
        <w:pStyle w:val="Heading3"/>
        <w:spacing w:before="180" w:after="80"/>
      </w:pPr>
      <w:r>
        <w:rPr>
          <w:rFonts w:ascii="Arial" w:cs="Arial" w:eastAsia="Arial" w:hAnsi="Arial"/>
          <w:b/>
          <w:bCs/>
          <w:color w:val="1A3C5E"/>
          <w:sz w:val="22"/>
          <w:szCs w:val="22"/>
        </w:rPr>
        <w:t xml:space="preserve">Identification Techniques Supported</w:t>
      </w:r>
    </w:p>
    <w:p>
      <w:pPr>
        <w:pStyle w:val="ListParagraph"/>
        <w:numPr>
          <w:ilvl w:val="0"/>
          <w:numId w:val="2"/>
        </w:numPr>
        <w:spacing w:before="40" w:after="40"/>
      </w:pPr>
      <w:r>
        <w:rPr>
          <w:rFonts w:ascii="Arial" w:cs="Arial" w:eastAsia="Arial" w:hAnsi="Arial"/>
          <w:color w:val="404040"/>
          <w:sz w:val="20"/>
          <w:szCs w:val="20"/>
        </w:rPr>
        <w:t xml:space="preserve">Structured risk interview template: Pre-populated question sets by project phase (DPR, Land Acquisition, Tendering, Construction, Commissioning) — PMC and SPV team members complete the template and upload to Module 7; system parses responses and creates draft risk records</w:t>
      </w:r>
    </w:p>
    <w:p>
      <w:pPr>
        <w:pStyle w:val="ListParagraph"/>
        <w:numPr>
          <w:ilvl w:val="0"/>
          <w:numId w:val="2"/>
        </w:numPr>
        <w:spacing w:before="40" w:after="40"/>
      </w:pPr>
      <w:r>
        <w:rPr>
          <w:rFonts w:ascii="Arial" w:cs="Arial" w:eastAsia="Arial" w:hAnsi="Arial"/>
          <w:color w:val="404040"/>
          <w:sz w:val="20"/>
          <w:szCs w:val="20"/>
        </w:rPr>
        <w:t xml:space="preserve">Risk Breakdown Structure (RBS) checklist: The 9-category, 48-sub-type RBS is presented as a checklist during workshops; facilitator records whether each sub-type is applicable and creates risk records for applicable items</w:t>
      </w:r>
    </w:p>
    <w:p>
      <w:pPr>
        <w:pStyle w:val="ListParagraph"/>
        <w:numPr>
          <w:ilvl w:val="0"/>
          <w:numId w:val="2"/>
        </w:numPr>
        <w:spacing w:before="40" w:after="40"/>
      </w:pPr>
      <w:r>
        <w:rPr>
          <w:rFonts w:ascii="Arial" w:cs="Arial" w:eastAsia="Arial" w:hAnsi="Arial"/>
          <w:color w:val="404040"/>
          <w:sz w:val="20"/>
          <w:szCs w:val="20"/>
        </w:rPr>
        <w:t xml:space="preserve">Analogous project risk import: Previous NHAI, NMRC, or corridor project risk registers can be imported as a starting point; system flags which risks are relevant to the current project context</w:t>
      </w:r>
    </w:p>
    <w:p>
      <w:pPr>
        <w:pStyle w:val="ListParagraph"/>
        <w:numPr>
          <w:ilvl w:val="0"/>
          <w:numId w:val="2"/>
        </w:numPr>
        <w:spacing w:before="40" w:after="40"/>
      </w:pPr>
      <w:r>
        <w:rPr>
          <w:rFonts w:ascii="Arial" w:cs="Arial" w:eastAsia="Arial" w:hAnsi="Arial"/>
          <w:color w:val="404040"/>
          <w:sz w:val="20"/>
          <w:szCs w:val="20"/>
        </w:rPr>
        <w:t xml:space="preserve">Assumption and constraint log: Project assumptions (e.g., 'land acquisition will be complete by Q1 2026') and constraints (e.g., 'Ministry approval required before Phase 2 start') are registered; system creates corresponding risks for each assumption that fails</w:t>
      </w:r>
    </w:p>
    <w:p>
      <w:pPr>
        <w:pStyle w:val="ListParagraph"/>
        <w:numPr>
          <w:ilvl w:val="0"/>
          <w:numId w:val="2"/>
        </w:numPr>
        <w:spacing w:before="40" w:after="40"/>
      </w:pPr>
      <w:r>
        <w:rPr>
          <w:rFonts w:ascii="Arial" w:cs="Arial" w:eastAsia="Arial" w:hAnsi="Arial"/>
          <w:color w:val="404040"/>
          <w:sz w:val="20"/>
          <w:szCs w:val="20"/>
        </w:rPr>
        <w:t xml:space="preserve">Satellite trigger-sourced risks: Module 3 anomaly alerts (encroachment, idle zones) automatically generate draft risk records in Module 7 for PMC review — bridging physical site observations with the risk register</w:t>
      </w:r>
    </w:p>
    <w:p>
      <w:pPr>
        <w:pStyle w:val="ListParagraph"/>
        <w:numPr>
          <w:ilvl w:val="0"/>
          <w:numId w:val="2"/>
        </w:numPr>
        <w:spacing w:before="40" w:after="40"/>
      </w:pPr>
      <w:r>
        <w:rPr>
          <w:rFonts w:ascii="Arial" w:cs="Arial" w:eastAsia="Arial" w:hAnsi="Arial"/>
          <w:color w:val="404040"/>
          <w:sz w:val="20"/>
          <w:szCs w:val="20"/>
        </w:rPr>
        <w:t xml:space="preserve">Module 2 schedule risk sourcing: Activities with near-zero float (&lt; 7 days) and poor SPI (&lt; 0.85) automatically generate schedule risk records linked to the relevant WBS activities</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India-Specific Risk Breakdown Structure (RBS)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760"/>
        <w:gridCol w:w="28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 Category</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Sub-Types (Examples)</w:t>
            </w:r>
          </w:p>
        </w:tc>
        <w:tc>
          <w:tcPr>
            <w:tcW w:type="dxa" w:w="1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Typical Probability</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Typical Impact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Land Acquisition (LA)</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 litigation, holdout landowners, tribal land (FRA), compensation disputes, gazette notification delays</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(0.60–0.85)</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6–24 months; Cost: 5–20%</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Statutory Clearances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clearance (MoEFCC), Forest clearance, CRZ notification, AAI NOC, Railways NOC, MOEF PARIVESH delays</w:t>
            </w:r>
          </w:p>
        </w:tc>
        <w:tc>
          <w:tcPr>
            <w:tcW w:type="dxa" w:w="1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(0.50–0.75)</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3–18 months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Risk</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distress, sub-contractor default, key personnel departure, equipment breakdown, insolvency</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Medium (0.30–0.60)</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30–120 days; Cost: 3–15%</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Natural Hazards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Monsoon flooding, cyclone, earthquake (zone-specific), heat wave, cloud burst</w:t>
            </w:r>
          </w:p>
        </w:tc>
        <w:tc>
          <w:tcPr>
            <w:tcW w:type="dxa" w:w="1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(0.60–0.90) seasonal</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14–90 days; Cost: 2–8%</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Design &amp; Engineering</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 inadequacy, unforeseen geotechnical conditions, utility conflicts, design changes</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Medium (0.40–0.65)</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5–20%; Schedule: 30–90 days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Market &amp; Prices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Steel/cement price escalation, diesel price, forex for imported equipment, labour inflation</w:t>
            </w:r>
          </w:p>
        </w:tc>
        <w:tc>
          <w:tcPr>
            <w:tcW w:type="dxa" w:w="1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(0.65–0.80)</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3–15%</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Regulatory &amp; Compliance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 disputes, labour law compliance, safety regulations, environmental violations</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Low-Medium (0.25–0.50)</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1–5%; Reputation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Technology &amp; Innovation</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construction technology failure, BIM/digital twin failure, software outages</w:t>
            </w:r>
          </w:p>
        </w:tc>
        <w:tc>
          <w:tcPr>
            <w:tcW w:type="dxa" w:w="1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 (0.15–0.30)</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7–30 days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Geopolitical &amp; Policy</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 government change, policy reversal, funding cut, corridor priority change</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Low–Low (0.05–0.25)</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High — programme-level</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7.2 — Qualitative Risk Assessment</w:t>
      </w:r>
    </w:p>
    <w:p>
      <w:pPr>
        <w:spacing w:before="80" w:after="80"/>
        <w:jc w:val="both"/>
      </w:pPr>
      <w:r>
        <w:rPr>
          <w:rFonts w:ascii="Arial" w:cs="Arial" w:eastAsia="Arial" w:hAnsi="Arial"/>
          <w:color w:val="404040"/>
          <w:sz w:val="20"/>
          <w:szCs w:val="20"/>
        </w:rPr>
        <w:t xml:space="preserve">Qualitative Risk Assessment assigns probability and impact scores to each identified risk, placing it in the 5×5 probability-impact matrix to determine its Risk Rating (RED/AMBER/GREEN). This is the primary prioritisation tool — it focuses management attention on the risks that matter most.</w:t>
      </w:r>
    </w:p>
    <w:p>
      <w:pPr>
        <w:pStyle w:val="Heading3"/>
        <w:spacing w:before="180" w:after="80"/>
      </w:pPr>
      <w:r>
        <w:rPr>
          <w:rFonts w:ascii="Arial" w:cs="Arial" w:eastAsia="Arial" w:hAnsi="Arial"/>
          <w:b/>
          <w:bCs/>
          <w:color w:val="1A3C5E"/>
          <w:sz w:val="22"/>
          <w:szCs w:val="22"/>
        </w:rPr>
        <w:t xml:space="preserve">Probability-Impact Matrix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Rating</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Probability Range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Probability Score</w:t>
            </w:r>
          </w:p>
        </w:tc>
        <w:tc>
          <w:tcPr>
            <w:tcW w:type="dxa" w:w="4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High</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70%</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Almost certain to occur within the project lifecycle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50–70%</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More likely than not to occur</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Medium</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30–50%</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Roughly equal chance of occurring or not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10–30%</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Unlikely but possible; has occurred on similar projects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Low</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10%</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Rare event; unlikely to occur under normal circumstances</w:t>
            </w:r>
          </w:p>
        </w:tc>
      </w:tr>
    </w:tbl>
    <w:p>
      <w:pPr>
        <w:spacing w:before="60" w:after="60"/>
      </w:pPr>
      <w:r>
        <w:t xml:space="preserve"/>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7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 Level</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Schedule Impact</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 Impact</w:t>
            </w:r>
          </w:p>
        </w:tc>
        <w:tc>
          <w:tcPr>
            <w:tcW w:type="dxa" w:w="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 Score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High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90 days on critical path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15% of package cost</w:t>
            </w:r>
          </w:p>
        </w:tc>
        <w:tc>
          <w:tcPr>
            <w:tcW w:type="dxa" w:w="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30–90 days on critical path</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5–15% of package cost</w:t>
            </w:r>
          </w:p>
        </w:tc>
        <w:tc>
          <w:tcPr>
            <w:tcW w:type="dxa" w:w="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Medium</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7–30 days on critical path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2–5% of package cost</w:t>
            </w:r>
          </w:p>
        </w:tc>
        <w:tc>
          <w:tcPr>
            <w:tcW w:type="dxa" w:w="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7 days; non-critical</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of package cost</w:t>
            </w:r>
          </w:p>
        </w:tc>
        <w:tc>
          <w:tcPr>
            <w:tcW w:type="dxa" w:w="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Low</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days; negligible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0.5% of package cost</w:t>
            </w:r>
          </w:p>
        </w:tc>
        <w:tc>
          <w:tcPr>
            <w:tcW w:type="dxa" w:w="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w:t>
            </w:r>
          </w:p>
        </w:tc>
      </w:tr>
    </w:tbl>
    <w:p>
      <w:pPr>
        <w:pStyle w:val="Heading3"/>
        <w:spacing w:before="180" w:after="80"/>
      </w:pPr>
      <w:r>
        <w:rPr>
          <w:rFonts w:ascii="Arial" w:cs="Arial" w:eastAsia="Arial" w:hAnsi="Arial"/>
          <w:b/>
          <w:bCs/>
          <w:color w:val="1A3C5E"/>
          <w:sz w:val="22"/>
          <w:szCs w:val="22"/>
        </w:rPr>
        <w:t xml:space="preserve">Risk Rating from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 Score (P×I)</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Rating</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Colour</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Required Action</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20–25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Deep Red (Crimson)</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 NICDC MD / Ministry escalation; emergency response plan within 7 days</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12–19</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Risk</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weekly review; formal mitigation plan within 14 days</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6–11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Amber Risk</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Amber</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PMC monitoring; action plan within 30 days</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 Risk</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 review; accepted or monitored by SPV PM</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7.3 — Quantitative Risk Analysis (Monte Carlo Engine)</w:t>
      </w:r>
    </w:p>
    <w:p>
      <w:pPr>
        <w:spacing w:before="80" w:after="80"/>
        <w:jc w:val="both"/>
      </w:pPr>
      <w:r>
        <w:rPr>
          <w:rFonts w:ascii="Arial" w:cs="Arial" w:eastAsia="Arial" w:hAnsi="Arial"/>
          <w:color w:val="404040"/>
          <w:sz w:val="20"/>
          <w:szCs w:val="20"/>
        </w:rPr>
        <w:t xml:space="preserve">The Monte Carlo Engine is the quantitative core of Module 7. It takes the qualitative risk assessments, applies statistical distribution functions to each risk's cost and schedule impact range, simulates 10,000 possible project outcome scenarios, and produces probabilistic confidence intervals — the most credible basis for contingency planning and lender/Ministry disclosure.</w:t>
      </w:r>
    </w:p>
    <w:p>
      <w:pPr>
        <w:pStyle w:val="Heading3"/>
        <w:spacing w:before="180" w:after="80"/>
      </w:pPr>
      <w:r>
        <w:rPr>
          <w:rFonts w:ascii="Arial" w:cs="Arial" w:eastAsia="Arial" w:hAnsi="Arial"/>
          <w:b/>
          <w:bCs/>
          <w:color w:val="1A3C5E"/>
          <w:sz w:val="22"/>
          <w:szCs w:val="22"/>
        </w:rPr>
        <w:t xml:space="preserve">Monte Carlo Algorithm</w:t>
      </w:r>
    </w:p>
    <w:p>
      <w:pPr>
        <w:pStyle w:val="ListParagraph"/>
        <w:numPr>
          <w:ilvl w:val="0"/>
          <w:numId w:val="3"/>
        </w:numPr>
        <w:spacing w:before="40" w:after="40"/>
      </w:pPr>
      <w:r>
        <w:rPr>
          <w:rFonts w:ascii="Arial" w:cs="Arial" w:eastAsia="Arial" w:hAnsi="Arial"/>
          <w:color w:val="404040"/>
          <w:sz w:val="20"/>
          <w:szCs w:val="20"/>
        </w:rPr>
        <w:t xml:space="preserve">Risk Input Extraction: For all risks rated AMBER or above in the qualitative assessment, three-point estimates are collected: Optimistic impact (O), Most Likely impact (M), and Pessimistic impact (P) — both for cost (₹ Cr) and schedule (days). These are collected during the risk workshop or by the risk owner directly in Module 7.</w:t>
      </w:r>
    </w:p>
    <w:p>
      <w:pPr>
        <w:pStyle w:val="ListParagraph"/>
        <w:numPr>
          <w:ilvl w:val="0"/>
          <w:numId w:val="3"/>
        </w:numPr>
        <w:spacing w:before="40" w:after="40"/>
      </w:pPr>
      <w:r>
        <w:rPr>
          <w:rFonts w:ascii="Arial" w:cs="Arial" w:eastAsia="Arial" w:hAnsi="Arial"/>
          <w:color w:val="404040"/>
          <w:sz w:val="20"/>
          <w:szCs w:val="20"/>
        </w:rPr>
        <w:t xml:space="preserve">Distribution Fitting: Each risk's three-point estimates are fitted to a statistical distribution. Default: PERT distribution = Beta(4, O, M, P). Alternative: Triangular distribution for risks with symmetric impact. Lognormal for cost escalation risks (positive skew). Distribution parameters stored in D9 (Distribution Params store).</w:t>
      </w:r>
    </w:p>
    <w:p>
      <w:pPr>
        <w:pStyle w:val="ListParagraph"/>
        <w:numPr>
          <w:ilvl w:val="0"/>
          <w:numId w:val="3"/>
        </w:numPr>
        <w:spacing w:before="40" w:after="40"/>
      </w:pPr>
      <w:r>
        <w:rPr>
          <w:rFonts w:ascii="Arial" w:cs="Arial" w:eastAsia="Arial" w:hAnsi="Arial"/>
          <w:color w:val="404040"/>
          <w:sz w:val="20"/>
          <w:szCs w:val="20"/>
        </w:rPr>
        <w:t xml:space="preserve">Correlation Matrix: Many construction risks are correlated — if Land Acquisition stalls, both schedule and cost risks worsen simultaneously. A correlation matrix is built from expert elicitation: each pair of risks assigned a correlation coefficient (–1 to +1). Cholesky decomposition used to generate correlated random variables. Stored in D10.</w:t>
      </w:r>
    </w:p>
    <w:p>
      <w:pPr>
        <w:pStyle w:val="ListParagraph"/>
        <w:numPr>
          <w:ilvl w:val="0"/>
          <w:numId w:val="3"/>
        </w:numPr>
        <w:spacing w:before="40" w:after="40"/>
      </w:pPr>
      <w:r>
        <w:rPr>
          <w:rFonts w:ascii="Arial" w:cs="Arial" w:eastAsia="Arial" w:hAnsi="Arial"/>
          <w:color w:val="404040"/>
          <w:sz w:val="20"/>
          <w:szCs w:val="20"/>
        </w:rPr>
        <w:t xml:space="preserve">Sampling Engine (Latin Hypercube Sampling): 10,000 iterations executed using Latin Hypercube Sampling (LHS) for efficient convergence (faster than pure Monte Carlo). In each iteration, a random sample is drawn from each risk's distribution; correlated samples generated via the correlation matrix. Python SciPy / NumPy backend on NIC MeghRaj GPU cluster.</w:t>
      </w:r>
    </w:p>
    <w:p>
      <w:pPr>
        <w:pStyle w:val="ListParagraph"/>
        <w:numPr>
          <w:ilvl w:val="0"/>
          <w:numId w:val="3"/>
        </w:numPr>
        <w:spacing w:before="40" w:after="40"/>
      </w:pPr>
      <w:r>
        <w:rPr>
          <w:rFonts w:ascii="Arial" w:cs="Arial" w:eastAsia="Arial" w:hAnsi="Arial"/>
          <w:color w:val="404040"/>
          <w:sz w:val="20"/>
          <w:szCs w:val="20"/>
        </w:rPr>
        <w:t xml:space="preserve">Schedule Simulation: Each iteration applies the sampled risk impacts to the project schedule (from Module 2). CPM recalculated for each iteration to compute total schedule delay. Distribution of 10,000 completion date outcomes plotted as S-curve. P50 and P80 completion dates identified.</w:t>
      </w:r>
    </w:p>
    <w:p>
      <w:pPr>
        <w:pStyle w:val="ListParagraph"/>
        <w:numPr>
          <w:ilvl w:val="0"/>
          <w:numId w:val="3"/>
        </w:numPr>
        <w:spacing w:before="40" w:after="40"/>
      </w:pPr>
      <w:r>
        <w:rPr>
          <w:rFonts w:ascii="Arial" w:cs="Arial" w:eastAsia="Arial" w:hAnsi="Arial"/>
          <w:color w:val="404040"/>
          <w:sz w:val="20"/>
          <w:szCs w:val="20"/>
        </w:rPr>
        <w:t xml:space="preserve">Cost Simulation: Each iteration applies sampled cost impacts to the project EAC (from Module 4). Distribution of 10,000 total cost outcomes plotted. P50 and P80 cost estimates identified. Contingency recommendation = P80 cost – Deterministic EAC.</w:t>
      </w:r>
    </w:p>
    <w:p>
      <w:pPr>
        <w:pStyle w:val="ListParagraph"/>
        <w:numPr>
          <w:ilvl w:val="0"/>
          <w:numId w:val="3"/>
        </w:numPr>
        <w:spacing w:before="40" w:after="40"/>
      </w:pPr>
      <w:r>
        <w:rPr>
          <w:rFonts w:ascii="Arial" w:cs="Arial" w:eastAsia="Arial" w:hAnsi="Arial"/>
          <w:color w:val="404040"/>
          <w:sz w:val="20"/>
          <w:szCs w:val="20"/>
        </w:rPr>
        <w:t xml:space="preserve">Sensitivity (Tornado) Analysis: After all iterations, Spearman rank correlation between each risk's sampled values and the total outcome is computed. Risks sorted by absolute correlation coefficient to produce the Tornado chart — ranking risks by their contribution to overall uncertainty.</w:t>
      </w:r>
    </w:p>
    <w:p>
      <w:pPr>
        <w:pStyle w:val="ListParagraph"/>
        <w:numPr>
          <w:ilvl w:val="0"/>
          <w:numId w:val="3"/>
        </w:numPr>
        <w:spacing w:before="40" w:after="40"/>
      </w:pPr>
      <w:r>
        <w:rPr>
          <w:rFonts w:ascii="Arial" w:cs="Arial" w:eastAsia="Arial" w:hAnsi="Arial"/>
          <w:color w:val="404040"/>
          <w:sz w:val="20"/>
          <w:szCs w:val="20"/>
        </w:rPr>
        <w:t xml:space="preserve">Convergence Check: Simulation considered converged when the P50 and P80 values change &lt; 0.5% over the last 1,000 iterations. If not converged after 10,000, system runs additional 5,000-iteration batches (max 3 times). Convergence metric stored in D3.</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Monte Carlo Output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How Used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 Cost Estimate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50th percentile of cost distribution — there is a 50% chance the final cost will be at or below this value</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Reported to NICDC Finance as the 'expected' cost outcome; used in EAC calculation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 Cost Estimate</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80th percentile — 80% confidence the cost will be at or below this value</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Recommended contingency planning basis; reported to lenders and Ministry as risk-adjusted cost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 Schedule Delay</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50th percentile delay in days from scheduled completion</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Used in monthly risk dashboard; informs recovery schedule planning</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 Schedule Delay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80th percentile delay — 80% confidence delay will not exceed this value</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Used in lender milestone certificate negotiations; NICDC MD approval for schedule provisions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 Recommendation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 Cost – Deterministic EAC = recommended additional contingency provision</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Input to budget management (Module 4) for contingency adequacy assessment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Tornado Chart</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Top 10 risks ranked by contribution to cost/schedule uncertainty (Spearman rank correlation)</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Identifies which risks deserve the most mitigation investment; key input to response planning</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S-Curve (Cost &amp; Schedule)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probability distribution for total cost and completion date</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Visual tool for stakeholder communication — 'what is the probability of finishing on budget?'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7.4 — Risk Response Planning</w:t>
      </w:r>
    </w:p>
    <w:p>
      <w:pPr>
        <w:spacing w:before="80" w:after="80"/>
        <w:jc w:val="both"/>
      </w:pPr>
      <w:r>
        <w:rPr>
          <w:rFonts w:ascii="Arial" w:cs="Arial" w:eastAsia="Arial" w:hAnsi="Arial"/>
          <w:color w:val="404040"/>
          <w:sz w:val="20"/>
          <w:szCs w:val="20"/>
        </w:rPr>
        <w:t xml:space="preserve">Risk Response Planning assigns specific actions to reduce, transfer, or accept each identified risk. A well-structured response plan transforms a risk register from a passive documentation exercise into an active management tool — with named owners, clear actions, due dates, and measurable effectiveness criteria.</w:t>
      </w:r>
    </w:p>
    <w:p>
      <w:pPr>
        <w:pStyle w:val="Heading3"/>
        <w:spacing w:before="180" w:after="80"/>
      </w:pPr>
      <w:r>
        <w:rPr>
          <w:rFonts w:ascii="Arial" w:cs="Arial" w:eastAsia="Arial" w:hAnsi="Arial"/>
          <w:b/>
          <w:bCs/>
          <w:color w:val="1A3C5E"/>
          <w:sz w:val="22"/>
          <w:szCs w:val="22"/>
        </w:rPr>
        <w:t xml:space="preserve">Response Strategy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Strategy</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When to Use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Expected Outcome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Avoid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Eliminate the risk by changing the project approach, scope, or sequence to sidestep the cause entirely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When the risk probability or impact is unacceptably high and an alternative approach is feasible</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Reduces probability to near zero; may increase cost or time if scope changes are required</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Transfer</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Shift the financial consequence of the risk to a third party — through insurance, contractual back-to-back transfer, or surety bonds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When the risk is financially quantifiable and a market exists for insurance or contractual transfer</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Does not reduce probability; reduces financial impact on NICDC/Government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Mitigate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Take actions that reduce either the probability of the risk occurring or the magnitude of its impact if it does occur</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Most common strategy; applicable to risks where the cause can be influenced by NICDC actions</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Reduces probability and/or impact; requires sustained effort and monitoring</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Accept (Active)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Acknowledge the risk and prepare a contingency plan to execute if the risk is triggered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When mitigation cost exceeds expected loss; or when risk is beyond NICDC control</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remains but response is pre-planned; reduces response time when triggered</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Accept (Passive)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Acknowledge the risk and take no specific action — the risk is within acceptable tolerance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low-scoring GREEN risks; cost of management exceeds benefit</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action; risk monitored at quarterly reviews only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Exploit (Opportunities)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Actively pursue an opportunity to ensure it is realised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When a positive risk (opportunity) exists with high benefit</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Increases probability of beneficial outcome; treated with same rigour as threats</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Response plan creation: Each risk record must have at least one response action (exception: Accept Passive); response includes — Action description, Strategy type, Action owner (from OBS), Due date, Expected cost reduction (₹ Cr), Expected probability reduction (%)</w:t>
      </w:r>
    </w:p>
    <w:p>
      <w:pPr>
        <w:pStyle w:val="ListParagraph"/>
        <w:numPr>
          <w:ilvl w:val="0"/>
          <w:numId w:val="2"/>
        </w:numPr>
        <w:spacing w:before="40" w:after="40"/>
      </w:pPr>
      <w:r>
        <w:rPr>
          <w:rFonts w:ascii="Arial" w:cs="Arial" w:eastAsia="Arial" w:hAnsi="Arial"/>
          <w:color w:val="404040"/>
          <w:sz w:val="20"/>
          <w:szCs w:val="20"/>
        </w:rPr>
        <w:t xml:space="preserve">Residual risk assessment: After entering the response plan, risk owner must re-assess the risk with response in place — residual probability, residual impact, residual score — to show the expected reduction from RED to AMBER, or AMBER to GREEN</w:t>
      </w:r>
    </w:p>
    <w:p>
      <w:pPr>
        <w:pStyle w:val="ListParagraph"/>
        <w:numPr>
          <w:ilvl w:val="0"/>
          <w:numId w:val="2"/>
        </w:numPr>
        <w:spacing w:before="40" w:after="40"/>
      </w:pPr>
      <w:r>
        <w:rPr>
          <w:rFonts w:ascii="Arial" w:cs="Arial" w:eastAsia="Arial" w:hAnsi="Arial"/>
          <w:color w:val="404040"/>
          <w:sz w:val="20"/>
          <w:szCs w:val="20"/>
        </w:rPr>
        <w:t xml:space="preserve">Secondary risk identification: System prompts risk owner to consider whether the response itself introduces new secondary risks (e.g., accelerating construction to mitigate schedule risk may increase safety risk)</w:t>
      </w:r>
    </w:p>
    <w:p>
      <w:pPr>
        <w:pStyle w:val="ListParagraph"/>
        <w:numPr>
          <w:ilvl w:val="0"/>
          <w:numId w:val="2"/>
        </w:numPr>
        <w:spacing w:before="40" w:after="40"/>
      </w:pPr>
      <w:r>
        <w:rPr>
          <w:rFonts w:ascii="Arial" w:cs="Arial" w:eastAsia="Arial" w:hAnsi="Arial"/>
          <w:color w:val="404040"/>
          <w:sz w:val="20"/>
          <w:szCs w:val="20"/>
        </w:rPr>
        <w:t xml:space="preserve">Response effectiveness tracking: Monthly review question: 'Is this response being executed? Is it working?' Effectiveness score 1–5 recorded each month; declining effectiveness triggers escalation</w:t>
      </w:r>
    </w:p>
    <w:p>
      <w:pPr>
        <w:pStyle w:val="ListParagraph"/>
        <w:numPr>
          <w:ilvl w:val="0"/>
          <w:numId w:val="2"/>
        </w:numPr>
        <w:spacing w:before="40" w:after="40"/>
      </w:pPr>
      <w:r>
        <w:rPr>
          <w:rFonts w:ascii="Arial" w:cs="Arial" w:eastAsia="Arial" w:hAnsi="Arial"/>
          <w:color w:val="404040"/>
          <w:sz w:val="20"/>
          <w:szCs w:val="20"/>
        </w:rPr>
        <w:t xml:space="preserve">Contingency reserve linkage: For Accept (Active) responses, the contingency cost estimate is exported to Module 4 (Cost Management) as a contingency provision in the relevant WBS budget node</w:t>
      </w:r>
    </w:p>
    <w:p>
      <w:pPr>
        <w:pStyle w:val="ListParagraph"/>
        <w:numPr>
          <w:ilvl w:val="0"/>
          <w:numId w:val="2"/>
        </w:numPr>
        <w:spacing w:before="40" w:after="40"/>
      </w:pPr>
      <w:r>
        <w:rPr>
          <w:rFonts w:ascii="Arial" w:cs="Arial" w:eastAsia="Arial" w:hAnsi="Arial"/>
          <w:color w:val="404040"/>
          <w:sz w:val="20"/>
          <w:szCs w:val="20"/>
        </w:rPr>
        <w:t xml:space="preserve">Risk response calendar: All response actions with due dates shown as a calendar view — the 'risk action plan' equivalent of the Module 2 look-ahead schedule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7.5 — Risk Monitoring &amp; Review</w:t>
      </w:r>
    </w:p>
    <w:p>
      <w:pPr>
        <w:spacing w:before="80" w:after="80"/>
        <w:jc w:val="both"/>
      </w:pPr>
      <w:r>
        <w:rPr>
          <w:rFonts w:ascii="Arial" w:cs="Arial" w:eastAsia="Arial" w:hAnsi="Arial"/>
          <w:color w:val="404040"/>
          <w:sz w:val="20"/>
          <w:szCs w:val="20"/>
        </w:rPr>
        <w:t xml:space="preserve">Risk Monitoring is the ongoing process of tracking identified risks against their triggers, re-assessing scores as new information becomes available, and adding new risks as they emerge. IC-PMS integrates data from other modules to automate much of the trigger-watching that would otherwise rely on manual reporting.</w:t>
      </w:r>
    </w:p>
    <w:p>
      <w:pPr>
        <w:pStyle w:val="Heading3"/>
        <w:spacing w:before="180" w:after="80"/>
      </w:pPr>
      <w:r>
        <w:rPr>
          <w:rFonts w:ascii="Arial" w:cs="Arial" w:eastAsia="Arial" w:hAnsi="Arial"/>
          <w:b/>
          <w:bCs/>
          <w:color w:val="1A3C5E"/>
          <w:sz w:val="22"/>
          <w:szCs w:val="22"/>
        </w:rPr>
        <w:t xml:space="preserve">Automated Risk Triggers from Other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 Module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Condition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 Created/Updated</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SPI &lt; 0.85 for 2+ consecutive data dates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risk for that WBS package upgraded by one risk level</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alert; risk review scheduled</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path activity with Total Float = 0 and not complete</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risk linked to critical activities flagged RED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notification; recovery schedule request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Encroachment alert (construction outside DPR boundary)</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Regulatory/compliance risk created automatically</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Legal alert; risk escalated to AMBER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Idle Zone detected (no construction activity for 14+ days)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risk for that package upgraded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review; contractor performance letter triggered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vegetation loss &gt; EC clearance limit</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risk created</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Environment Cell; MoEFCC notification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Package CPI &lt; 0.85 for 2+ data dates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risk for that package created/upgraded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 alert; contingency drawdown evaluation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VO value &gt; 8% of LOA (approaching GFR limit)</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Scope creep risk flagged</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PM review; VO justification scrutiny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performance scorecard &lt; 60 for 2 months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default risk upgraded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escalation; NICDC programme director alert</w:t>
            </w:r>
          </w:p>
        </w:tc>
      </w:tr>
    </w:tbl>
    <w:p>
      <w:pPr>
        <w:pStyle w:val="Heading3"/>
        <w:spacing w:before="180" w:after="80"/>
      </w:pPr>
      <w:r>
        <w:rPr>
          <w:rFonts w:ascii="Arial" w:cs="Arial" w:eastAsia="Arial" w:hAnsi="Arial"/>
          <w:b/>
          <w:bCs/>
          <w:color w:val="1A3C5E"/>
          <w:sz w:val="22"/>
          <w:szCs w:val="22"/>
        </w:rPr>
        <w:t xml:space="preserve">Monthly Risk Review Process</w:t>
      </w:r>
    </w:p>
    <w:p>
      <w:pPr>
        <w:pStyle w:val="ListParagraph"/>
        <w:numPr>
          <w:ilvl w:val="0"/>
          <w:numId w:val="2"/>
        </w:numPr>
        <w:spacing w:before="40" w:after="40"/>
      </w:pPr>
      <w:r>
        <w:rPr>
          <w:rFonts w:ascii="Arial" w:cs="Arial" w:eastAsia="Arial" w:hAnsi="Arial"/>
          <w:color w:val="404040"/>
          <w:sz w:val="20"/>
          <w:szCs w:val="20"/>
        </w:rPr>
        <w:t xml:space="preserve">Data date advance in Module 2 triggers a weekly automated risk score refresh — pulling latest SPI, CPI, satellite anomaly flags, and scorecard data and updating risk ratings accordingly</w:t>
      </w:r>
    </w:p>
    <w:p>
      <w:pPr>
        <w:pStyle w:val="ListParagraph"/>
        <w:numPr>
          <w:ilvl w:val="0"/>
          <w:numId w:val="2"/>
        </w:numPr>
        <w:spacing w:before="40" w:after="40"/>
      </w:pPr>
      <w:r>
        <w:rPr>
          <w:rFonts w:ascii="Arial" w:cs="Arial" w:eastAsia="Arial" w:hAnsi="Arial"/>
          <w:color w:val="404040"/>
          <w:sz w:val="20"/>
          <w:szCs w:val="20"/>
        </w:rPr>
        <w:t xml:space="preserve">Monthly risk workshop (first week of each month): All AMBER and RED risks reviewed by PMC Risk Lead, SPV PM, and relevant work package owners; scores updated; response effectiveness assessed; new risks added</w:t>
      </w:r>
    </w:p>
    <w:p>
      <w:pPr>
        <w:pStyle w:val="ListParagraph"/>
        <w:numPr>
          <w:ilvl w:val="0"/>
          <w:numId w:val="2"/>
        </w:numPr>
        <w:spacing w:before="40" w:after="40"/>
      </w:pPr>
      <w:r>
        <w:rPr>
          <w:rFonts w:ascii="Arial" w:cs="Arial" w:eastAsia="Arial" w:hAnsi="Arial"/>
          <w:color w:val="404040"/>
          <w:sz w:val="20"/>
          <w:szCs w:val="20"/>
        </w:rPr>
        <w:t xml:space="preserve">Rolling risk forecast: Monte Carlo simulation re-run monthly with updated risk data; P50/P80 trend charts updated; if P80 cost estimate increases by &gt; ₹ 100 Cr month-on-month, automatic escalation to NICDC Finance Director</w:t>
      </w:r>
    </w:p>
    <w:p>
      <w:pPr>
        <w:pStyle w:val="ListParagraph"/>
        <w:numPr>
          <w:ilvl w:val="0"/>
          <w:numId w:val="2"/>
        </w:numPr>
        <w:spacing w:before="40" w:after="40"/>
      </w:pPr>
      <w:r>
        <w:rPr>
          <w:rFonts w:ascii="Arial" w:cs="Arial" w:eastAsia="Arial" w:hAnsi="Arial"/>
          <w:color w:val="404040"/>
          <w:sz w:val="20"/>
          <w:szCs w:val="20"/>
        </w:rPr>
        <w:t xml:space="preserve">New risk capture protocol: Any team member can raise a new risk via the IC-PMS mobile app or web form at any time; new risks appear in the Draft status pending PMC Risk Lead assessment within 5 working days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7.6 — Risk Trigger &amp; Escalation Management</w:t>
      </w:r>
    </w:p>
    <w:p>
      <w:pPr>
        <w:spacing w:before="80" w:after="80"/>
        <w:jc w:val="both"/>
      </w:pPr>
      <w:r>
        <w:rPr>
          <w:rFonts w:ascii="Arial" w:cs="Arial" w:eastAsia="Arial" w:hAnsi="Arial"/>
          <w:color w:val="404040"/>
          <w:sz w:val="20"/>
          <w:szCs w:val="20"/>
        </w:rPr>
        <w:t xml:space="preserve">Risk Trigger Management defines the specific, observable events that signal a risk is becoming active — and automates the escalation workflow when triggers are breached. Predefined triggers convert the risk register from a static document into a live early warning system.</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Trigger definition: For each AMBER and RED risk, the risk owner must define at least one trigger condition — a specific, measurable event that indicates the risk is materialising (e.g., 'LA parcel count below 80% by 31 March 2026'; 'Contractor advance recovery stops for 2+ months')</w:t>
      </w:r>
    </w:p>
    <w:p>
      <w:pPr>
        <w:pStyle w:val="ListParagraph"/>
        <w:numPr>
          <w:ilvl w:val="0"/>
          <w:numId w:val="2"/>
        </w:numPr>
        <w:spacing w:before="40" w:after="40"/>
      </w:pPr>
      <w:r>
        <w:rPr>
          <w:rFonts w:ascii="Arial" w:cs="Arial" w:eastAsia="Arial" w:hAnsi="Arial"/>
          <w:color w:val="404040"/>
          <w:sz w:val="20"/>
          <w:szCs w:val="20"/>
        </w:rPr>
        <w:t xml:space="preserve">Automatic trigger monitoring: System checks Module 2/3/4/5 data daily against trigger conditions registered in D6 (Trigger/Alert Log); trigger breach generates immediate system alert</w:t>
      </w:r>
    </w:p>
    <w:p>
      <w:pPr>
        <w:pStyle w:val="ListParagraph"/>
        <w:numPr>
          <w:ilvl w:val="0"/>
          <w:numId w:val="2"/>
        </w:numPr>
        <w:spacing w:before="40" w:after="40"/>
      </w:pPr>
      <w:r>
        <w:rPr>
          <w:rFonts w:ascii="Arial" w:cs="Arial" w:eastAsia="Arial" w:hAnsi="Arial"/>
          <w:color w:val="404040"/>
          <w:sz w:val="20"/>
          <w:szCs w:val="20"/>
        </w:rPr>
        <w:t xml:space="preserve">Escalation matrix: RED risks trigger immediate (same-day) notification to SPV Director; Crimson-level risks (P5×I5 score 25) trigger NICDC MD notification within 4 hours; unresolved triggers within 7 days auto-escalate to Ministry</w:t>
      </w:r>
    </w:p>
    <w:p>
      <w:pPr>
        <w:pStyle w:val="ListParagraph"/>
        <w:numPr>
          <w:ilvl w:val="0"/>
          <w:numId w:val="2"/>
        </w:numPr>
        <w:spacing w:before="40" w:after="40"/>
      </w:pPr>
      <w:r>
        <w:rPr>
          <w:rFonts w:ascii="Arial" w:cs="Arial" w:eastAsia="Arial" w:hAnsi="Arial"/>
          <w:color w:val="404040"/>
          <w:sz w:val="20"/>
          <w:szCs w:val="20"/>
        </w:rPr>
        <w:t xml:space="preserve">Trigger acknowledgement: Each trigger alert must be acknowledged by the risk owner within 24 hours; non-acknowledgement escalates to supervisor; chronic non-response triggers system flag on that risk owner's performance record</w:t>
      </w:r>
    </w:p>
    <w:p>
      <w:pPr>
        <w:pStyle w:val="ListParagraph"/>
        <w:numPr>
          <w:ilvl w:val="0"/>
          <w:numId w:val="2"/>
        </w:numPr>
        <w:spacing w:before="40" w:after="40"/>
      </w:pPr>
      <w:r>
        <w:rPr>
          <w:rFonts w:ascii="Arial" w:cs="Arial" w:eastAsia="Arial" w:hAnsi="Arial"/>
          <w:color w:val="404040"/>
          <w:sz w:val="20"/>
          <w:szCs w:val="20"/>
        </w:rPr>
        <w:t xml:space="preserve">Contingency plan activation: When a risk is triggered, the pre-defined contingency plan (from Response Planning — Accept Active strategy) is surfaced for immediate execution; actions marked URGENT in risk action register</w:t>
      </w:r>
    </w:p>
    <w:p>
      <w:pPr>
        <w:pStyle w:val="ListParagraph"/>
        <w:numPr>
          <w:ilvl w:val="0"/>
          <w:numId w:val="2"/>
        </w:numPr>
        <w:spacing w:before="40" w:after="40"/>
      </w:pPr>
      <w:r>
        <w:rPr>
          <w:rFonts w:ascii="Arial" w:cs="Arial" w:eastAsia="Arial" w:hAnsi="Arial"/>
          <w:color w:val="404040"/>
          <w:sz w:val="20"/>
          <w:szCs w:val="20"/>
        </w:rPr>
        <w:t xml:space="preserve">Near-miss recording: Events that could have triggered a risk but did not (near-misses) recorded for lessons learned purposes — building NICDC's institutional knowledge of risk patterns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7.7 — Opportunity Register</w:t>
      </w:r>
    </w:p>
    <w:p>
      <w:pPr>
        <w:spacing w:before="80" w:after="80"/>
        <w:jc w:val="both"/>
      </w:pPr>
      <w:r>
        <w:rPr>
          <w:rFonts w:ascii="Arial" w:cs="Arial" w:eastAsia="Arial" w:hAnsi="Arial"/>
          <w:color w:val="404040"/>
          <w:sz w:val="20"/>
          <w:szCs w:val="20"/>
        </w:rPr>
        <w:t xml:space="preserve">Opportunities are positive risks — uncertain events that, if they occur, would benefit the project through cost savings, schedule acceleration, or enhanced deliverables. IC-PMS tracks opportunities with equal rigour as threats, ensuring that value-enhancing possibilities are systematically pursued rather than left to chance.</w:t>
      </w:r>
    </w:p>
    <w:p>
      <w:pPr>
        <w:pStyle w:val="Heading3"/>
        <w:spacing w:before="180" w:after="80"/>
      </w:pPr>
      <w:r>
        <w:rPr>
          <w:rFonts w:ascii="Arial" w:cs="Arial" w:eastAsia="Arial" w:hAnsi="Arial"/>
          <w:b/>
          <w:bCs/>
          <w:color w:val="1A3C5E"/>
          <w:sz w:val="22"/>
          <w:szCs w:val="22"/>
        </w:rPr>
        <w:t xml:space="preserve">Opportunity Types for Industrial Corridors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Opportunity Type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Benefit Range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Exploit Strategy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Value Engineering</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Alternative material or method that achieves same specification at lower cost (e.g., HDPE pipe instead of DI for non-pressure applications)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0.5–5% of package cost</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PMC-led VE workshop; SPV Director approval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Acceleration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Fast-tracking two sequential activities that can be partially overlapped; reduces total duration</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2–8 weeks</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increase; overtime; revised phasing</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Market Opportunity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Steel prices fall significantly below DPR estimate; opportunity to lock in forward rates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2–10% of structural package cost</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 rate negotiation with contractor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Technology Enhancement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construction technology (e.g., precast elements instead of in-situ) reduces time and improves quality</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5–15% schedule; 2–5% cost</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feasibility study; SPV Director approval</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Favourable LA Resolution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Landowners accept enhanced compensation voluntarily before legal timeline</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Saves 30–90 days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Community engagement; early payment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 Infrastructure Bonus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Exceeding green building / sustainability targets earns developer incentives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50–200 Cr at node level</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sustainability team; BEE/GBC compliance</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Opportunity registration: Same form as risk registration with different framing — 'What positive event could happen?' instead of 'What could go wrong?'; probability, benefit estimate (cost saving ₹ Cr, schedule acceleration days), and exploit strategy required</w:t>
      </w:r>
    </w:p>
    <w:p>
      <w:pPr>
        <w:pStyle w:val="ListParagraph"/>
        <w:numPr>
          <w:ilvl w:val="0"/>
          <w:numId w:val="2"/>
        </w:numPr>
        <w:spacing w:before="40" w:after="40"/>
      </w:pPr>
      <w:r>
        <w:rPr>
          <w:rFonts w:ascii="Arial" w:cs="Arial" w:eastAsia="Arial" w:hAnsi="Arial"/>
          <w:color w:val="404040"/>
          <w:sz w:val="20"/>
          <w:szCs w:val="20"/>
        </w:rPr>
        <w:t xml:space="preserve">Opportunity scoring: Opportunity Score = Probability × Benefit; high-scoring opportunities (score &gt; 12) appear in the Opportunity Prioritisation dashboard with recommended exploit actions</w:t>
      </w:r>
    </w:p>
    <w:p>
      <w:pPr>
        <w:pStyle w:val="ListParagraph"/>
        <w:numPr>
          <w:ilvl w:val="0"/>
          <w:numId w:val="2"/>
        </w:numPr>
        <w:spacing w:before="40" w:after="40"/>
      </w:pPr>
      <w:r>
        <w:rPr>
          <w:rFonts w:ascii="Arial" w:cs="Arial" w:eastAsia="Arial" w:hAnsi="Arial"/>
          <w:color w:val="404040"/>
          <w:sz w:val="20"/>
          <w:szCs w:val="20"/>
        </w:rPr>
        <w:t xml:space="preserve">Value Engineering tracker: Approved VE proposals tracked through implementation — VE proposal → PMC review → SPV approval → BOQ amendment → actual saving realised → Module 4 budget credit</w:t>
      </w:r>
    </w:p>
    <w:p>
      <w:pPr>
        <w:pStyle w:val="ListParagraph"/>
        <w:numPr>
          <w:ilvl w:val="0"/>
          <w:numId w:val="2"/>
        </w:numPr>
        <w:spacing w:before="40" w:after="40"/>
      </w:pPr>
      <w:r>
        <w:rPr>
          <w:rFonts w:ascii="Arial" w:cs="Arial" w:eastAsia="Arial" w:hAnsi="Arial"/>
          <w:color w:val="404040"/>
          <w:sz w:val="20"/>
          <w:szCs w:val="20"/>
        </w:rPr>
        <w:t xml:space="preserve">Opportunity realisation rate KPI: Percentage of identified opportunities that were successfully exploited and delivered their projected benefit — tracked monthly as a measure of proactive risk management culture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7.8 — Risk Reporting</w:t>
      </w:r>
    </w:p>
    <w:p>
      <w:pPr>
        <w:spacing w:before="80" w:after="80"/>
        <w:jc w:val="both"/>
      </w:pPr>
      <w:r>
        <w:rPr>
          <w:rFonts w:ascii="Arial" w:cs="Arial" w:eastAsia="Arial" w:hAnsi="Arial"/>
          <w:color w:val="404040"/>
          <w:sz w:val="20"/>
          <w:szCs w:val="20"/>
        </w:rPr>
        <w:t xml:space="preserve">Risk Reporting converts the rich risk data in Module 7 into actionable intelligence for different stakeholder audiences — from the site team's weekly risk action list to the Ministry's quarterly programme risk summary. Reports are auto-generated from Module 7 data and distributed through Module 9 (Reporting) and Module 6 (DMS).</w:t>
      </w:r>
    </w:p>
    <w:p>
      <w:pPr>
        <w:pStyle w:val="Heading3"/>
        <w:spacing w:before="180" w:after="80"/>
      </w:pPr>
      <w:r>
        <w:rPr>
          <w:rFonts w:ascii="Arial" w:cs="Arial" w:eastAsia="Arial" w:hAnsi="Arial"/>
          <w:b/>
          <w:bCs/>
          <w:color w:val="1A3C5E"/>
          <w:sz w:val="22"/>
          <w:szCs w:val="22"/>
        </w:rPr>
        <w:t xml:space="preserve">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Report Name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Frequency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Content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Risk Report (MRR)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 5th of month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SPV Director / PMC</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register summary (RED/AMBER/GREEN counts), heat map, top 10 risks, P80 cost/schedule from MC, response plan status, new risks, closed risks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Risk Flash</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 Monday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PMC Risk Lead</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Risks with trigger events this week; risks with overdue response actions; newly triggered risks; Monte Carlo delta from last week</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Quarterly Refresh</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 Lenders / Ministry</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MC results: P50/P80 cost and schedule, tornado chart, sensitivity analysis, contingency adequacy assessment, comparison with previous quarter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Risk Escalation Report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trigger (within 24 hrs)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 Ministry</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Single-risk deep-dive: risk description, impact analysis, trigger event, response options, decision required from NICDC MD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Risk Heatmap</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with MRR</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Ministry</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GIS-based corridor map with risk heat overlay — colour-coded by risk exposure per node; satellite integration showing physical risk indicators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Lessons Learned Quarterly</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future project teams / NICDC PMO</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Closed risks from past quarter with lessons, applicable future corridors, recommended RBS additions</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presents Module 7 as the Risk Management Engine (Process 7.0) receiving WBS scope from Module 1, schedule and EVM performance signals from Module 2, satellite anomaly data from Module 3, and PMC/SPV risk inputs. It outputs risk ratings, escalation alerts, and P50/P80 Monte Carlo results to all programme stakeholders.</w:t>
      </w:r>
    </w:p>
    <w:p>
      <w:pPr>
        <w:spacing w:before="120" w:after="60"/>
        <w:jc w:val="center"/>
      </w:pPr>
      <w:r>
        <w:drawing>
          <wp:inline distT="0" distB="0" distL="0" distR="0">
            <wp:extent cx="6000750" cy="3857625"/>
            <wp:effectExtent t="0" r="0" b="0" l="0"/>
            <wp:docPr id="1" name="Figure 3.1 — DFD Level 0: Module 7 Context Diagram (Schedule, Satellite, Cost, PMC Inputs; MC Engine; NICDC/Ministry Escalations)" descr="Figure 3.1 — DFD Level 0: Module 7 Context Diagram (Schedule, Satellite, Cost, PMC Inputs; MC Engine; NICDC/Ministry Escalations)" title="Figure 3.1 — DFD Level 0: Module 7 Context Diagram (Schedule, Satellite, Cost, PMC Inputs; MC Engine; NICDC/Ministry Esca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7 Context Diagram (Schedule, Satellite, Cost, PMC Inputs; MC Engine; NICDC/Ministry Escalations)</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7</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7</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 Engine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scope hierarchy for risk linkage; Project phases for risk category relevance filtering</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Risk-to-WBS links; risk count per WBS element for dashboard overlay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Schedule/EVM</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SPI/CPI values per package; Total Float on critical activities; Data date for trigger checking</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risk score adjustments; P80 schedule delay input to Module 2 look-ahead; CP risk flags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anomaly alerts (encroachment, idle zone, NDVI excess); AI progress discrepancy flags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triggers activated by satellite; risk records auto-created from satellite alerts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Risk Team</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risk identification; qualitative assessment scores; response plan updates; monthly review decisions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register with RED/AMBER/GREEN ratings; response action assignments; trigger alerts; MC P80 estimates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Ministry</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Policy gates on escalated RED risks; escalation approval decisions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and Crimson risk escalation alerts; weekly flash reports; MC quarterly disclosure; programme heat map</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generation requests; distribution list</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Risk Report PDF; Heat map visuals; Lessons Learned digest; MC Quarterly Report</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Engine (internal)</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distribution parameters; correlation matrix; schedule network from Module 2</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10,000-iteration P50/P80 outputs; Tornado chart; S-curve for cost and schedule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shows eight core risk management processes and eight data stores spanning the full risk lifecycle — from identification through qualitative assessment, Monte Carlo quantification, response planning, monitoring, trigger escalation, opportunity tracking, and reporting.</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and 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Function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Stores</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Identification</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Captures new risks from multiple sources (workshops, checklists, Module 2/3/4/5 triggers, analogous projects)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Risk Register</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Qualitative Assessment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Scores risk probability and impact on 5×5 matrix; computes risk rating (Crimson/Red/Amber/Green)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Risk Register, D2 Assessment Store</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Quantitative Monte Carlo</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Runs 10,000-iteration simulation; generates P50/P80 cost and schedule; produces Tornado sensitivity chart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MC Results, D9 Distributions, D10 Correlations</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Response Planning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Assigns Avoid/Transfer/Mitigate/Accept strategies; sets action owners and due dates; links contingency to Module 4</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Response Plan</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Monitoring &amp; Review</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Tracks risk status; updates scores from Module 2/3/4 data; refreshes MC monthly; identifies new risks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Risk Log</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 &amp; Escalation</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Monitors predefined triggers; fires escalation alerts; manages contingency plan activation; records near-misses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Trigger/Alert Log</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7.7</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Opportunity Register</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Tracks positive risks; manages VE proposals; measures opportunity realisation rate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Opportunity Store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7.8</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Reporting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Auto-generates MRR, Weekly Flash, MC Quarterly, RED escalation reports; distributes via Module 9</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Risk Reports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7.3: Monte Carlo Engine (Exploded)</w:t>
      </w:r>
    </w:p>
    <w:p>
      <w:pPr>
        <w:spacing w:before="80" w:after="80"/>
        <w:jc w:val="both"/>
      </w:pPr>
      <w:r>
        <w:rPr>
          <w:rFonts w:ascii="Arial" w:cs="Arial" w:eastAsia="Arial" w:hAnsi="Arial"/>
          <w:color w:val="404040"/>
          <w:sz w:val="20"/>
          <w:szCs w:val="20"/>
        </w:rPr>
        <w:t xml:space="preserve">The Level 2 DFD drills into the Monte Carlo Engine — the most computationally intensive and analytically sophisticated process in IC-PMS. Eight sub-processes cover the complete simulation pipeline from risk input extraction through distribution fitting, correlation matrix application, Latin Hypercube sampling, schedule and cost simulation, sensitivity analysis, and P50/P80 output with a convergence check decision diamond.</w:t>
      </w:r>
    </w:p>
    <w:p>
      <w:pPr>
        <w:spacing w:before="120" w:after="60"/>
        <w:jc w:val="center"/>
      </w:pPr>
      <w:r>
        <w:drawing>
          <wp:inline distT="0" distB="0" distL="0" distR="0">
            <wp:extent cx="6000750" cy="3752850"/>
            <wp:effectExtent t="0" r="0" b="0" l="0"/>
            <wp:docPr id="1" name="Figure 3.3 — DFD Level 2: Process 7.3 Monte Carlo Engine — 8 Sub-Processes with Convergence Decision Diamond" descr="Figure 3.3 — DFD Level 2: Process 7.3 Monte Carlo Engine — 8 Sub-Processes with Convergence Decision Diamond" title="Figure 3.3 — DFD Level 2: Process 7.3 Monte Carlo Engine — 8 Sub-Processes with Convergence Decision 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7.3 Monte Carlo Engine — 8 Sub-Processes with Convergence Decision Diamond</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Input Extraction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Reads all AMBER and RED risks from D1 (Risk Register) and their three-point impact estimates (O, M, P) from D2 (Assessment Store). Validates completeness — risks without three-point estimates flagged for risk owner input before simulation can proceed.</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Distribution Fitting</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Fits each risk's O, M, P estimates to an appropriate statistical distribution: PERT-Beta (default for symmetric risks), Triangular (for uniform uncertainty), Lognormal (for cost escalation risks with positive skew). Distribution parameters (alpha, beta, min, max) stored in D9.</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Correlation Matrix</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Reads the expert-defined correlation coefficients between risk pairs from D10. Applies Cholesky decomposition to the correlation matrix to generate a valid covariance structure. Validates that the matrix is positive semi-definite; if not, applies nearest positive semi-definite correction automatically.</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Sampling Engine (LHS)</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Executes Latin Hypercube Sampling: divides the probability range [0,1] into N equal strata (N = iterations / 10); samples once from each stratum per risk; shuffles samples to produce uncorrelated starting values; applies Iman-Conover method to impose the target correlation structure from the matrix.</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Simulation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each of 10,000 iterations: applies sampled risk schedule impacts (in days) to the Module 2 CPM network. Re-runs CPM forward/backward pass. Records total project delay in days. Generates frequency histogram of 10,000 delay outcomes. P50 = median delay; P80 = 80th percentile delay.</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Simulation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each iteration: applies sampled risk cost impacts (in ₹ Cr) to the deterministic EAC from Module 4. Applies correlation structure so that high cost and high schedule outcomes co-occur for correlated risks. Records total cost outcome. P50 = median cost; P80 = 80th percentile cost. Contingency recommendation = P80 – deterministic EAC.</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Sensitivity Tornado</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Spearman rank correlation between each risk's 10,000 sampled values and the total cost outcome. Risks sorted descending by absolute correlation. Top 10 risks form the Tornado chart — visualising which risks contribute most to total uncertainty. Stored in D11 Sensitivity Output.</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7.3.8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P50/P80 Output &amp; Convergence</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Checks convergence: if P50 and P80 change &lt; 0.5% over last 1,000 iterations → converged → write final results to D3 (MC Results). If not converged → run additional 5,000 iterations (decision diamond loops back to sampling). Maximum 3 extension batches (35,000 total iterations). Convergence metric and run timestamp stored.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7 master data model contains twelve entities. The Risk Register is the central entity; Risk Assessment, Monte Carlo Result, and Risk Response are its primary analytical outputs. The Risk Log, Trigger/Escalation Log, Sensitivity Record, and Lessons Learned provide the governance and institutional learning layer. Risk Category Master and Risk Matrix Config are the configuration entities that shape the entire risk management framework.</w:t>
      </w:r>
    </w:p>
    <w:p>
      <w:pPr>
        <w:spacing w:before="120" w:after="60"/>
        <w:jc w:val="center"/>
      </w:pPr>
      <w:r>
        <w:drawing>
          <wp:inline distT="0" distB="0" distL="0" distR="0">
            <wp:extent cx="6000750" cy="3752850"/>
            <wp:effectExtent t="0" r="0" b="0" l="0"/>
            <wp:docPr id="1" name="Figure 4.1 — Master Data Entity Relationship Overview (Module 7 — Risk Management)" descr="Figure 4.1 — Master Data Entity Relationship Overview (Module 7 — Risk Management)" title="Figure 4.1 — Master Data Entity Relationship Overview (Module 7 — Risk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7 — Risk Management)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WBS Element — scope the risk belongs to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risk_code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unique code (RISK-{Corridor}-{Seq}) e.g. RISK-DMIC-047</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risk_title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concise one-line risk title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risk_description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full description of risk cause, event, and effect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risk_category_id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Risk Category Master — one of 9 categories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probability_score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DECIMAL(3,2) — 0.0 to 1.0 probability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probability_rating</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Very_Low / Low / Medium / High / Very_High</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impact_cost_cr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most likely cost impact in INR Crore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impact_schedule_days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most likely schedule impact in days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impact_rating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Very_Low / Low / Medium / High / Very_High</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1–25; computed: probability_rating × impact_rating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risk_rating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Green / Amber / Red / Crimson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response_strategy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Avoid / Transfer / Mitigate / Accept_Active / Accept_Passive / Exploit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risk_owner_id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accountable for risk monitoring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action_owner_id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responsible for executing response actions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risk_source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Workshop / Checklist / Module2_Trigger / Module3_Trigger / Module4_Trigger / Module5_Trigger / Analogous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Active / Triggered / Mitigated / Closed / Transferred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created_date / last_reviewed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creation and most recent review dates</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Risk Assessment (Quantitative Three-Point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assess_id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Risk Register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assessment_date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when this assessment was conducted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probability_score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DECIMAL(3,2) — probability used in Monte Carlo (may differ from qualitative)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impact_cost_optimistic</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O: best case cost impact (₹ Cr)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impact_cost_most_likely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M: most likely cost impact (₹ Cr)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impact_cost_pessimistic</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P: worst case cost impact (₹ Cr)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impact_sched_optimistic</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O: best case schedule impact (days)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impact_sched_most_likely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M: most likely schedule impact (days)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impact_sched_pessimistic</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P: worst case schedule impact (days)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distribution_type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PERT_Beta / Triangular / Lognormal / Uniform</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P × M_impact normalised to 0–25 scale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assessed_by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is_current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is the most recent assessment for the risk</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Monte Carlo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scope of the simulation (project/node/corridor)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the simulation was executed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iterations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total iterations run (typically 10,000)</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convergence_pct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convergence metric at final iteration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risks_included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count of AMBER+ risks included in simulation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p10_cost_cr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10th percentile total cost (₹ Cr)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p50_cost_cr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50th percentile total cost (₹ Cr)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p80_cost_cr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80th percentile total cost (₹ Cr)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p90_cost_cr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90th percentile total cost (₹ Cr)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deterministic_eac_cr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EAC from Module 4 at run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contingency_rec_cr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recommended contingency = p80_cost_cr – deterministic_eac_cr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p50_sched_days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50th percentile schedule delay (days)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p80_sched_days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80th percentile schedule delay (days)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mean_cost_cr / std_dev_cr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statistical mean and standard deviation of cost outcomes</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Risk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Risk Register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response_type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Avoid / Transfer / Mitigate / Accept_Active / Accept_Passive / Exploit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action_description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specific action to be taken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action_owner_id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person responsible for executing the action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due_date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target completion date for the action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expected_prob_reduction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DECIMAL(3,2) — expected reduction in probability if action is executed (0.0 to 1.0)</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expected_cost_reduction_cr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expected reduction in cost impact (₹ Cr)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expected_sched_reduction_days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expected reduction in schedule impact (days)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residual_risk_score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expected risk score after response (1–25)</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contingency_budget_cr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for Accept Active: contingency provision exported to Module 4</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action_status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Planned / In_Progress / Completed / Deferred / Ineffective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effectiveness_score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1–5 — monthly effectiveness rating by risk owner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secondary_risk_id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Risk Register — if response creates a secondary risk</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Trigger &amp; Escalation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Risk Register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Manual / Module2_SPI / Module2_Float / Module3_Satellite / Module3_NDVI / Module4_CPI / Module4_VO / Module5_Scorecard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trigger_description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description of the specific trigger condition breached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the trigger was detected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trigger_severity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Watch / Warning / Alert / Emergency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source_data_value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the specific value that breached the threshold (e.g. 'SPI = 0.82')</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escalated_to_user_id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who was notified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escalation notification was sent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acknowledgement_date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risk owner acknowledged; NULL if pending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contingency_activated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contingency plan was activated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resolution_notes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how the trigger was resolved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resolved_date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Risk Register — the closed risk this lesson derives from</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lesson_title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concise lesson title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lesson_detail</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full description: what happened, why, what was the response, what would be done differently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risk_category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Risk Category Master — category for future filtering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applicable_corridors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which other corridors should note this lesson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reuse_flag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lesson has been used in another project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Process / Technical / Commercial / Stakeholder / Environmental</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impact_if_applied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expected benefit if lesson is applied to future projects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approved_by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PMC Risk Lead / NICDC PMO</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Project Master — the project this lesson came from</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7 delivers five primary screens. The module uses crimson (#B71C1C) as its identity colour — evoking urgency and the importance of risk vigilance. The design philosophy for Module 7 is 'surfacing what matters' — RED and Crimson risks are immediately visible on every screen, the Monte Carlo S-curve is available in two clicks from anywhere, and risk owners have no ambiguity about what actions are required of them and by when.</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Risk Management Dashboard</w:t>
      </w:r>
    </w:p>
    <w:p>
      <w:pPr>
        <w:spacing w:before="80" w:after="80"/>
        <w:jc w:val="both"/>
      </w:pPr>
      <w:r>
        <w:rPr>
          <w:rFonts w:ascii="Arial" w:cs="Arial" w:eastAsia="Arial" w:hAnsi="Arial"/>
          <w:color w:val="404040"/>
          <w:sz w:val="20"/>
          <w:szCs w:val="20"/>
        </w:rPr>
        <w:t xml:space="preserve">The Dashboard is the programme-level risk status overview — designed for NICDC Programme Directors and SPV Directors to get an instant, colour-coded picture of where the risks are and whether they are getting better or worse. The 5×5 heat map, RED risk list, and 6-month trend chart are the three most important elements.</w:t>
      </w:r>
    </w:p>
    <w:p>
      <w:pPr>
        <w:spacing w:before="120" w:after="60"/>
        <w:jc w:val="center"/>
      </w:pPr>
      <w:r>
        <w:drawing>
          <wp:inline distT="0" distB="0" distL="0" distR="0">
            <wp:extent cx="6000750" cy="3752850"/>
            <wp:effectExtent t="0" r="0" b="0" l="0"/>
            <wp:docPr id="1" name="Figure 5.1 — Risk Dashboard (KPI Cards, 5×5 Heat Map with Risk Counts, Top RED Risks, 6-Month Trend Chart)" descr="Figure 5.1 — Risk Dashboard (KPI Cards, 5×5 Heat Map with Risk Counts, Top RED Risks, 6-Month Trend Chart)" title="Figure 5.1 — Risk Dashboard (KPI Cards, 5×5 Heat Map with Risk Counts, Top RED Risks, 6-Month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Risk Dashboard (KPI Cards, 5×5 Heat Map with Risk Counts, Top RED Risks, 6-Month Trend Chart)</w:t>
      </w:r>
    </w:p>
    <w:p>
      <w:pPr>
        <w:pStyle w:val="Heading3"/>
        <w:spacing w:before="180" w:after="80"/>
      </w:pPr>
      <w:r>
        <w:rPr>
          <w:rFonts w:ascii="Arial" w:cs="Arial" w:eastAsia="Arial" w:hAnsi="Arial"/>
          <w:b/>
          <w:bCs/>
          <w:color w:val="1A3C5E"/>
          <w:sz w:val="22"/>
          <w:szCs w:val="22"/>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Cards (4 — top row)</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Risks count, AMBER Risks count, P80 Cost Overrun (₹ Cr from MC), P80 Schedule Delay (days from MC). Colour-coded: crimson for RED, amber for AMBER.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RED/AMBER cards to open Risk Register filtered to that rating; click MC cards to open Monte Carlo screen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5×5 Heat Map (left)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Interactive probability-impact matrix with risk count per cell. Cells colour-coded: deep red = top-right (critical), green = bottom-left (low). Risk count shown as large number in each cell.</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cell to see the list of risks in that cell; hover for cell definition (e.g. 'P4×I4 = 16: High Risk')</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Top RED Risks List (right)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6 highest-priority RED/Crimson risks with: Risk ID, title, category, P×I score badge, owner, age in days, trend arrow</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risk row to open Risk Detail screen (Screen 4); trend arrow (↑/↓/→) shows whether risk is worsening, improving, or stable this month</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6-Month Risk Trend (bottom)</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Line chart showing count of RED, AMBER, GREEN risks each month. Rising RED line = programme risk is increasing.</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Hover for monthly counts; click month to see snapshot of risk register at that date (historical view)</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Risk Register</w:t>
      </w:r>
    </w:p>
    <w:p>
      <w:pPr>
        <w:spacing w:before="80" w:after="80"/>
        <w:jc w:val="both"/>
      </w:pPr>
      <w:r>
        <w:rPr>
          <w:rFonts w:ascii="Arial" w:cs="Arial" w:eastAsia="Arial" w:hAnsi="Arial"/>
          <w:color w:val="404040"/>
          <w:sz w:val="20"/>
          <w:szCs w:val="20"/>
        </w:rPr>
        <w:t xml:space="preserve">The Risk Register is the operational view of all risks — a sortable, filterable, paginated table of every risk in the programme with all key attributes visible at a glance. This is the screen PMC Risk Leads work in daily — updating assessments, tracking response progress, and managing the risk review cycle.</w:t>
      </w:r>
    </w:p>
    <w:p>
      <w:pPr>
        <w:spacing w:before="120" w:after="60"/>
        <w:jc w:val="center"/>
      </w:pPr>
      <w:r>
        <w:drawing>
          <wp:inline distT="0" distB="0" distL="0" distR="0">
            <wp:extent cx="6000750" cy="3600450"/>
            <wp:effectExtent t="0" r="0" b="0" l="0"/>
            <wp:docPr id="1" name="Figure 5.2 — Risk Register (Status Filter Tabs, Risk Rows with RAG Stripe, Trend Arrows, Detail Panel)" descr="Figure 5.2 — Risk Register (Status Filter Tabs, Risk Rows with RAG Stripe, Trend Arrows, Detail Panel)" title="Figure 5.2 — Risk Register (Status Filter Tabs, Risk Rows with RAG Stripe, Trend Arrows, Detai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Risk Register (Status Filter Tabs, Risk Rows with RAG Stripe, Trend Arrows, Detail Panel)</w:t>
      </w:r>
    </w:p>
    <w:p>
      <w:pPr>
        <w:pStyle w:val="Heading3"/>
        <w:spacing w:before="180" w:after="80"/>
      </w:pPr>
      <w:r>
        <w:rPr>
          <w:rFonts w:ascii="Arial" w:cs="Arial" w:eastAsia="Arial" w:hAnsi="Arial"/>
          <w:b/>
          <w:bCs/>
          <w:color w:val="1A3C5E"/>
          <w:sz w:val="22"/>
          <w:szCs w:val="22"/>
        </w:rPr>
        <w:t xml:space="preserve">Risk Register Screen Design</w:t>
      </w:r>
    </w:p>
    <w:p>
      <w:pPr>
        <w:pStyle w:val="ListParagraph"/>
        <w:numPr>
          <w:ilvl w:val="0"/>
          <w:numId w:val="2"/>
        </w:numPr>
        <w:spacing w:before="40" w:after="40"/>
      </w:pPr>
      <w:r>
        <w:rPr>
          <w:rFonts w:ascii="Arial" w:cs="Arial" w:eastAsia="Arial" w:hAnsi="Arial"/>
          <w:color w:val="404040"/>
          <w:sz w:val="20"/>
          <w:szCs w:val="20"/>
        </w:rPr>
        <w:t xml:space="preserve">Coloured left stripe: Each risk row has a coloured left stripe (crimson/red/amber/green) — the single most important visual signal; row colour tone reinforces priority</w:t>
      </w:r>
    </w:p>
    <w:p>
      <w:pPr>
        <w:pStyle w:val="ListParagraph"/>
        <w:numPr>
          <w:ilvl w:val="0"/>
          <w:numId w:val="2"/>
        </w:numPr>
        <w:spacing w:before="40" w:after="40"/>
      </w:pPr>
      <w:r>
        <w:rPr>
          <w:rFonts w:ascii="Arial" w:cs="Arial" w:eastAsia="Arial" w:hAnsi="Arial"/>
          <w:color w:val="404040"/>
          <w:sz w:val="20"/>
          <w:szCs w:val="20"/>
        </w:rPr>
        <w:t xml:space="preserve">Trend arrow column: An ↑ (red), → (amber), or ↓ (green) arrow in the final column shows month-over-month risk score direction — instantly reveals which risks are deteriorating</w:t>
      </w:r>
    </w:p>
    <w:p>
      <w:pPr>
        <w:pStyle w:val="ListParagraph"/>
        <w:numPr>
          <w:ilvl w:val="0"/>
          <w:numId w:val="2"/>
        </w:numPr>
        <w:spacing w:before="40" w:after="40"/>
      </w:pPr>
      <w:r>
        <w:rPr>
          <w:rFonts w:ascii="Arial" w:cs="Arial" w:eastAsia="Arial" w:hAnsi="Arial"/>
          <w:color w:val="404040"/>
          <w:sz w:val="20"/>
          <w:szCs w:val="20"/>
        </w:rPr>
        <w:t xml:space="preserve">Filter tabs: Six tabs (All / RED / AMBER / GREEN / Closed / Opportunities) with count badges; single-click to view just the risks in that rating band</w:t>
      </w:r>
    </w:p>
    <w:p>
      <w:pPr>
        <w:pStyle w:val="ListParagraph"/>
        <w:numPr>
          <w:ilvl w:val="0"/>
          <w:numId w:val="2"/>
        </w:numPr>
        <w:spacing w:before="40" w:after="40"/>
      </w:pPr>
      <w:r>
        <w:rPr>
          <w:rFonts w:ascii="Arial" w:cs="Arial" w:eastAsia="Arial" w:hAnsi="Arial"/>
          <w:color w:val="404040"/>
          <w:sz w:val="20"/>
          <w:szCs w:val="20"/>
        </w:rPr>
        <w:t xml:space="preserve">Inline score display: P×I score shown as a coloured badge — no need to open the risk to see its rating; P (probability) and Impact shown as fraction notation (e.g. P4×I3) for immediate comprehension</w:t>
      </w:r>
    </w:p>
    <w:p>
      <w:pPr>
        <w:pStyle w:val="ListParagraph"/>
        <w:numPr>
          <w:ilvl w:val="0"/>
          <w:numId w:val="2"/>
        </w:numPr>
        <w:spacing w:before="40" w:after="40"/>
      </w:pPr>
      <w:r>
        <w:rPr>
          <w:rFonts w:ascii="Arial" w:cs="Arial" w:eastAsia="Arial" w:hAnsi="Arial"/>
          <w:color w:val="404040"/>
          <w:sz w:val="20"/>
          <w:szCs w:val="20"/>
        </w:rPr>
        <w:t xml:space="preserve">Selected risk detail panel: Fixed at the bottom of the screen — loads on row click without navigating away; shows all quantitative details and quick-action buttons (Escalate, Update, Close)</w:t>
      </w:r>
    </w:p>
    <w:p>
      <w:pPr>
        <w:pStyle w:val="ListParagraph"/>
        <w:numPr>
          <w:ilvl w:val="0"/>
          <w:numId w:val="2"/>
        </w:numPr>
        <w:spacing w:before="40" w:after="40"/>
      </w:pPr>
      <w:r>
        <w:rPr>
          <w:rFonts w:ascii="Arial" w:cs="Arial" w:eastAsia="Arial" w:hAnsi="Arial"/>
          <w:color w:val="404040"/>
          <w:sz w:val="20"/>
          <w:szCs w:val="20"/>
        </w:rPr>
        <w:t xml:space="preserve">Sort by multiple columns: Sort by risk score (default), age, owner, due date, category — enables different management views of the same data</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Monte Carlo Simulation Results</w:t>
      </w:r>
    </w:p>
    <w:p>
      <w:pPr>
        <w:spacing w:before="80" w:after="80"/>
        <w:jc w:val="both"/>
      </w:pPr>
      <w:r>
        <w:rPr>
          <w:rFonts w:ascii="Arial" w:cs="Arial" w:eastAsia="Arial" w:hAnsi="Arial"/>
          <w:color w:val="404040"/>
          <w:sz w:val="20"/>
          <w:szCs w:val="20"/>
        </w:rPr>
        <w:t xml:space="preserve">The Monte Carlo screen is the most analytically rich screen in Module 7 — presenting the P50/P80 cost and schedule S-curves, the Tornado sensitivity chart, and a statistical summary table. It is used primarily by NICDC Finance, lenders, and Ministry officials making contingency and budget provision decisions.</w:t>
      </w:r>
    </w:p>
    <w:p>
      <w:pPr>
        <w:spacing w:before="120" w:after="60"/>
        <w:jc w:val="center"/>
      </w:pPr>
      <w:r>
        <w:drawing>
          <wp:inline distT="0" distB="0" distL="0" distR="0">
            <wp:extent cx="6000750" cy="3752850"/>
            <wp:effectExtent t="0" r="0" b="0" l="0"/>
            <wp:docPr id="1" name="Figure 5.3 — Monte Carlo Results (Cost S-Curve with P50/P80/BAC, Schedule Distribution, Tornado Sensitivity Chart)" descr="Figure 5.3 — Monte Carlo Results (Cost S-Curve with P50/P80/BAC, Schedule Distribution, Tornado Sensitivity Chart)" title="Figure 5.3 — Monte Carlo Results (Cost S-Curve with P50/P80/BAC, Schedule Distribution, Tornado Sensitiv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Monte Carlo Results (Cost S-Curve with P50/P80/BAC, Schedule Distribution, Tornado Sensitivity Chart)</w:t>
      </w:r>
    </w:p>
    <w:p>
      <w:pPr>
        <w:pStyle w:val="Heading3"/>
        <w:spacing w:before="180" w:after="80"/>
      </w:pPr>
      <w:r>
        <w:rPr>
          <w:rFonts w:ascii="Arial" w:cs="Arial" w:eastAsia="Arial" w:hAnsi="Arial"/>
          <w:b/>
          <w:bCs/>
          <w:color w:val="1A3C5E"/>
          <w:sz w:val="22"/>
          <w:szCs w:val="22"/>
        </w:rPr>
        <w:t xml:space="preserve">Monte Carlo Screen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User Value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S-Curve (left panel)</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probability distribution of total project cost. X-axis = cost (₹ Cr); Y-axis = cumulative probability (0–100%). BAC line (green), P50 (amber dashed), P80 (red dashed) marked. Filled area under curve shows risk exposure.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Answers 'What is the probability we finish within budget?' — BAC is below P50, meaning more than 50% chance of overrun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Distribution (top right)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S-curve for schedule delay (days beyond planned completion). P50 = +35 days, P80 = +47 days shown.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Answers 'How likely is delay and how much?' — critical for lender milestone covenant negotiations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Tornado Chart (bottom right)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Horizontal bar chart of top 8 risks ranked by contribution to cost uncertainty (Spearman rank correlation × max cost impact). Longer bar = more influence on outcome.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Answers 'Which risks should we spend money mitigating?' — prioritises response investment objectively</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 controls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 New Simulation button, iteration count selector (5K/10K/20K), scope selector (Node/Corridor/Programme)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 on-demand with updated risk data; higher iterations for more precise P-values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Risk Detail &amp; Response Plan</w:t>
      </w:r>
    </w:p>
    <w:p>
      <w:pPr>
        <w:spacing w:before="80" w:after="80"/>
        <w:jc w:val="both"/>
      </w:pPr>
      <w:r>
        <w:rPr>
          <w:rFonts w:ascii="Arial" w:cs="Arial" w:eastAsia="Arial" w:hAnsi="Arial"/>
          <w:color w:val="404040"/>
          <w:sz w:val="20"/>
          <w:szCs w:val="20"/>
        </w:rPr>
        <w:t xml:space="preserve">The Risk Detail screen provides a complete, single-risk deep-dive — showing the full description, impact analysis, trigger conditions, and all response actions in a two-panel layout. It is the screen used during the monthly risk review meeting when a risk owner must present the current status and planned actions.</w:t>
      </w:r>
    </w:p>
    <w:p>
      <w:pPr>
        <w:spacing w:before="120" w:after="60"/>
        <w:jc w:val="center"/>
      </w:pPr>
      <w:r>
        <w:drawing>
          <wp:inline distT="0" distB="0" distL="0" distR="0">
            <wp:extent cx="6000750" cy="3600450"/>
            <wp:effectExtent t="0" r="0" b="0" l="0"/>
            <wp:docPr id="1" name="Figure 5.4 — Risk Detail &amp; Response Plan (Risk Narrative, Impact Analysis, Response Action Cards, Residual Risk)" descr="Figure 5.4 — Risk Detail &amp; Response Plan (Risk Narrative, Impact Analysis, Response Action Cards, Residual Risk)" title="Figure 5.4 — Risk Detail &amp; Response Plan (Risk Narrative, Impact Analysis, Response Action Cards, Residual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Risk Detail &amp; Response Plan (Risk Narrative, Impact Analysis, Response Action Cards, Residual Risk)</w:t>
      </w:r>
    </w:p>
    <w:p>
      <w:pPr>
        <w:pStyle w:val="Heading3"/>
        <w:spacing w:before="180" w:after="80"/>
      </w:pPr>
      <w:r>
        <w:rPr>
          <w:rFonts w:ascii="Arial" w:cs="Arial" w:eastAsia="Arial" w:hAnsi="Arial"/>
          <w:b/>
          <w:bCs/>
          <w:color w:val="1A3C5E"/>
          <w:sz w:val="22"/>
          <w:szCs w:val="22"/>
        </w:rPr>
        <w:t xml:space="preserve">Risk Detail Screen Design</w:t>
      </w:r>
    </w:p>
    <w:p>
      <w:pPr>
        <w:pStyle w:val="ListParagraph"/>
        <w:numPr>
          <w:ilvl w:val="0"/>
          <w:numId w:val="2"/>
        </w:numPr>
        <w:spacing w:before="40" w:after="40"/>
      </w:pPr>
      <w:r>
        <w:rPr>
          <w:rFonts w:ascii="Arial" w:cs="Arial" w:eastAsia="Arial" w:hAnsi="Arial"/>
          <w:color w:val="404040"/>
          <w:sz w:val="20"/>
          <w:szCs w:val="20"/>
        </w:rPr>
        <w:t xml:space="preserve">Risk header strip: Critical metadata always visible at top — risk code, category, current rating badge, residual rating, owner, status — providing context for all detail below</w:t>
      </w:r>
    </w:p>
    <w:p>
      <w:pPr>
        <w:pStyle w:val="ListParagraph"/>
        <w:numPr>
          <w:ilvl w:val="0"/>
          <w:numId w:val="2"/>
        </w:numPr>
        <w:spacing w:before="40" w:after="40"/>
      </w:pPr>
      <w:r>
        <w:rPr>
          <w:rFonts w:ascii="Arial" w:cs="Arial" w:eastAsia="Arial" w:hAnsi="Arial"/>
          <w:color w:val="404040"/>
          <w:sz w:val="20"/>
          <w:szCs w:val="20"/>
        </w:rPr>
        <w:t xml:space="preserve">Narrative sections (left): Five collapsible sections (Description, Root Cause, Cost Impact, Schedule Impact, Trigger Conditions) — long text is readable without scrolling due to collapsible structure</w:t>
      </w:r>
    </w:p>
    <w:p>
      <w:pPr>
        <w:pStyle w:val="ListParagraph"/>
        <w:numPr>
          <w:ilvl w:val="0"/>
          <w:numId w:val="2"/>
        </w:numPr>
        <w:spacing w:before="40" w:after="40"/>
      </w:pPr>
      <w:r>
        <w:rPr>
          <w:rFonts w:ascii="Arial" w:cs="Arial" w:eastAsia="Arial" w:hAnsi="Arial"/>
          <w:color w:val="404040"/>
          <w:sz w:val="20"/>
          <w:szCs w:val="20"/>
        </w:rPr>
        <w:t xml:space="preserve">Response action cards (right): Each response strategy shown as a distinct card with action text, owner badge, due date, and status indicator — multiple strategies visible simultaneously</w:t>
      </w:r>
    </w:p>
    <w:p>
      <w:pPr>
        <w:pStyle w:val="ListParagraph"/>
        <w:numPr>
          <w:ilvl w:val="0"/>
          <w:numId w:val="2"/>
        </w:numPr>
        <w:spacing w:before="40" w:after="40"/>
      </w:pPr>
      <w:r>
        <w:rPr>
          <w:rFonts w:ascii="Arial" w:cs="Arial" w:eastAsia="Arial" w:hAnsi="Arial"/>
          <w:color w:val="404040"/>
          <w:sz w:val="20"/>
          <w:szCs w:val="20"/>
        </w:rPr>
        <w:t xml:space="preserve">Residual risk box: Clearly distinguished green section at the bottom right showing the expected risk profile AFTER all response actions are executed — the 'target state'</w:t>
      </w:r>
    </w:p>
    <w:p>
      <w:pPr>
        <w:pStyle w:val="ListParagraph"/>
        <w:numPr>
          <w:ilvl w:val="0"/>
          <w:numId w:val="2"/>
        </w:numPr>
        <w:spacing w:before="40" w:after="40"/>
      </w:pPr>
      <w:r>
        <w:rPr>
          <w:rFonts w:ascii="Arial" w:cs="Arial" w:eastAsia="Arial" w:hAnsi="Arial"/>
          <w:color w:val="404040"/>
          <w:sz w:val="20"/>
          <w:szCs w:val="20"/>
        </w:rPr>
        <w:t xml:space="preserve">Lessons Learned link: Automatically shows any related lessons from previous projects in the same risk category — enabling risk owners to learn from history</w:t>
      </w:r>
    </w:p>
    <w:p>
      <w:pPr>
        <w:pStyle w:val="ListParagraph"/>
        <w:numPr>
          <w:ilvl w:val="0"/>
          <w:numId w:val="2"/>
        </w:numPr>
        <w:spacing w:before="40" w:after="40"/>
      </w:pPr>
      <w:r>
        <w:rPr>
          <w:rFonts w:ascii="Arial" w:cs="Arial" w:eastAsia="Arial" w:hAnsi="Arial"/>
          <w:color w:val="404040"/>
          <w:sz w:val="20"/>
          <w:szCs w:val="20"/>
        </w:rPr>
        <w:t xml:space="preserve">Quick actions bar: At the bottom — Update Assessment, Add Response Action, Escalate, Raise Near-Miss, Close Risk — all primary actions accessible without navigating away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Risk Exposure Analytics</w:t>
      </w:r>
    </w:p>
    <w:p>
      <w:pPr>
        <w:spacing w:before="80" w:after="80"/>
        <w:jc w:val="both"/>
      </w:pPr>
      <w:r>
        <w:rPr>
          <w:rFonts w:ascii="Arial" w:cs="Arial" w:eastAsia="Arial" w:hAnsi="Arial"/>
          <w:color w:val="404040"/>
          <w:sz w:val="20"/>
          <w:szCs w:val="20"/>
        </w:rPr>
        <w:t xml:space="preserve">The Analytics screen provides programme-level risk aggregation views: risk distribution by category, risk profile by corridor node, Monte Carlo summary statistics, and the P80 cost overrun trend chart. It is designed for NICDC Programme Directors conducting programme-level risk reviews and preparing Ministry briefings.</w:t>
      </w:r>
    </w:p>
    <w:p>
      <w:pPr>
        <w:spacing w:before="120" w:after="60"/>
        <w:jc w:val="center"/>
      </w:pPr>
      <w:r>
        <w:drawing>
          <wp:inline distT="0" distB="0" distL="0" distR="0">
            <wp:extent cx="6000750" cy="3752850"/>
            <wp:effectExtent t="0" r="0" b="0" l="0"/>
            <wp:docPr id="1" name="Figure 5.5 — Risk Exposure Analytics (Category Distribution, Node Risk Profile, MC Summary, P80 Trend Chart)" descr="Figure 5.5 — Risk Exposure Analytics (Category Distribution, Node Risk Profile, MC Summary, P80 Trend Chart)" title="Figure 5.5 — Risk Exposure Analytics (Category Distribution, Node Risk Profile, MC Summary, P80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Risk Exposure Analytics (Category Distribution, Node Risk Profile, MC Summary, P80 Trend Chart)</w:t>
      </w:r>
    </w:p>
    <w:p>
      <w:pPr>
        <w:pStyle w:val="Heading3"/>
        <w:spacing w:before="180" w:after="80"/>
      </w:pPr>
      <w:r>
        <w:rPr>
          <w:rFonts w:ascii="Arial" w:cs="Arial" w:eastAsia="Arial" w:hAnsi="Arial"/>
          <w:b/>
          <w:bCs/>
          <w:color w:val="1A3C5E"/>
          <w:sz w:val="22"/>
          <w:szCs w:val="22"/>
        </w:rPr>
        <w:t xml:space="preserve">Analytics Screen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by Category (left)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Horizontal bar chart showing risk count per category, colour-coded by category severity. Instantly shows which categories dominate the risk profile (Land Acquisition and Contractor Risk typically lead for industrial corridors).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Profile by Node (centre)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Stacked bar chart per node showing Green/Amber/Red count proportions and total EAC (₹ Cr). Nodes with high RED stack are visually prominent — immediate escalation priorities.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Summary Table (right)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Clean tabular summary of the last simulation run: P10/P50/P80/P90 cost, deterministic EAC, mean, std deviation, P50/P80 schedule delay, iterations, convergence. Quick reference for Ministry briefings.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 Overrun Trend (bottom full-width)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6-month line chart showing P80, P50, and Baseline (deterministic) cost overrun estimates. Rising trend = risk exposure increasing. Shaded bands between P80 and P50 (red) and P50 and Baseline (amber) show risk zones. The most important single chart for programme financial risk communication.</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Risk Registration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RSK-001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Every risk must have an owner assigned before it can move from Draft to Active status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'Risk Owner is mandatory. Assign an owner from the OBS before activating this risk.'</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RSK-002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RED (score ≥ 12) risks must have at least one non-Accept response strategy defined within 14 days of activation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at day 7; blocking on day 14: 'A response plan is required for RED risks within 14 days of identification.'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RSK-003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AMBER and RED risks must have three-point estimates (O, M, P) for cost and schedule impact before Monte Carlo can include them</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 simulation ignores risks without three-point estimates; warning shown on MC results screen listing excluded risks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RSK-004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risk can only be Closed if: all response actions are marked Complete, no active triggers, and the risk owner and PMC Risk Lead both approve closure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Dual-approval workflow for risk closure; system prevents premature closure of RED risks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RSK-005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scores are automatically recalculated weekly based on Module 2/3/4 data; manual override of system-generated scores requires PMC Risk Lead approval with justification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trail records all manual overrides; pattern of overrides flagged to NICDC for governance review</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Monte Carlo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simulation must be re-run at least monthly; if simulation has not been run in &gt; 35 days, P50/P80 values on dashboards are flagged as stale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banner: 'Monte Carlo results are 36 days old. Re-run recommended before monthly reporting.'</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P80 cost estimate increases by &gt; ₹ 100 Cr between consecutive monthly simulations, automatic alert to NICDC Finance Director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email with before/after comparison; Tornado chart showing which risk drove the increase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results are not published to external reports (Ministry, lenders) without NICDC Programme Director approval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workflow: MC results generated → PMC Risk Lead reviews → NICDC PD approves → published to Module 9</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Correlation matrix must be reviewed and updated at least quarterly; default correlation values auto-populated from NICDC standard template if not manually set</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if correlation matrix not reviewed in &gt; 90 days; default correlations used with disclosure in report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Escalation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Crimson risk (score 25 — Very High × Very High) triggers immediate NICDC MD notification within 4 hours of identification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auto-sends alert; if NICDC MD does not acknowledge within 8 hours, Ministry is copied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RED risk (score 12–24) not acknowledged by risk owner within 24 hours of trigger escalates to the risk owner's supervisor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 chain defined in OBS; automatic after 24-hour SLA breach</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RED risk unresolved (remaining RED) for &gt; 60 days requires a formal Position Paper submitted to NICDC MD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generates Position Paper template at day 55 alert; blocking if not submitted by day 60</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risk trigger from Module 3 (satellite) must generate a risk record within 5 working days if the anomaly is not resolved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Orphaned satellite alerts (unlinked to risk register) flagged in weekly dashboard; DMS admin notified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WBS hierarchy for risk-to-scope linkage, project phases for risk category relevance; Outbound: Risk count per WBS element for Module 1 dashboard overlay</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daily refresh of risk count per WBS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Schedule/EVM</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SPI/CPI per package, Total Float per CP activity, Data date; Outbound: P80 schedule delay added to look-ahead planning horizon; risk flags on CP activities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data pull for trigger monitoring; monthly for MC input refresh</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Encroachment alerts, idle zone flags, NDVI excess alerts → auto-create risk triggers; Outbound: Risk heat overlay for satellite map (Module 3 GIS viewer shows risk colour per WBS polygon)</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satellite processing cycle; real-time for Critical encroachment alerts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CPI per package, VO % of LOA (for scope creep risk); deterministic EAC for MC baseline; Outbound: Contingency reserve recommendation (P80 – EAC) for budget node; risk-linked contingency provisions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data date advance; contingency on demand per MC run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Management</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Contractor performance scorecard (for contractor default risk triggers); VO accumulation alerts; Outbound: Risk score for contractor as input to payment approval decision</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scorecard publication; real-time VO limit breach</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Monthly Risk Reports, MC Quarterly Reports, RED escalation documents auto-filed in DMS under relevant WBS risk folder</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each report generation event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Risk heat map data, top 10 risks, P80 summary for executive dashboards and MPR; risk count by node for programme dashboard</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API read; daily refresh</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Oracle Primavera Risk Analysis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XER/XML bidirectional</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data exported to Primavera Risk Analysis format for clients using that tool; results imported back</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On-demand export; XER format compatible with PRisk 8.7+</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RBI / IMD (Weather data)</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Monsoon onset/withdrawal dates and intensity data ingested to update probability of natural hazard risks seasonally</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IMD seasonal forecast; real-time cyclone alert API</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MoEFCC PARIVESH</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clearance status polled to update probability of EC-related regulatory risks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status check; auto-updates risk probability if clearance granted</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Land Records (DILRMS)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 parcel acquisition status (acquired/litigated/pending) used to update Land Acquisition risk probability and trigger thresholds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status refresh from DILRMS API</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Lessons Learned DB</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bidirectional</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Historical risk data from completed NHAI/NMRC/NICDC projects available as analogous risk import; closed lessons pushed to NICDC PMO database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On-demand import; quarterly lessons export</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&amp; Approval Chains</w:t>
      </w:r>
    </w:p>
    <w:p>
      <w:pPr>
        <w:pStyle w:val="Heading2"/>
        <w:spacing w:before="260" w:after="120"/>
      </w:pPr>
      <w:r>
        <w:rPr>
          <w:rFonts w:ascii="Arial" w:cs="Arial" w:eastAsia="Arial" w:hAnsi="Arial"/>
          <w:b/>
          <w:bCs/>
          <w:color w:val="2E75B6"/>
          <w:sz w:val="24"/>
          <w:szCs w:val="24"/>
        </w:rPr>
        <w:t xml:space="preserve">8.1 Risk Lifecycle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Entry Condition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Permitted Actions</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Exit to Next State</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Draft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identified by any team member</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Edit all fields; assign owner</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Risk Lead submits after basic validation</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Risk Lead validates and activates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assessment; response planning; trigger definition</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reviews continue until risk resolves or triggers</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 condition breached (manual or auto)</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 plan activation; response escalation; near-miss record</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resolves → Mitigated; risk materialises → Loss Event</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Mitigated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response actions complete; risk score reduced to Green</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Verify residual risk; approve closure</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Risk Lead + Risk Owner dual-approve closure</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Closed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no longer applicable; response effective</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Lessons learned capture; archive</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Terminal — 30-year retention</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Transferred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contractually transferred to third party (insurer/contractor)</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Monitor transfer mechanism; track insurance policy expiry</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Closure on project completion or transfer period end</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Risk Escalation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200"/>
        <w:gridCol w:w="11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 Rating</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First Escalation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Second Escalation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Third Escalation</w:t>
            </w:r>
          </w:p>
        </w:tc>
        <w:tc>
          <w:tcPr>
            <w:tcW w:type="dxa" w:w="1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Review Frequency</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quarterly</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 risk review</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Amber</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Risk Lead — monthly</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if unresolved 30 days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risk workshop</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 weekly</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Programme Director if unresolved 14 days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1:1 with PMC Risk Lead</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Crimson (score 25)</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 within 4 hours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Secretary if unresolved 7 days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CCEA briefing if unresolved 30 days</w:t>
            </w:r>
          </w:p>
        </w:tc>
        <w:tc>
          <w:tcPr>
            <w:tcW w:type="dxa" w:w="1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situation report to NICDC MD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run time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10,000 iterations for a 50-risk model &lt; 5 minutes on NIC MeghRaj GPU cluster</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Job completion time log; alert if &gt; 15 minutes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register load</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to load full risk register (up to 500 risks) with all metadata</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Lighthouse P95; tested with 500 risk records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Heat map render</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 second to render 5×5 heat map with risk counts populated</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Frontend render time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 check latency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minutes from Module 2/3/4 data update to trigger alert generation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 monitoring pipeline job completion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 notification delivery</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minutes from trigger breach to email/SMS notification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End-to-end notification latency log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Concurrent risk review users</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simultaneous users during monthly risk workshop without degradation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k6 load test at 100 VUs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result storage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10,000 iteration results stored for audit; queryable by P-value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 NIC MeghRaj object storage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data retention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years — all risk records, assessment history, MC results, trigger logs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2017 / National Archives compliance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uptime (risk module)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99% — risk monitoring is a safety-critical function; downtime could mask emerging risks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Synthetic monitoring; monthly SLA report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Mobile risk entry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capture via mobile app &lt; 3 minutes for a new risk record (voice-to-text assisted)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Mobile PWA field testing on Android/iOS</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7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 uncertain event or condition that, if it occurs, has a positive or negative effect on one or more project objectives (ISO 31000)</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Threat</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risk with a negative effect on project objectives — cost increase, schedule delay, quality reduction, or reputational damage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Opportunity</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risk with a positive effect on project objectives — cost saving, schedule acceleration, or enhanced deliverable quality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Probability</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likelihood that a risk event will occur, expressed as a fraction (0.0–1.0) or qualitative rating (Very Low to Very High)</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Impact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consequence of a risk event, measured in cost (₹ Cr) and/or schedule (days) — may also include quality, reputational, environmental dimensions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Score</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Probability × Impact (normalised to a 1–25 scale from the 5×5 matrix); used for prioritisation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Monte Carlo Simulation</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computational technique that runs thousands of iterations using random samples from probability distributions to produce a range of possible project outcomes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50th percentile of the Monte Carlo distribution — there is a 50% probability that the actual outcome will be at or below this value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80th percentile — there is an 80% probability that the actual outcome will be at or below this value; recommended basis for contingency planning</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Latin Hypercube Sampling (LHS)</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statistical sampling method that divides the probability range into equal strata and samples once from each — more efficient convergence than pure random Monte Carlo</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Tornado Chart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sensitivity analysis chart showing which risks contribute most to total project uncertainty; risks shown as horizontal bars ranked by their correlation with total outcome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specific, observable event that signals a risk is becoming active or is about to materialise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Residual Risk</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level of risk remaining after response measures have been applied — the 'after' picture in the risk assessment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Breakdown Structure (RBS)</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hierarchical framework for categorising risks by type — analogous to the WBS for scope; Module 7 uses a 9-category, India-specific RBS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 Reserve</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allocated to cover the expected impact of identified risks; based on P80 MC estimate minus deterministic EAC</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Management Reserve</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held by NICDC for unknown-unknown risks (Black Swan events) — not in the MC model; separate from contingency reserve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Cholesky Decomposition</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Mathematical technique used to generate correlated random samples from a correlation matrix — ensures that related risks in the MC simulation occur together realistically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PERT Distribution</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weighted Beta distribution using three-point estimates (O, M, P) where the Most Likely is weighted 4× — used as default in Module 7 MC simulation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Near-Miss</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 event that almost caused a risk to trigger but did not — recorded for institutional learning to identify systemic vulnerabilities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Lessons Learned</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Documented knowledge from a closed risk — what happened, why, what response was effective, what would be done differently — reused across future projects</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7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7: Risk Management  |  Detailed Design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20ce1341c2c0ccaba1bf791c16442671dd7dcf8.png"/><Relationship Id="rId9" Type="http://schemas.openxmlformats.org/officeDocument/2006/relationships/image" Target="media/ab9be2388d3c2b1e18322f5754a5e877f0b7743c.png"/><Relationship Id="rId10" Type="http://schemas.openxmlformats.org/officeDocument/2006/relationships/image" Target="media/2fc00ac82a4c802e456602c73b06edb603c142a4.png"/><Relationship Id="rId11" Type="http://schemas.openxmlformats.org/officeDocument/2006/relationships/image" Target="media/ba0aae7e23350ae6740b1dc8b333ab6fb17a43e7.png"/><Relationship Id="rId12" Type="http://schemas.openxmlformats.org/officeDocument/2006/relationships/image" Target="media/1de7b5e9c3df19d614ac1d81e2897f0fcf3674cf.png"/><Relationship Id="rId13" Type="http://schemas.openxmlformats.org/officeDocument/2006/relationships/image" Target="media/93b2729241b227164ef6ec2e89cd4932ba95acf1.png"/><Relationship Id="rId14" Type="http://schemas.openxmlformats.org/officeDocument/2006/relationships/image" Target="media/657028b0b83bb8ca19087fa6f5b87dc73d15a79a.png"/><Relationship Id="rId15" Type="http://schemas.openxmlformats.org/officeDocument/2006/relationships/image" Target="media/cffd72d2e15977816259bd5d24e13560a8049b5c.png"/><Relationship Id="rId16" Type="http://schemas.openxmlformats.org/officeDocument/2006/relationships/image" Target="media/3042a2efb2496281c4fa08445d5e61c6f7153f6d.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2026-03-28T13:12:13.323Z</dcterms:created>
  <dcterms:modified xsi:type="dcterms:W3CDTF">2026-03-28T13:12:13.324Z</dcterms:modified>
</cp:coreProperties>
</file>

<file path=docProps/custom.xml><?xml version="1.0" encoding="utf-8"?>
<Properties xmlns="http://schemas.openxmlformats.org/officeDocument/2006/custom-properties" xmlns:vt="http://schemas.openxmlformats.org/officeDocument/2006/docPropsVTypes"/>
</file>