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before="100" w:after="60"/>
        <w:jc w:val="center"/>
      </w:pPr>
      <w:r>
        <w:rPr>
          <w:rFonts w:ascii="Arial" w:cs="Arial" w:eastAsia="Arial" w:hAnsi="Arial"/>
          <w:b/>
          <w:bCs/>
          <w:color w:val="1A3C5E"/>
          <w:sz w:val="28"/>
          <w:szCs w:val="28"/>
        </w:rPr>
        <w:t xml:space="preserve">GOVERNMENT OF INDIA</w:t>
      </w:r>
    </w:p>
    <w:p>
      <w:pPr>
        <w:spacing w:before="60" w:after="400"/>
        <w:jc w:val="center"/>
      </w:pPr>
      <w:r>
        <w:rPr>
          <w:rFonts w:ascii="Arial" w:cs="Arial" w:eastAsia="Arial" w:hAnsi="Arial"/>
          <w:color w:val="404040"/>
          <w:sz w:val="22"/>
          <w:szCs w:val="22"/>
        </w:rPr>
        <w:t xml:space="preserve">Ministry of Commerce &amp; Industry</w:t>
      </w:r>
    </w:p>
    <w:p>
      <w:pPr>
        <w:pBdr>
          <w:bottom w:val="single" w:color="C9A227" w:sz="12"/>
        </w:pBdr>
        <w:spacing w:before="0" w:after="240"/>
        <w:jc w:val="center"/>
      </w:pPr>
      <w:r>
        <w:t xml:space="preserve"/>
      </w:r>
    </w:p>
    <w:p>
      <w:pPr>
        <w:spacing w:before="240" w:after="120"/>
        <w:jc w:val="center"/>
      </w:pPr>
      <w:r>
        <w:rPr>
          <w:rFonts w:ascii="Arial" w:cs="Arial" w:eastAsia="Arial" w:hAnsi="Arial"/>
          <w:b/>
          <w:bCs/>
          <w:color w:val="1A3C5E"/>
          <w:sz w:val="40"/>
          <w:szCs w:val="40"/>
        </w:rPr>
        <w:t xml:space="preserve">PROJECT REQUIREMENT DOCUMENT</w:t>
      </w:r>
    </w:p>
    <w:p>
      <w:pPr>
        <w:spacing w:before="80" w:after="80"/>
        <w:jc w:val="center"/>
      </w:pPr>
      <w:r>
        <w:rPr>
          <w:rFonts w:ascii="Arial" w:cs="Arial" w:eastAsia="Arial" w:hAnsi="Arial"/>
          <w:b/>
          <w:bCs/>
          <w:color w:val="2E75B6"/>
          <w:sz w:val="32"/>
          <w:szCs w:val="32"/>
        </w:rPr>
        <w:t xml:space="preserve">Industrial Corridor Project Management System</w:t>
      </w:r>
    </w:p>
    <w:p>
      <w:pPr>
        <w:spacing w:before="60" w:after="400"/>
        <w:jc w:val="center"/>
      </w:pPr>
      <w:r>
        <w:rPr>
          <w:rFonts w:ascii="Arial" w:cs="Arial" w:eastAsia="Arial" w:hAnsi="Arial"/>
          <w:b w:val="false"/>
          <w:bCs w:val="false"/>
          <w:color w:val="C9A227"/>
          <w:sz w:val="26"/>
          <w:szCs w:val="26"/>
        </w:rPr>
        <w:t xml:space="preserve">(IC-PMS)</w:t>
      </w:r>
    </w:p>
    <w:p>
      <w:pPr>
        <w:pBdr>
          <w:bottom w:val="single" w:color="C9A227" w:sz="12"/>
        </w:pBdr>
        <w:spacing w:before="0" w:after="240"/>
        <w:jc w:val="center"/>
      </w:pPr>
      <w:r>
        <w:t xml:space="preserve"/>
      </w:r>
    </w:p>
    <w:p>
      <w:pPr>
        <w:spacing w:before="60" w:after="60"/>
      </w:pPr>
      <w:r>
        <w:t xml:space="preserve"/>
      </w:r>
    </w:p>
    <w:p>
      <w:pPr>
        <w:spacing w:before="60" w:after="60"/>
        <w:jc w:val="center"/>
      </w:pPr>
      <w:r>
        <w:rPr>
          <w:rFonts w:ascii="Arial" w:cs="Arial" w:eastAsia="Arial" w:hAnsi="Arial"/>
          <w:color w:val="404040"/>
          <w:sz w:val="20"/>
          <w:szCs w:val="20"/>
        </w:rPr>
        <w:t xml:space="preserve">Document Version: 1.0</w:t>
      </w:r>
    </w:p>
    <w:p>
      <w:pPr>
        <w:spacing w:before="60" w:after="60"/>
        <w:jc w:val="center"/>
      </w:pPr>
      <w:r>
        <w:rPr>
          <w:rFonts w:ascii="Arial" w:cs="Arial" w:eastAsia="Arial" w:hAnsi="Arial"/>
          <w:color w:val="404040"/>
          <w:sz w:val="20"/>
          <w:szCs w:val="20"/>
        </w:rPr>
        <w:t xml:space="preserve">Date: March 2026</w:t>
      </w:r>
    </w:p>
    <w:p>
      <w:pPr>
        <w:spacing w:before="60" w:after="60"/>
        <w:jc w:val="center"/>
      </w:pPr>
      <w:r>
        <w:rPr>
          <w:rFonts w:ascii="Arial" w:cs="Arial" w:eastAsia="Arial" w:hAnsi="Arial"/>
          <w:b/>
          <w:bCs/>
          <w:color w:val="404040"/>
          <w:sz w:val="20"/>
          <w:szCs w:val="20"/>
        </w:rPr>
        <w:t xml:space="preserve">Classification: Restricted – Government Use Only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A227" w:sz="8" w:space="4"/>
        </w:pBdr>
        <w:spacing w:before="360" w:after="160"/>
      </w:pPr>
      <w:r>
        <w:rPr>
          <w:rFonts w:ascii="Arial" w:cs="Arial" w:eastAsia="Arial" w:hAnsi="Arial"/>
          <w:b/>
          <w:bCs/>
          <w:color w:val="1A3C5E"/>
          <w:sz w:val="28"/>
          <w:szCs w:val="28"/>
        </w:rPr>
        <w:t xml:space="preserve">Document Control</w:t>
      </w:r>
    </w:p>
    <w:p>
      <w:pPr>
        <w:pStyle w:val="Heading2"/>
        <w:spacing w:before="240" w:after="120"/>
      </w:pPr>
      <w:r>
        <w:rPr>
          <w:rFonts w:ascii="Arial" w:cs="Arial" w:eastAsia="Arial" w:hAnsi="Arial"/>
          <w:b/>
          <w:bCs/>
          <w:color w:val="2E75B6"/>
          <w:sz w:val="24"/>
          <w:szCs w:val="2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43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Version</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Author</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1.0</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March 2026</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IC-PMS Project Team</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Initial Release of Project Requirement Document</w:t>
            </w:r>
          </w:p>
        </w:tc>
      </w:tr>
    </w:tbl>
    <w:p>
      <w:pPr>
        <w:spacing w:before="60" w:after="60"/>
      </w:pPr>
      <w:r>
        <w:t xml:space="preserve"/>
      </w:r>
    </w:p>
    <w:p>
      <w:pPr>
        <w:pStyle w:val="Heading2"/>
        <w:spacing w:before="240" w:after="120"/>
      </w:pPr>
      <w:r>
        <w:rPr>
          <w:rFonts w:ascii="Arial" w:cs="Arial" w:eastAsia="Arial" w:hAnsi="Arial"/>
          <w:b/>
          <w:bCs/>
          <w:color w:val="2E75B6"/>
          <w:sz w:val="24"/>
          <w:szCs w:val="24"/>
        </w:rPr>
        <w:t xml:space="preserve">Document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Role</w:t>
            </w:r>
          </w:p>
        </w:tc>
        <w:tc>
          <w:tcPr>
            <w:tcW w:type="dxa" w:w="312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312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Signature &amp; Date</w:t>
            </w:r>
          </w:p>
        </w:tc>
      </w:tr>
      <w:tr>
        <w:tc>
          <w:tcPr>
            <w:tcW w:type="dxa" w:w="31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Project Sponsor</w:t>
            </w:r>
          </w:p>
        </w:tc>
        <w:tc>
          <w:tcPr>
            <w:tcW w:type="dxa" w:w="312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
            </w:r>
          </w:p>
        </w:tc>
        <w:tc>
          <w:tcPr>
            <w:tcW w:type="dxa" w:w="31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
            </w:r>
          </w:p>
        </w:tc>
      </w:tr>
      <w:tr>
        <w:tc>
          <w:tcPr>
            <w:tcW w:type="dxa" w:w="31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Programme Director</w:t>
            </w:r>
          </w:p>
        </w:tc>
        <w:tc>
          <w:tcPr>
            <w:tcW w:type="dxa" w:w="312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
            </w:r>
          </w:p>
        </w:tc>
        <w:tc>
          <w:tcPr>
            <w:tcW w:type="dxa" w:w="31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
            </w:r>
          </w:p>
        </w:tc>
      </w:tr>
      <w:tr>
        <w:tc>
          <w:tcPr>
            <w:tcW w:type="dxa" w:w="31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Chief Technology Officer</w:t>
            </w:r>
          </w:p>
        </w:tc>
        <w:tc>
          <w:tcPr>
            <w:tcW w:type="dxa" w:w="312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
            </w:r>
          </w:p>
        </w:tc>
        <w:tc>
          <w:tcPr>
            <w:tcW w:type="dxa" w:w="31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
            </w:r>
          </w:p>
        </w:tc>
      </w:tr>
      <w:tr>
        <w:tc>
          <w:tcPr>
            <w:tcW w:type="dxa" w:w="31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Lead Solution Architect</w:t>
            </w:r>
          </w:p>
        </w:tc>
        <w:tc>
          <w:tcPr>
            <w:tcW w:type="dxa" w:w="312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
            </w:r>
          </w:p>
        </w:tc>
        <w:tc>
          <w:tcPr>
            <w:tcW w:type="dxa" w:w="31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
            </w:r>
          </w:p>
        </w:tc>
      </w:tr>
    </w:tbl>
    <w:p>
      <w:r>
        <w:br w:type="page"/>
      </w:r>
    </w:p>
    <w:p>
      <w:pPr>
        <w:pStyle w:val="Heading1"/>
        <w:pBdr>
          <w:bottom w:val="single" w:color="C9A227" w:sz="8" w:space="4"/>
        </w:pBdr>
        <w:spacing w:before="360" w:after="160"/>
      </w:pPr>
      <w:r>
        <w:rPr>
          <w:rFonts w:ascii="Arial" w:cs="Arial" w:eastAsia="Arial" w:hAnsi="Arial"/>
          <w:b/>
          <w:bCs/>
          <w:color w:val="1A3C5E"/>
          <w:sz w:val="28"/>
          <w:szCs w:val="28"/>
        </w:rPr>
        <w:t xml:space="preserve">1. Executive Summary</w:t>
      </w:r>
    </w:p>
    <w:p>
      <w:pPr>
        <w:spacing w:before="80" w:after="80"/>
        <w:jc w:val="both"/>
      </w:pPr>
      <w:r>
        <w:rPr>
          <w:rFonts w:ascii="Arial" w:cs="Arial" w:eastAsia="Arial" w:hAnsi="Arial"/>
          <w:color w:val="404040"/>
          <w:sz w:val="20"/>
          <w:szCs w:val="20"/>
        </w:rPr>
        <w:t xml:space="preserve">India's ambitious industrial corridor programme — encompassing the Delhi-Mumbai Industrial Corridor (DMIC), Chennai-Bengaluru Industrial Corridor (CBIC), Vizag-Chennai Industrial Corridor (VCIC), Amritsar-Kolkata Industrial Corridor (AKIC), and others — represents one of the largest infrastructure investment initiatives in the nation's history. Spanning thousands of kilometres and involving investments of several lakh crore rupees, these corridors require seamless coordination across Central Ministries, State Governments, Special Purpose Vehicles (SPVs), Engineering Procurement &amp; Construction (EPC) contractors, and financial institutions.</w:t>
      </w:r>
    </w:p>
    <w:p>
      <w:pPr>
        <w:spacing w:before="80" w:after="80"/>
        <w:jc w:val="both"/>
      </w:pPr>
      <w:r>
        <w:rPr>
          <w:rFonts w:ascii="Arial" w:cs="Arial" w:eastAsia="Arial" w:hAnsi="Arial"/>
          <w:color w:val="404040"/>
          <w:sz w:val="20"/>
          <w:szCs w:val="20"/>
        </w:rPr>
        <w:t xml:space="preserve">The Industrial Corridor Project Management System (IC-PMS) is a purpose-built, cloud-native enterprise platform designed to define, plan, execute, monitor, and control every dimension of industrial corridor construction and development. Drawing on internationally proven project management frameworks — including the methodologies embedded in Oracle Primavera Unifier and P6 EPPM — IC-PMS integrates advanced satellite imagery analytics, real-time cost management, contract lifecycle control, risk modelling, and multi-level reporting in a single, government-grade platform.</w:t>
      </w:r>
    </w:p>
    <w:p>
      <w:pPr>
        <w:spacing w:before="80" w:after="80"/>
        <w:jc w:val="both"/>
      </w:pPr>
      <w:r>
        <w:rPr>
          <w:rFonts w:ascii="Arial" w:cs="Arial" w:eastAsia="Arial" w:hAnsi="Arial"/>
          <w:color w:val="404040"/>
          <w:sz w:val="20"/>
          <w:szCs w:val="20"/>
        </w:rPr>
        <w:t xml:space="preserve">IC-PMS will serve as the single source of truth for all industrial corridor projects, enabling data-driven decision-making at every level from field engineer to Cabinet Committee on Economic Affairs (CCEA).</w:t>
      </w:r>
    </w:p>
    <w:p>
      <w:pPr>
        <w:spacing w:before="60" w:after="60"/>
      </w:pPr>
      <w:r>
        <w:t xml:space="preserve"/>
      </w:r>
    </w:p>
    <w:p>
      <w:pPr>
        <w:pStyle w:val="Heading2"/>
        <w:spacing w:before="240" w:after="120"/>
      </w:pPr>
      <w:r>
        <w:rPr>
          <w:rFonts w:ascii="Arial" w:cs="Arial" w:eastAsia="Arial" w:hAnsi="Arial"/>
          <w:b/>
          <w:bCs/>
          <w:color w:val="2E75B6"/>
          <w:sz w:val="24"/>
          <w:szCs w:val="24"/>
        </w:rPr>
        <w:t xml:space="preserve">Key Objectives</w:t>
      </w:r>
    </w:p>
    <w:p>
      <w:pPr>
        <w:pStyle w:val="ListParagraph"/>
        <w:numPr>
          <w:ilvl w:val="0"/>
          <w:numId w:val="2"/>
        </w:numPr>
        <w:spacing w:before="40" w:after="40"/>
      </w:pPr>
      <w:r>
        <w:rPr>
          <w:rFonts w:ascii="Arial" w:cs="Arial" w:eastAsia="Arial" w:hAnsi="Arial"/>
          <w:color w:val="404040"/>
          <w:sz w:val="20"/>
          <w:szCs w:val="20"/>
        </w:rPr>
        <w:t xml:space="preserve">Provide end-to-end project lifecycle management from feasibility to commissioning</w:t>
      </w:r>
    </w:p>
    <w:p>
      <w:pPr>
        <w:pStyle w:val="ListParagraph"/>
        <w:numPr>
          <w:ilvl w:val="0"/>
          <w:numId w:val="2"/>
        </w:numPr>
        <w:spacing w:before="40" w:after="40"/>
      </w:pPr>
      <w:r>
        <w:rPr>
          <w:rFonts w:ascii="Arial" w:cs="Arial" w:eastAsia="Arial" w:hAnsi="Arial"/>
          <w:color w:val="404040"/>
          <w:sz w:val="20"/>
          <w:szCs w:val="20"/>
        </w:rPr>
        <w:t xml:space="preserve">Enable satellite-based construction progress monitoring with AI/ML analytics</w:t>
      </w:r>
    </w:p>
    <w:p>
      <w:pPr>
        <w:pStyle w:val="ListParagraph"/>
        <w:numPr>
          <w:ilvl w:val="0"/>
          <w:numId w:val="2"/>
        </w:numPr>
        <w:spacing w:before="40" w:after="40"/>
      </w:pPr>
      <w:r>
        <w:rPr>
          <w:rFonts w:ascii="Arial" w:cs="Arial" w:eastAsia="Arial" w:hAnsi="Arial"/>
          <w:color w:val="404040"/>
          <w:sz w:val="20"/>
          <w:szCs w:val="20"/>
        </w:rPr>
        <w:t xml:space="preserve">Deliver granular cost management and budget control aligned with GFR 2017</w:t>
      </w:r>
    </w:p>
    <w:p>
      <w:pPr>
        <w:pStyle w:val="ListParagraph"/>
        <w:numPr>
          <w:ilvl w:val="0"/>
          <w:numId w:val="2"/>
        </w:numPr>
        <w:spacing w:before="40" w:after="40"/>
      </w:pPr>
      <w:r>
        <w:rPr>
          <w:rFonts w:ascii="Arial" w:cs="Arial" w:eastAsia="Arial" w:hAnsi="Arial"/>
          <w:color w:val="404040"/>
          <w:sz w:val="20"/>
          <w:szCs w:val="20"/>
        </w:rPr>
        <w:t xml:space="preserve">Integrate contract and procurement management with GeM and CPPP portals</w:t>
      </w:r>
    </w:p>
    <w:p>
      <w:pPr>
        <w:pStyle w:val="ListParagraph"/>
        <w:numPr>
          <w:ilvl w:val="0"/>
          <w:numId w:val="2"/>
        </w:numPr>
        <w:spacing w:before="40" w:after="40"/>
      </w:pPr>
      <w:r>
        <w:rPr>
          <w:rFonts w:ascii="Arial" w:cs="Arial" w:eastAsia="Arial" w:hAnsi="Arial"/>
          <w:color w:val="404040"/>
          <w:sz w:val="20"/>
          <w:szCs w:val="20"/>
        </w:rPr>
        <w:t xml:space="preserve">Automate risk identification and escalation workflows</w:t>
      </w:r>
    </w:p>
    <w:p>
      <w:pPr>
        <w:pStyle w:val="ListParagraph"/>
        <w:numPr>
          <w:ilvl w:val="0"/>
          <w:numId w:val="2"/>
        </w:numPr>
        <w:spacing w:before="40" w:after="40"/>
      </w:pPr>
      <w:r>
        <w:rPr>
          <w:rFonts w:ascii="Arial" w:cs="Arial" w:eastAsia="Arial" w:hAnsi="Arial"/>
          <w:color w:val="404040"/>
          <w:sz w:val="20"/>
          <w:szCs w:val="20"/>
        </w:rPr>
        <w:t xml:space="preserve">Offer comprehensive dashboards and analytics for all stakeholder tiers</w:t>
      </w:r>
    </w:p>
    <w:p>
      <w:pPr>
        <w:pStyle w:val="ListParagraph"/>
        <w:numPr>
          <w:ilvl w:val="0"/>
          <w:numId w:val="2"/>
        </w:numPr>
        <w:spacing w:before="40" w:after="40"/>
      </w:pPr>
      <w:r>
        <w:rPr>
          <w:rFonts w:ascii="Arial" w:cs="Arial" w:eastAsia="Arial" w:hAnsi="Arial"/>
          <w:color w:val="404040"/>
          <w:sz w:val="20"/>
          <w:szCs w:val="20"/>
        </w:rPr>
        <w:t xml:space="preserve">Ensure compliance with Primavera Unifier-aligned process architecture</w:t>
      </w:r>
    </w:p>
    <w:p>
      <w:r>
        <w:br w:type="page"/>
      </w:r>
    </w:p>
    <w:p>
      <w:pPr>
        <w:pStyle w:val="Heading1"/>
        <w:pBdr>
          <w:bottom w:val="single" w:color="C9A227" w:sz="8" w:space="4"/>
        </w:pBdr>
        <w:spacing w:before="360" w:after="160"/>
      </w:pPr>
      <w:r>
        <w:rPr>
          <w:rFonts w:ascii="Arial" w:cs="Arial" w:eastAsia="Arial" w:hAnsi="Arial"/>
          <w:b/>
          <w:bCs/>
          <w:color w:val="1A3C5E"/>
          <w:sz w:val="28"/>
          <w:szCs w:val="28"/>
        </w:rPr>
        <w:t xml:space="preserve">2. Project Background &amp; Scope</w:t>
      </w:r>
    </w:p>
    <w:p>
      <w:pPr>
        <w:pStyle w:val="Heading2"/>
        <w:spacing w:before="240" w:after="120"/>
      </w:pPr>
      <w:r>
        <w:rPr>
          <w:rFonts w:ascii="Arial" w:cs="Arial" w:eastAsia="Arial" w:hAnsi="Arial"/>
          <w:b/>
          <w:bCs/>
          <w:color w:val="2E75B6"/>
          <w:sz w:val="24"/>
          <w:szCs w:val="24"/>
        </w:rPr>
        <w:t xml:space="preserve">2.1 Industrial Corridor Programme – Overview</w:t>
      </w:r>
    </w:p>
    <w:p>
      <w:pPr>
        <w:spacing w:before="80" w:after="80"/>
        <w:jc w:val="both"/>
      </w:pPr>
      <w:r>
        <w:rPr>
          <w:rFonts w:ascii="Arial" w:cs="Arial" w:eastAsia="Arial" w:hAnsi="Arial"/>
          <w:color w:val="404040"/>
          <w:sz w:val="20"/>
          <w:szCs w:val="20"/>
        </w:rPr>
        <w:t xml:space="preserve">The National Industrial Corridor Development Corporation (NICDC), operating under the Ministry of Commerce &amp; Industry, oversees the development of six major industrial corridors. These corridors encompass integrated manufacturing clusters, logistics parks, smart cities, multi-modal connectivity nodes, and supporting social infrastructure.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60"/>
        <w:gridCol w:w="300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Corridor</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Length (km)</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States Covered</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Approx. Investment</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Delhi-Mumbai IC (DMIC)</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1,504</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6 States + Delhi</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₹1,00,000 Cr+</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Chennai-Bengaluru IC (CBIC)</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560</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3 States</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₹1,00,000 Cr+</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Vizag-Chennai IC (VCIC)</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800</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2 States</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₹2,50,000 Cr+</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Amritsar-Kolkata IC (AKIC)</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1,839</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7 States</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₹1,50,000 Cr+</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Bengaluru-Mumbai EC (BMEC)</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1,000</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2 States</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₹1,00,000 Cr+</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Hyderabad-Nagpur IC (HNIC)</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700</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2 States</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₹75,000 Cr+</w:t>
            </w:r>
          </w:p>
        </w:tc>
      </w:tr>
    </w:tbl>
    <w:p>
      <w:pPr>
        <w:spacing w:before="60" w:after="60"/>
      </w:pPr>
      <w:r>
        <w:t xml:space="preserve"/>
      </w:r>
    </w:p>
    <w:p>
      <w:pPr>
        <w:pStyle w:val="Heading2"/>
        <w:spacing w:before="240" w:after="120"/>
      </w:pPr>
      <w:r>
        <w:rPr>
          <w:rFonts w:ascii="Arial" w:cs="Arial" w:eastAsia="Arial" w:hAnsi="Arial"/>
          <w:b/>
          <w:bCs/>
          <w:color w:val="2E75B6"/>
          <w:sz w:val="24"/>
          <w:szCs w:val="24"/>
        </w:rPr>
        <w:t xml:space="preserve">2.2 Problem Statement</w:t>
      </w:r>
    </w:p>
    <w:p>
      <w:pPr>
        <w:spacing w:before="80" w:after="80"/>
        <w:jc w:val="both"/>
      </w:pPr>
      <w:r>
        <w:rPr>
          <w:rFonts w:ascii="Arial" w:cs="Arial" w:eastAsia="Arial" w:hAnsi="Arial"/>
          <w:color w:val="404040"/>
          <w:sz w:val="20"/>
          <w:szCs w:val="20"/>
        </w:rPr>
        <w:t xml:space="preserve">Current project monitoring relies on fragmented tools — spreadsheets, email threads, standalone ERPs, and periodic site visits — resulting in cost overruns, schedule slippage, poor contractor accountability, and delayed policy escalation. The absence of satellite-based visual verification and integrated analytics makes it impossible to maintain real-time situational awareness across hundreds of simultaneous work packages.</w:t>
      </w:r>
    </w:p>
    <w:p>
      <w:pPr>
        <w:pStyle w:val="Heading2"/>
        <w:spacing w:before="240" w:after="120"/>
      </w:pPr>
      <w:r>
        <w:rPr>
          <w:rFonts w:ascii="Arial" w:cs="Arial" w:eastAsia="Arial" w:hAnsi="Arial"/>
          <w:b/>
          <w:bCs/>
          <w:color w:val="2E75B6"/>
          <w:sz w:val="24"/>
          <w:szCs w:val="24"/>
        </w:rPr>
        <w:t xml:space="preserve">2.3 Scope of IC-PMS</w:t>
      </w:r>
    </w:p>
    <w:p>
      <w:pPr>
        <w:pStyle w:val="ListParagraph"/>
        <w:numPr>
          <w:ilvl w:val="0"/>
          <w:numId w:val="2"/>
        </w:numPr>
        <w:spacing w:before="40" w:after="40"/>
      </w:pPr>
      <w:r>
        <w:rPr>
          <w:rFonts w:ascii="Arial" w:cs="Arial" w:eastAsia="Arial" w:hAnsi="Arial"/>
          <w:color w:val="404040"/>
          <w:sz w:val="20"/>
          <w:szCs w:val="20"/>
        </w:rPr>
        <w:t xml:space="preserve">All six national industrial corridors and their sub-projects (nodes, plug-and-play parks, trunk infrastructure)</w:t>
      </w:r>
    </w:p>
    <w:p>
      <w:pPr>
        <w:pStyle w:val="ListParagraph"/>
        <w:numPr>
          <w:ilvl w:val="0"/>
          <w:numId w:val="2"/>
        </w:numPr>
        <w:spacing w:before="40" w:after="40"/>
      </w:pPr>
      <w:r>
        <w:rPr>
          <w:rFonts w:ascii="Arial" w:cs="Arial" w:eastAsia="Arial" w:hAnsi="Arial"/>
          <w:color w:val="404040"/>
          <w:sz w:val="20"/>
          <w:szCs w:val="20"/>
        </w:rPr>
        <w:t xml:space="preserve">All phases: Feasibility, DPR, Land Acquisition, Tendering, Construction, Testing &amp; Commissioning, Handover</w:t>
      </w:r>
    </w:p>
    <w:p>
      <w:pPr>
        <w:pStyle w:val="ListParagraph"/>
        <w:numPr>
          <w:ilvl w:val="0"/>
          <w:numId w:val="2"/>
        </w:numPr>
        <w:spacing w:before="40" w:after="40"/>
      </w:pPr>
      <w:r>
        <w:rPr>
          <w:rFonts w:ascii="Arial" w:cs="Arial" w:eastAsia="Arial" w:hAnsi="Arial"/>
          <w:color w:val="404040"/>
          <w:sz w:val="20"/>
          <w:szCs w:val="20"/>
        </w:rPr>
        <w:t xml:space="preserve">All stakeholders: NICDC HQ, SPVs, State Governments, Contractors, Consultants, Lenders, Ministries</w:t>
      </w:r>
    </w:p>
    <w:p>
      <w:pPr>
        <w:pStyle w:val="ListParagraph"/>
        <w:numPr>
          <w:ilvl w:val="0"/>
          <w:numId w:val="2"/>
        </w:numPr>
        <w:spacing w:before="40" w:after="40"/>
      </w:pPr>
      <w:r>
        <w:rPr>
          <w:rFonts w:ascii="Arial" w:cs="Arial" w:eastAsia="Arial" w:hAnsi="Arial"/>
          <w:color w:val="404040"/>
          <w:sz w:val="20"/>
          <w:szCs w:val="20"/>
        </w:rPr>
        <w:t xml:space="preserve">All asset classes: Roads, Railways, Water, Power, ICT, Buildings, Industrial Plots</w:t>
      </w:r>
    </w:p>
    <w:p>
      <w:r>
        <w:br w:type="page"/>
      </w:r>
    </w:p>
    <w:p>
      <w:pPr>
        <w:pStyle w:val="Heading1"/>
        <w:pBdr>
          <w:bottom w:val="single" w:color="C9A227" w:sz="8" w:space="4"/>
        </w:pBdr>
        <w:spacing w:before="360" w:after="160"/>
      </w:pPr>
      <w:r>
        <w:rPr>
          <w:rFonts w:ascii="Arial" w:cs="Arial" w:eastAsia="Arial" w:hAnsi="Arial"/>
          <w:b/>
          <w:bCs/>
          <w:color w:val="1A3C5E"/>
          <w:sz w:val="28"/>
          <w:szCs w:val="28"/>
        </w:rPr>
        <w:t xml:space="preserve">3. Stakeholders &amp; User Roles</w:t>
      </w:r>
    </w:p>
    <w:p>
      <w:pPr>
        <w:pStyle w:val="Heading2"/>
        <w:spacing w:before="240" w:after="120"/>
      </w:pPr>
      <w:r>
        <w:rPr>
          <w:rFonts w:ascii="Arial" w:cs="Arial" w:eastAsia="Arial" w:hAnsi="Arial"/>
          <w:b/>
          <w:bCs/>
          <w:color w:val="2E75B6"/>
          <w:sz w:val="24"/>
          <w:szCs w:val="24"/>
        </w:rPr>
        <w:t xml:space="preserve">3.1 Stakeholder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Stakeholder</w:t>
            </w:r>
          </w:p>
        </w:tc>
        <w:tc>
          <w:tcPr>
            <w:tcW w:type="dxa" w:w="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Role</w:t>
            </w:r>
          </w:p>
        </w:tc>
        <w:tc>
          <w:tcPr>
            <w:tcW w:type="dxa" w:w="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 Access Level</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bCs/>
                <w:color w:val="404040"/>
                <w:sz w:val="18"/>
                <w:szCs w:val="18"/>
              </w:rPr>
              <w:t xml:space="preserve">NICDC / MoCI HQ</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National programme oversight, policy escalation</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Executive Dashboard, Full Read, Report Export</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bCs/>
                <w:color w:val="404040"/>
                <w:sz w:val="18"/>
                <w:szCs w:val="18"/>
              </w:rPr>
              <w:t xml:space="preserve">Cabinet / CCEA</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Policy review and approval</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Executive Summary KPI Dashboards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bCs/>
                <w:color w:val="404040"/>
                <w:sz w:val="18"/>
                <w:szCs w:val="18"/>
              </w:rPr>
              <w:t xml:space="preserve">State Governments</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Land acquisition, utility approvals, local monitoring</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State-level dashboards, approvals workflow</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bCs/>
                <w:color w:val="404040"/>
                <w:sz w:val="18"/>
                <w:szCs w:val="18"/>
              </w:rPr>
              <w:t xml:space="preserve">SPV Management</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Day-to-day programme management</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Full module access within SPV boundary</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bCs/>
                <w:color w:val="404040"/>
                <w:sz w:val="18"/>
                <w:szCs w:val="18"/>
              </w:rPr>
              <w:t xml:space="preserve">PMC / DPR Consultant</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Design, planning, DPR preparation</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Project setup, Schedule, DPR upload</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bCs/>
                <w:color w:val="404040"/>
                <w:sz w:val="18"/>
                <w:szCs w:val="18"/>
              </w:rPr>
              <w:t xml:space="preserve">EPC / Contractors</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Execution, billing, progress reporting</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Work package updates, invoice submission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bCs/>
                <w:color w:val="404040"/>
                <w:sz w:val="18"/>
                <w:szCs w:val="18"/>
              </w:rPr>
              <w:t xml:space="preserve">Financial Institutions / Lenders</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Loan disbursement monitoring</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Cost module – read, milestone verification</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bCs/>
                <w:color w:val="404040"/>
                <w:sz w:val="18"/>
                <w:szCs w:val="18"/>
              </w:rPr>
              <w:t xml:space="preserve">Auditors (CAG / Internal)</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Audit trails, compliance review</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Read-only, audit log access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bCs/>
                <w:color w:val="404040"/>
                <w:sz w:val="18"/>
                <w:szCs w:val="18"/>
              </w:rPr>
              <w:t xml:space="preserve">Field Engineers / Site Staff</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Daily progress logging, issue reporting</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Mobile app – progress entry, photo upload</w:t>
            </w:r>
          </w:p>
        </w:tc>
      </w:tr>
    </w:tbl>
    <w:p>
      <w:r>
        <w:br w:type="page"/>
      </w:r>
    </w:p>
    <w:p>
      <w:pPr>
        <w:pStyle w:val="Heading1"/>
        <w:pBdr>
          <w:bottom w:val="single" w:color="C9A227" w:sz="8" w:space="4"/>
        </w:pBdr>
        <w:spacing w:before="360" w:after="160"/>
      </w:pPr>
      <w:r>
        <w:rPr>
          <w:rFonts w:ascii="Arial" w:cs="Arial" w:eastAsia="Arial" w:hAnsi="Arial"/>
          <w:b/>
          <w:bCs/>
          <w:color w:val="1A3C5E"/>
          <w:sz w:val="28"/>
          <w:szCs w:val="28"/>
        </w:rPr>
        <w:t xml:space="preserve">4. System Modules – Functional Requirements</w:t>
      </w:r>
    </w:p>
    <w:p>
      <w:pPr>
        <w:spacing w:before="80" w:after="80"/>
        <w:jc w:val="both"/>
      </w:pPr>
      <w:r>
        <w:rPr>
          <w:rFonts w:ascii="Arial" w:cs="Arial" w:eastAsia="Arial" w:hAnsi="Arial"/>
          <w:color w:val="404040"/>
          <w:sz w:val="20"/>
          <w:szCs w:val="20"/>
        </w:rPr>
        <w:t xml:space="preserve">IC-PMS is organised into nine integrated functional modules, together with a cross-cutting platform layer. Each module maps to a corresponding Primavera Unifier Business Process or Oracle P6 capability and is extended with India-specific regulatory and geospatial requirements.</w:t>
      </w:r>
    </w:p>
    <w:p>
      <w:pPr>
        <w:spacing w:before="60" w:after="60"/>
      </w:pPr>
      <w:r>
        <w:t xml:space="preserve"/>
      </w:r>
    </w:p>
    <w:p>
      <w:pPr>
        <w:pStyle w:val="Heading2"/>
        <w:spacing w:before="240" w:after="120"/>
      </w:pPr>
      <w:r>
        <w:rPr>
          <w:rFonts w:ascii="Arial" w:cs="Arial" w:eastAsia="Arial" w:hAnsi="Arial"/>
          <w:b/>
          <w:bCs/>
          <w:color w:val="2E75B6"/>
          <w:sz w:val="24"/>
          <w:szCs w:val="24"/>
        </w:rPr>
        <w:t xml:space="preserve">Module 1 – Project Definition &amp; Work Breakdown Structure (WBS)</w:t>
      </w:r>
    </w:p>
    <w:p>
      <w:pPr>
        <w:spacing w:before="80" w:after="80"/>
        <w:jc w:val="both"/>
      </w:pPr>
      <w:r>
        <w:rPr>
          <w:rFonts w:ascii="Arial" w:cs="Arial" w:eastAsia="Arial" w:hAnsi="Arial"/>
          <w:color w:val="404040"/>
          <w:sz w:val="20"/>
          <w:szCs w:val="20"/>
        </w:rPr>
        <w:t xml:space="preserve">This module provides the foundational data architecture for all project components. Every physical and administrative work element is registered, coded, and linked to schedules, costs, documents, and satellite footprints.</w:t>
      </w:r>
    </w:p>
    <w:p>
      <w:pPr>
        <w:pStyle w:val="Heading3"/>
        <w:spacing w:before="180" w:after="80"/>
      </w:pPr>
      <w:r>
        <w:rPr>
          <w:rFonts w:ascii="Arial" w:cs="Arial" w:eastAsia="Arial" w:hAnsi="Arial"/>
          <w:b/>
          <w:bCs/>
          <w:color w:val="1A3C5E"/>
          <w:sz w:val="22"/>
          <w:szCs w:val="22"/>
        </w:rPr>
        <w:t xml:space="preserve">1.1 Functional Requirements</w:t>
      </w:r>
    </w:p>
    <w:p>
      <w:pPr>
        <w:pStyle w:val="ListParagraph"/>
        <w:numPr>
          <w:ilvl w:val="0"/>
          <w:numId w:val="2"/>
        </w:numPr>
        <w:spacing w:before="40" w:after="40"/>
      </w:pPr>
      <w:r>
        <w:rPr>
          <w:rFonts w:ascii="Arial" w:cs="Arial" w:eastAsia="Arial" w:hAnsi="Arial"/>
          <w:color w:val="404040"/>
          <w:sz w:val="20"/>
          <w:szCs w:val="20"/>
        </w:rPr>
        <w:t xml:space="preserve">Multi-level WBS creation (up to 8 levels): Corridor → Zone → Node → Sub-Project → Package → Work Item → Activity → Sub-Activity</w:t>
      </w:r>
    </w:p>
    <w:p>
      <w:pPr>
        <w:pStyle w:val="ListParagraph"/>
        <w:numPr>
          <w:ilvl w:val="0"/>
          <w:numId w:val="2"/>
        </w:numPr>
        <w:spacing w:before="40" w:after="40"/>
      </w:pPr>
      <w:r>
        <w:rPr>
          <w:rFonts w:ascii="Arial" w:cs="Arial" w:eastAsia="Arial" w:hAnsi="Arial"/>
          <w:color w:val="404040"/>
          <w:sz w:val="20"/>
          <w:szCs w:val="20"/>
        </w:rPr>
        <w:t xml:space="preserve">Configurable WBS templates for road, rail, power, water, ICT, building, and green-infrastructure asset classes</w:t>
      </w:r>
    </w:p>
    <w:p>
      <w:pPr>
        <w:pStyle w:val="ListParagraph"/>
        <w:numPr>
          <w:ilvl w:val="0"/>
          <w:numId w:val="2"/>
        </w:numPr>
        <w:spacing w:before="40" w:after="40"/>
      </w:pPr>
      <w:r>
        <w:rPr>
          <w:rFonts w:ascii="Arial" w:cs="Arial" w:eastAsia="Arial" w:hAnsi="Arial"/>
          <w:color w:val="404040"/>
          <w:sz w:val="20"/>
          <w:szCs w:val="20"/>
        </w:rPr>
        <w:t xml:space="preserve">Unique corridor code and WBS element code generation (aligned with NIC coding conventions)</w:t>
      </w:r>
    </w:p>
    <w:p>
      <w:pPr>
        <w:pStyle w:val="ListParagraph"/>
        <w:numPr>
          <w:ilvl w:val="0"/>
          <w:numId w:val="2"/>
        </w:numPr>
        <w:spacing w:before="40" w:after="40"/>
      </w:pPr>
      <w:r>
        <w:rPr>
          <w:rFonts w:ascii="Arial" w:cs="Arial" w:eastAsia="Arial" w:hAnsi="Arial"/>
          <w:color w:val="404040"/>
          <w:sz w:val="20"/>
          <w:szCs w:val="20"/>
        </w:rPr>
        <w:t xml:space="preserve">Phase and milestone definition with dependency mapping (FS, SS, FF, SF relationships)</w:t>
      </w:r>
    </w:p>
    <w:p>
      <w:pPr>
        <w:pStyle w:val="ListParagraph"/>
        <w:numPr>
          <w:ilvl w:val="0"/>
          <w:numId w:val="2"/>
        </w:numPr>
        <w:spacing w:before="40" w:after="40"/>
      </w:pPr>
      <w:r>
        <w:rPr>
          <w:rFonts w:ascii="Arial" w:cs="Arial" w:eastAsia="Arial" w:hAnsi="Arial"/>
          <w:color w:val="404040"/>
          <w:sz w:val="20"/>
          <w:szCs w:val="20"/>
        </w:rPr>
        <w:t xml:space="preserve">Integration with Organisation Breakdown Structure (OBS) to link WBS to owning agencies and contractors</w:t>
      </w:r>
    </w:p>
    <w:p>
      <w:pPr>
        <w:pStyle w:val="ListParagraph"/>
        <w:numPr>
          <w:ilvl w:val="0"/>
          <w:numId w:val="2"/>
        </w:numPr>
        <w:spacing w:before="40" w:after="40"/>
      </w:pPr>
      <w:r>
        <w:rPr>
          <w:rFonts w:ascii="Arial" w:cs="Arial" w:eastAsia="Arial" w:hAnsi="Arial"/>
          <w:color w:val="404040"/>
          <w:sz w:val="20"/>
          <w:szCs w:val="20"/>
        </w:rPr>
        <w:t xml:space="preserve">Geo-tagging of WBS elements with polygon boundaries (imported from GIS / shapefile)</w:t>
      </w:r>
    </w:p>
    <w:p>
      <w:pPr>
        <w:pStyle w:val="ListParagraph"/>
        <w:numPr>
          <w:ilvl w:val="0"/>
          <w:numId w:val="2"/>
        </w:numPr>
        <w:spacing w:before="40" w:after="40"/>
      </w:pPr>
      <w:r>
        <w:rPr>
          <w:rFonts w:ascii="Arial" w:cs="Arial" w:eastAsia="Arial" w:hAnsi="Arial"/>
          <w:color w:val="404040"/>
          <w:sz w:val="20"/>
          <w:szCs w:val="20"/>
        </w:rPr>
        <w:t xml:space="preserve">Version control for WBS revisions with audit trail and approval workflow</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1.2 Key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WBS Element</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Hierarchical project node with code, name, phase, type, status, responsible party</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Milestone</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Key deliverable or approval gate with target date, predecessor, and trigger conditions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Project Phase</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Lifecycle stage (Feasibility / DPR / Land Acquisition / Construction / Commissioning)</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OBS Node</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Organisational unit (SPV / Zone Office / Contractor) linked to WBS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Geo-Polygon</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Spatial boundary of each WBS element for satellite overlay</w:t>
            </w:r>
          </w:p>
        </w:tc>
      </w:tr>
    </w:tbl>
    <w:p>
      <w:pPr>
        <w:spacing w:before="60" w:after="60"/>
      </w:pPr>
      <w:r>
        <w:t xml:space="preserve"/>
      </w:r>
    </w:p>
    <w:p>
      <w:pPr>
        <w:pStyle w:val="Heading2"/>
        <w:spacing w:before="240" w:after="120"/>
      </w:pPr>
      <w:r>
        <w:rPr>
          <w:rFonts w:ascii="Arial" w:cs="Arial" w:eastAsia="Arial" w:hAnsi="Arial"/>
          <w:b/>
          <w:bCs/>
          <w:color w:val="2E75B6"/>
          <w:sz w:val="24"/>
          <w:szCs w:val="24"/>
        </w:rPr>
        <w:t xml:space="preserve">Module 2 – Scheduling &amp; Planning (P6-Equivalent Engine)</w:t>
      </w:r>
    </w:p>
    <w:p>
      <w:pPr>
        <w:spacing w:before="80" w:after="80"/>
        <w:jc w:val="both"/>
      </w:pPr>
      <w:r>
        <w:rPr>
          <w:rFonts w:ascii="Arial" w:cs="Arial" w:eastAsia="Arial" w:hAnsi="Arial"/>
          <w:color w:val="404040"/>
          <w:sz w:val="20"/>
          <w:szCs w:val="20"/>
        </w:rPr>
        <w:t xml:space="preserve">The scheduling engine provides CPM/PERT-based schedule modelling aligned with the capabilities of Primavera P6, adapted for government infrastructure workflows including mandatory Public Finance Management System (PFMS) milestone gates.</w:t>
      </w:r>
    </w:p>
    <w:p>
      <w:pPr>
        <w:pStyle w:val="Heading3"/>
        <w:spacing w:before="180" w:after="80"/>
      </w:pPr>
      <w:r>
        <w:rPr>
          <w:rFonts w:ascii="Arial" w:cs="Arial" w:eastAsia="Arial" w:hAnsi="Arial"/>
          <w:b/>
          <w:bCs/>
          <w:color w:val="1A3C5E"/>
          <w:sz w:val="22"/>
          <w:szCs w:val="22"/>
        </w:rPr>
        <w:t xml:space="preserve">2.1 Functional Requirements</w:t>
      </w:r>
    </w:p>
    <w:p>
      <w:pPr>
        <w:pStyle w:val="ListParagraph"/>
        <w:numPr>
          <w:ilvl w:val="0"/>
          <w:numId w:val="2"/>
        </w:numPr>
        <w:spacing w:before="40" w:after="40"/>
      </w:pPr>
      <w:r>
        <w:rPr>
          <w:rFonts w:ascii="Arial" w:cs="Arial" w:eastAsia="Arial" w:hAnsi="Arial"/>
          <w:color w:val="404040"/>
          <w:sz w:val="20"/>
          <w:szCs w:val="20"/>
        </w:rPr>
        <w:t xml:space="preserve">Activity-level scheduling with CPM (Critical Path Method) and PERT duration estimation</w:t>
      </w:r>
    </w:p>
    <w:p>
      <w:pPr>
        <w:pStyle w:val="ListParagraph"/>
        <w:numPr>
          <w:ilvl w:val="0"/>
          <w:numId w:val="2"/>
        </w:numPr>
        <w:spacing w:before="40" w:after="40"/>
      </w:pPr>
      <w:r>
        <w:rPr>
          <w:rFonts w:ascii="Arial" w:cs="Arial" w:eastAsia="Arial" w:hAnsi="Arial"/>
          <w:color w:val="404040"/>
          <w:sz w:val="20"/>
          <w:szCs w:val="20"/>
        </w:rPr>
        <w:t xml:space="preserve">Resource-loaded baseline schedules with resource calendar management</w:t>
      </w:r>
    </w:p>
    <w:p>
      <w:pPr>
        <w:pStyle w:val="ListParagraph"/>
        <w:numPr>
          <w:ilvl w:val="0"/>
          <w:numId w:val="2"/>
        </w:numPr>
        <w:spacing w:before="40" w:after="40"/>
      </w:pPr>
      <w:r>
        <w:rPr>
          <w:rFonts w:ascii="Arial" w:cs="Arial" w:eastAsia="Arial" w:hAnsi="Arial"/>
          <w:color w:val="404040"/>
          <w:sz w:val="20"/>
          <w:szCs w:val="20"/>
        </w:rPr>
        <w:t xml:space="preserve">Multiple baseline storage (Original / Current Approved / Working) with variance analysis</w:t>
      </w:r>
    </w:p>
    <w:p>
      <w:pPr>
        <w:pStyle w:val="ListParagraph"/>
        <w:numPr>
          <w:ilvl w:val="0"/>
          <w:numId w:val="2"/>
        </w:numPr>
        <w:spacing w:before="40" w:after="40"/>
      </w:pPr>
      <w:r>
        <w:rPr>
          <w:rFonts w:ascii="Arial" w:cs="Arial" w:eastAsia="Arial" w:hAnsi="Arial"/>
          <w:color w:val="404040"/>
          <w:sz w:val="20"/>
          <w:szCs w:val="20"/>
        </w:rPr>
        <w:t xml:space="preserve">Earned Value Management (EVM): BCWS, BCWP, ACWP, SPI, CPI computation at every WBS level</w:t>
      </w:r>
    </w:p>
    <w:p>
      <w:pPr>
        <w:pStyle w:val="ListParagraph"/>
        <w:numPr>
          <w:ilvl w:val="0"/>
          <w:numId w:val="2"/>
        </w:numPr>
        <w:spacing w:before="40" w:after="40"/>
      </w:pPr>
      <w:r>
        <w:rPr>
          <w:rFonts w:ascii="Arial" w:cs="Arial" w:eastAsia="Arial" w:hAnsi="Arial"/>
          <w:color w:val="404040"/>
          <w:sz w:val="20"/>
          <w:szCs w:val="20"/>
        </w:rPr>
        <w:t xml:space="preserve">Look-ahead views: 4-week, 13-week rolling window with resource availability check</w:t>
      </w:r>
    </w:p>
    <w:p>
      <w:pPr>
        <w:pStyle w:val="ListParagraph"/>
        <w:numPr>
          <w:ilvl w:val="0"/>
          <w:numId w:val="2"/>
        </w:numPr>
        <w:spacing w:before="40" w:after="40"/>
      </w:pPr>
      <w:r>
        <w:rPr>
          <w:rFonts w:ascii="Arial" w:cs="Arial" w:eastAsia="Arial" w:hAnsi="Arial"/>
          <w:color w:val="404040"/>
          <w:sz w:val="20"/>
          <w:szCs w:val="20"/>
        </w:rPr>
        <w:t xml:space="preserve">Constraint-based scheduling (Must Start On, Finish No Later Than, External Dependencies)</w:t>
      </w:r>
    </w:p>
    <w:p>
      <w:pPr>
        <w:pStyle w:val="ListParagraph"/>
        <w:numPr>
          <w:ilvl w:val="0"/>
          <w:numId w:val="2"/>
        </w:numPr>
        <w:spacing w:before="40" w:after="40"/>
      </w:pPr>
      <w:r>
        <w:rPr>
          <w:rFonts w:ascii="Arial" w:cs="Arial" w:eastAsia="Arial" w:hAnsi="Arial"/>
          <w:color w:val="404040"/>
          <w:sz w:val="20"/>
          <w:szCs w:val="20"/>
        </w:rPr>
        <w:t xml:space="preserve">Schedule compression tools: Fast-tracking, Crashing, What-If scenario comparison</w:t>
      </w:r>
    </w:p>
    <w:p>
      <w:pPr>
        <w:pStyle w:val="ListParagraph"/>
        <w:numPr>
          <w:ilvl w:val="0"/>
          <w:numId w:val="2"/>
        </w:numPr>
        <w:spacing w:before="40" w:after="40"/>
      </w:pPr>
      <w:r>
        <w:rPr>
          <w:rFonts w:ascii="Arial" w:cs="Arial" w:eastAsia="Arial" w:hAnsi="Arial"/>
          <w:color w:val="404040"/>
          <w:sz w:val="20"/>
          <w:szCs w:val="20"/>
        </w:rPr>
        <w:t xml:space="preserve">Integration with satellite progress data to auto-update physical % complete</w:t>
      </w:r>
    </w:p>
    <w:p>
      <w:pPr>
        <w:pStyle w:val="ListParagraph"/>
        <w:numPr>
          <w:ilvl w:val="0"/>
          <w:numId w:val="2"/>
        </w:numPr>
        <w:spacing w:before="40" w:after="40"/>
      </w:pPr>
      <w:r>
        <w:rPr>
          <w:rFonts w:ascii="Arial" w:cs="Arial" w:eastAsia="Arial" w:hAnsi="Arial"/>
          <w:color w:val="404040"/>
          <w:sz w:val="20"/>
          <w:szCs w:val="20"/>
        </w:rPr>
        <w:t xml:space="preserve">Automated schedule health index: Total Float, Near-Critical Path, Schedule Risk Score</w:t>
      </w:r>
    </w:p>
    <w:p>
      <w:pPr>
        <w:pStyle w:val="ListParagraph"/>
        <w:numPr>
          <w:ilvl w:val="0"/>
          <w:numId w:val="2"/>
        </w:numPr>
        <w:spacing w:before="40" w:after="40"/>
      </w:pPr>
      <w:r>
        <w:rPr>
          <w:rFonts w:ascii="Arial" w:cs="Arial" w:eastAsia="Arial" w:hAnsi="Arial"/>
          <w:color w:val="404040"/>
          <w:sz w:val="20"/>
          <w:szCs w:val="20"/>
        </w:rPr>
        <w:t xml:space="preserve">Export to MS Project (.mpp), Primavera P6 XER, and PDF Gantt</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2.2 EVM Dashboard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KPI</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Formula</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Green</w:t>
            </w:r>
          </w:p>
        </w:tc>
        <w:tc>
          <w:tcPr>
            <w:tcW w:type="dxa" w:w="2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Red</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CPI (Cost Performance Index)</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BCWP / ACWP</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 1.0</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&lt; 0.85</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SPI (Schedule Performance Index)</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BCWP / BCWS</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 1.0</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&lt; 0.85</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EAC (Est. At Completion)</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BAC / CPI</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Within 5%</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&gt; 10% variance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VAC (Variance At Completion)</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BAC – EAC</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Positive</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Negative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TCPI (To-Complete PI)</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(BAC–BCWP)/(BAC–ACWP)</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 1.05</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&gt; 1.1</w:t>
            </w:r>
          </w:p>
        </w:tc>
      </w:tr>
    </w:tbl>
    <w:p>
      <w:pPr>
        <w:spacing w:before="60" w:after="60"/>
      </w:pPr>
      <w:r>
        <w:t xml:space="preserve"/>
      </w:r>
    </w:p>
    <w:p>
      <w:pPr>
        <w:pStyle w:val="Heading2"/>
        <w:spacing w:before="240" w:after="120"/>
      </w:pPr>
      <w:r>
        <w:rPr>
          <w:rFonts w:ascii="Arial" w:cs="Arial" w:eastAsia="Arial" w:hAnsi="Arial"/>
          <w:b/>
          <w:bCs/>
          <w:color w:val="2E75B6"/>
          <w:sz w:val="24"/>
          <w:szCs w:val="24"/>
        </w:rPr>
        <w:t xml:space="preserve">Module 3 – Satellite Image Integration &amp; Construction Monitoring</w:t>
      </w:r>
    </w:p>
    <w:p>
      <w:pPr>
        <w:spacing w:before="80" w:after="80"/>
        <w:jc w:val="both"/>
      </w:pPr>
      <w:r>
        <w:rPr>
          <w:rFonts w:ascii="Arial" w:cs="Arial" w:eastAsia="Arial" w:hAnsi="Arial"/>
          <w:color w:val="404040"/>
          <w:sz w:val="20"/>
          <w:szCs w:val="20"/>
        </w:rPr>
        <w:t xml:space="preserve">This is a differentiating capability of IC-PMS. High-resolution satellite imagery is automatically ingested, processed, and overlaid on the WBS geo-polygon map to provide continuous, objective construction progress verification — independent of contractor self-reporting.</w:t>
      </w:r>
    </w:p>
    <w:p>
      <w:pPr>
        <w:pStyle w:val="Heading3"/>
        <w:spacing w:before="180" w:after="80"/>
      </w:pPr>
      <w:r>
        <w:rPr>
          <w:rFonts w:ascii="Arial" w:cs="Arial" w:eastAsia="Arial" w:hAnsi="Arial"/>
          <w:b/>
          <w:bCs/>
          <w:color w:val="1A3C5E"/>
          <w:sz w:val="22"/>
          <w:szCs w:val="22"/>
        </w:rPr>
        <w:t xml:space="preserve">3.1 Architecture Overview</w:t>
      </w:r>
    </w:p>
    <w:p>
      <w:pPr>
        <w:pStyle w:val="ListParagraph"/>
        <w:numPr>
          <w:ilvl w:val="0"/>
          <w:numId w:val="2"/>
        </w:numPr>
        <w:spacing w:before="40" w:after="40"/>
      </w:pPr>
      <w:r>
        <w:rPr>
          <w:rFonts w:ascii="Arial" w:cs="Arial" w:eastAsia="Arial" w:hAnsi="Arial"/>
          <w:color w:val="404040"/>
          <w:sz w:val="20"/>
          <w:szCs w:val="20"/>
        </w:rPr>
        <w:t xml:space="preserve">Satellite data acquisition: Integration with ISRO's Cartosat-3 (sub-0.25m), RESOURCESAT-2A, and commercial providers (Maxar, Planet Labs, Airbus Pleiades) via API</w:t>
      </w:r>
    </w:p>
    <w:p>
      <w:pPr>
        <w:pStyle w:val="ListParagraph"/>
        <w:numPr>
          <w:ilvl w:val="0"/>
          <w:numId w:val="2"/>
        </w:numPr>
        <w:spacing w:before="40" w:after="40"/>
      </w:pPr>
      <w:r>
        <w:rPr>
          <w:rFonts w:ascii="Arial" w:cs="Arial" w:eastAsia="Arial" w:hAnsi="Arial"/>
          <w:color w:val="404040"/>
          <w:sz w:val="20"/>
          <w:szCs w:val="20"/>
        </w:rPr>
        <w:t xml:space="preserve">Repeat imaging frequency: Weekly for active construction zones, Bi-weekly for supporting zones</w:t>
      </w:r>
    </w:p>
    <w:p>
      <w:pPr>
        <w:pStyle w:val="ListParagraph"/>
        <w:numPr>
          <w:ilvl w:val="0"/>
          <w:numId w:val="2"/>
        </w:numPr>
        <w:spacing w:before="40" w:after="40"/>
      </w:pPr>
      <w:r>
        <w:rPr>
          <w:rFonts w:ascii="Arial" w:cs="Arial" w:eastAsia="Arial" w:hAnsi="Arial"/>
          <w:color w:val="404040"/>
          <w:sz w:val="20"/>
          <w:szCs w:val="20"/>
        </w:rPr>
        <w:t xml:space="preserve">Imagery pipeline: Raw tile ingestion → Atmospheric correction → Orthorectification → Georeferenced GeoTIFF → WMTS tile layer</w:t>
      </w:r>
    </w:p>
    <w:p>
      <w:pPr>
        <w:pStyle w:val="ListParagraph"/>
        <w:numPr>
          <w:ilvl w:val="0"/>
          <w:numId w:val="2"/>
        </w:numPr>
        <w:spacing w:before="40" w:after="40"/>
      </w:pPr>
      <w:r>
        <w:rPr>
          <w:rFonts w:ascii="Arial" w:cs="Arial" w:eastAsia="Arial" w:hAnsi="Arial"/>
          <w:color w:val="404040"/>
          <w:sz w:val="20"/>
          <w:szCs w:val="20"/>
        </w:rPr>
        <w:t xml:space="preserve">AI/ML change detection engine: Deep learning (Semantic Segmentation – U-Net architecture) to classify construction activity: earthwork, foundation, superstructure, finishing, vegetation clearance, equipment presence</w:t>
      </w:r>
    </w:p>
    <w:p>
      <w:pPr>
        <w:pStyle w:val="ListParagraph"/>
        <w:numPr>
          <w:ilvl w:val="0"/>
          <w:numId w:val="2"/>
        </w:numPr>
        <w:spacing w:before="40" w:after="40"/>
      </w:pPr>
      <w:r>
        <w:rPr>
          <w:rFonts w:ascii="Arial" w:cs="Arial" w:eastAsia="Arial" w:hAnsi="Arial"/>
          <w:color w:val="404040"/>
          <w:sz w:val="20"/>
          <w:szCs w:val="20"/>
        </w:rPr>
        <w:t xml:space="preserve">Physical progress percentage derived from classified imagery vs. baseline BIM/DPR footprint</w:t>
      </w:r>
    </w:p>
    <w:p>
      <w:pPr>
        <w:pStyle w:val="ListParagraph"/>
        <w:numPr>
          <w:ilvl w:val="0"/>
          <w:numId w:val="2"/>
        </w:numPr>
        <w:spacing w:before="40" w:after="40"/>
      </w:pPr>
      <w:r>
        <w:rPr>
          <w:rFonts w:ascii="Arial" w:cs="Arial" w:eastAsia="Arial" w:hAnsi="Arial"/>
          <w:color w:val="404040"/>
          <w:sz w:val="20"/>
          <w:szCs w:val="20"/>
        </w:rPr>
        <w:t xml:space="preserve">Temporal comparison: Month-over-month animated timelapse per WBS polygon</w:t>
      </w:r>
    </w:p>
    <w:p>
      <w:pPr>
        <w:pStyle w:val="ListParagraph"/>
        <w:numPr>
          <w:ilvl w:val="0"/>
          <w:numId w:val="2"/>
        </w:numPr>
        <w:spacing w:before="40" w:after="40"/>
      </w:pPr>
      <w:r>
        <w:rPr>
          <w:rFonts w:ascii="Arial" w:cs="Arial" w:eastAsia="Arial" w:hAnsi="Arial"/>
          <w:color w:val="404040"/>
          <w:sz w:val="20"/>
          <w:szCs w:val="20"/>
        </w:rPr>
        <w:t xml:space="preserve">Anomaly alerting: Automated flag if satellite-derived progress deviates &gt;10% from contractor-reported progress</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3.2 Functional Requirements</w:t>
      </w:r>
    </w:p>
    <w:p>
      <w:pPr>
        <w:pStyle w:val="ListParagraph"/>
        <w:numPr>
          <w:ilvl w:val="0"/>
          <w:numId w:val="2"/>
        </w:numPr>
        <w:spacing w:before="40" w:after="40"/>
      </w:pPr>
      <w:r>
        <w:rPr>
          <w:rFonts w:ascii="Arial" w:cs="Arial" w:eastAsia="Arial" w:hAnsi="Arial"/>
          <w:color w:val="404040"/>
          <w:sz w:val="20"/>
          <w:szCs w:val="20"/>
        </w:rPr>
        <w:t xml:space="preserve">GIS map viewer with WBS polygon overlay (OpenLayers / MapLibre GL integration)</w:t>
      </w:r>
    </w:p>
    <w:p>
      <w:pPr>
        <w:pStyle w:val="ListParagraph"/>
        <w:numPr>
          <w:ilvl w:val="0"/>
          <w:numId w:val="2"/>
        </w:numPr>
        <w:spacing w:before="40" w:after="40"/>
      </w:pPr>
      <w:r>
        <w:rPr>
          <w:rFonts w:ascii="Arial" w:cs="Arial" w:eastAsia="Arial" w:hAnsi="Arial"/>
          <w:color w:val="404040"/>
          <w:sz w:val="20"/>
          <w:szCs w:val="20"/>
        </w:rPr>
        <w:t xml:space="preserve">Toggle between satellite imagery dates (slider control) for temporal comparison</w:t>
      </w:r>
    </w:p>
    <w:p>
      <w:pPr>
        <w:pStyle w:val="ListParagraph"/>
        <w:numPr>
          <w:ilvl w:val="0"/>
          <w:numId w:val="2"/>
        </w:numPr>
        <w:spacing w:before="40" w:after="40"/>
      </w:pPr>
      <w:r>
        <w:rPr>
          <w:rFonts w:ascii="Arial" w:cs="Arial" w:eastAsia="Arial" w:hAnsi="Arial"/>
          <w:color w:val="404040"/>
          <w:sz w:val="20"/>
          <w:szCs w:val="20"/>
        </w:rPr>
        <w:t xml:space="preserve">RGB, NDVI, NDWI, and false-colour band composites for vegetation, water, and built-up analysis</w:t>
      </w:r>
    </w:p>
    <w:p>
      <w:pPr>
        <w:pStyle w:val="ListParagraph"/>
        <w:numPr>
          <w:ilvl w:val="0"/>
          <w:numId w:val="2"/>
        </w:numPr>
        <w:spacing w:before="40" w:after="40"/>
      </w:pPr>
      <w:r>
        <w:rPr>
          <w:rFonts w:ascii="Arial" w:cs="Arial" w:eastAsia="Arial" w:hAnsi="Arial"/>
          <w:color w:val="404040"/>
          <w:sz w:val="20"/>
          <w:szCs w:val="20"/>
        </w:rPr>
        <w:t xml:space="preserve">Zonal statistics: Per-WBS polygon area of earthwork, construction, idle land</w:t>
      </w:r>
    </w:p>
    <w:p>
      <w:pPr>
        <w:pStyle w:val="ListParagraph"/>
        <w:numPr>
          <w:ilvl w:val="0"/>
          <w:numId w:val="2"/>
        </w:numPr>
        <w:spacing w:before="40" w:after="40"/>
      </w:pPr>
      <w:r>
        <w:rPr>
          <w:rFonts w:ascii="Arial" w:cs="Arial" w:eastAsia="Arial" w:hAnsi="Arial"/>
          <w:color w:val="404040"/>
          <w:sz w:val="20"/>
          <w:szCs w:val="20"/>
        </w:rPr>
        <w:t xml:space="preserve">Integration with drone survey data (GCP-registered orthomosaics and point clouds)</w:t>
      </w:r>
    </w:p>
    <w:p>
      <w:pPr>
        <w:pStyle w:val="ListParagraph"/>
        <w:numPr>
          <w:ilvl w:val="0"/>
          <w:numId w:val="2"/>
        </w:numPr>
        <w:spacing w:before="40" w:after="40"/>
      </w:pPr>
      <w:r>
        <w:rPr>
          <w:rFonts w:ascii="Arial" w:cs="Arial" w:eastAsia="Arial" w:hAnsi="Arial"/>
          <w:color w:val="404040"/>
          <w:sz w:val="20"/>
          <w:szCs w:val="20"/>
        </w:rPr>
        <w:t xml:space="preserve">Automatic progress certificate validation: Satellite-derived % complete must match or exceed contractor-claimed % within configurable tolerance before invoice approval</w:t>
      </w:r>
    </w:p>
    <w:p>
      <w:pPr>
        <w:pStyle w:val="ListParagraph"/>
        <w:numPr>
          <w:ilvl w:val="0"/>
          <w:numId w:val="2"/>
        </w:numPr>
        <w:spacing w:before="40" w:after="40"/>
      </w:pPr>
      <w:r>
        <w:rPr>
          <w:rFonts w:ascii="Arial" w:cs="Arial" w:eastAsia="Arial" w:hAnsi="Arial"/>
          <w:color w:val="404040"/>
          <w:sz w:val="20"/>
          <w:szCs w:val="20"/>
        </w:rPr>
        <w:t xml:space="preserve">Night-time light intensity analysis for active construction activity detection</w:t>
      </w:r>
    </w:p>
    <w:p>
      <w:pPr>
        <w:pStyle w:val="ListParagraph"/>
        <w:numPr>
          <w:ilvl w:val="0"/>
          <w:numId w:val="2"/>
        </w:numPr>
        <w:spacing w:before="40" w:after="40"/>
      </w:pPr>
      <w:r>
        <w:rPr>
          <w:rFonts w:ascii="Arial" w:cs="Arial" w:eastAsia="Arial" w:hAnsi="Arial"/>
          <w:color w:val="404040"/>
          <w:sz w:val="20"/>
          <w:szCs w:val="20"/>
        </w:rPr>
        <w:t xml:space="preserve">Encroachment detection: Alert if construction footprint crosses approved DPR boundary</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3.3 Satellite Data Sources &amp;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Resolution</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Revisit</w:t>
            </w:r>
          </w:p>
        </w:tc>
        <w:tc>
          <w:tcPr>
            <w:tcW w:type="dxa" w:w="4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Use Case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ISRO Cartosat-3</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0.25m PAN</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~4-5 days</w:t>
            </w:r>
          </w:p>
        </w:tc>
        <w:tc>
          <w:tcPr>
            <w:tcW w:type="dxa" w:w="4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Detail construction verification</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ISRO RESOURCESAT-2A</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5.8m LISS-IV</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24 days</w:t>
            </w:r>
          </w:p>
        </w:tc>
        <w:tc>
          <w:tcPr>
            <w:tcW w:type="dxa" w:w="4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Corridor-level land use change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Planet SkySat</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0.5m</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Daily</w:t>
            </w:r>
          </w:p>
        </w:tc>
        <w:tc>
          <w:tcPr>
            <w:tcW w:type="dxa" w:w="4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High-frequency active zone monitoring</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Maxar WorldView-3</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0.31m</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1-3 days</w:t>
            </w:r>
          </w:p>
        </w:tc>
        <w:tc>
          <w:tcPr>
            <w:tcW w:type="dxa" w:w="4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Critical milestone verification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Sentinel-2 (ESA)</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10m</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5 days</w:t>
            </w:r>
          </w:p>
        </w:tc>
        <w:tc>
          <w:tcPr>
            <w:tcW w:type="dxa" w:w="4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Large-area vegetation &amp; water monitoring</w:t>
            </w:r>
          </w:p>
        </w:tc>
      </w:tr>
    </w:tbl>
    <w:p>
      <w:pPr>
        <w:spacing w:before="60" w:after="60"/>
      </w:pPr>
      <w:r>
        <w:t xml:space="preserve"/>
      </w:r>
    </w:p>
    <w:p>
      <w:pPr>
        <w:pStyle w:val="Heading2"/>
        <w:spacing w:before="240" w:after="120"/>
      </w:pPr>
      <w:r>
        <w:rPr>
          <w:rFonts w:ascii="Arial" w:cs="Arial" w:eastAsia="Arial" w:hAnsi="Arial"/>
          <w:b/>
          <w:bCs/>
          <w:color w:val="2E75B6"/>
          <w:sz w:val="24"/>
          <w:szCs w:val="24"/>
        </w:rPr>
        <w:t xml:space="preserve">Module 4 – Cost Management &amp; Budget Control</w:t>
      </w:r>
    </w:p>
    <w:p>
      <w:pPr>
        <w:spacing w:before="80" w:after="80"/>
        <w:jc w:val="both"/>
      </w:pPr>
      <w:r>
        <w:rPr>
          <w:rFonts w:ascii="Arial" w:cs="Arial" w:eastAsia="Arial" w:hAnsi="Arial"/>
          <w:color w:val="404040"/>
          <w:sz w:val="20"/>
          <w:szCs w:val="20"/>
        </w:rPr>
        <w:t xml:space="preserve">Aligned with Primavera Unifier's Cost Manager and India's GFR 2017, PFMS, and CAG audit requirements, this module provides full lifecycle financial control from budget sanction to final account.</w:t>
      </w:r>
    </w:p>
    <w:p>
      <w:pPr>
        <w:pStyle w:val="Heading3"/>
        <w:spacing w:before="180" w:after="80"/>
      </w:pPr>
      <w:r>
        <w:rPr>
          <w:rFonts w:ascii="Arial" w:cs="Arial" w:eastAsia="Arial" w:hAnsi="Arial"/>
          <w:b/>
          <w:bCs/>
          <w:color w:val="1A3C5E"/>
          <w:sz w:val="22"/>
          <w:szCs w:val="22"/>
        </w:rPr>
        <w:t xml:space="preserve">4.1 Budget Management</w:t>
      </w:r>
    </w:p>
    <w:p>
      <w:pPr>
        <w:pStyle w:val="ListParagraph"/>
        <w:numPr>
          <w:ilvl w:val="0"/>
          <w:numId w:val="2"/>
        </w:numPr>
        <w:spacing w:before="40" w:after="40"/>
      </w:pPr>
      <w:r>
        <w:rPr>
          <w:rFonts w:ascii="Arial" w:cs="Arial" w:eastAsia="Arial" w:hAnsi="Arial"/>
          <w:color w:val="404040"/>
          <w:sz w:val="20"/>
          <w:szCs w:val="20"/>
        </w:rPr>
        <w:t xml:space="preserve">Budget hierarchy mirroring WBS: Total Programme Budget → Corridor Budget → Node Budget → Package Budget → Work Item Budget</w:t>
      </w:r>
    </w:p>
    <w:p>
      <w:pPr>
        <w:pStyle w:val="ListParagraph"/>
        <w:numPr>
          <w:ilvl w:val="0"/>
          <w:numId w:val="2"/>
        </w:numPr>
        <w:spacing w:before="40" w:after="40"/>
      </w:pPr>
      <w:r>
        <w:rPr>
          <w:rFonts w:ascii="Arial" w:cs="Arial" w:eastAsia="Arial" w:hAnsi="Arial"/>
          <w:color w:val="404040"/>
          <w:sz w:val="20"/>
          <w:szCs w:val="20"/>
        </w:rPr>
        <w:t xml:space="preserve">Budget creation from DPR estimates (uploaded as structured Excel or CPWD SOR-linked rates)</w:t>
      </w:r>
    </w:p>
    <w:p>
      <w:pPr>
        <w:pStyle w:val="ListParagraph"/>
        <w:numPr>
          <w:ilvl w:val="0"/>
          <w:numId w:val="2"/>
        </w:numPr>
        <w:spacing w:before="40" w:after="40"/>
      </w:pPr>
      <w:r>
        <w:rPr>
          <w:rFonts w:ascii="Arial" w:cs="Arial" w:eastAsia="Arial" w:hAnsi="Arial"/>
          <w:color w:val="404040"/>
          <w:sz w:val="20"/>
          <w:szCs w:val="20"/>
        </w:rPr>
        <w:t xml:space="preserve">Budget approval workflow: SPV CFO → NICDC Finance → Ministry → CCEA (for projects above threshold)</w:t>
      </w:r>
    </w:p>
    <w:p>
      <w:pPr>
        <w:pStyle w:val="ListParagraph"/>
        <w:numPr>
          <w:ilvl w:val="0"/>
          <w:numId w:val="2"/>
        </w:numPr>
        <w:spacing w:before="40" w:after="40"/>
      </w:pPr>
      <w:r>
        <w:rPr>
          <w:rFonts w:ascii="Arial" w:cs="Arial" w:eastAsia="Arial" w:hAnsi="Arial"/>
          <w:color w:val="404040"/>
          <w:sz w:val="20"/>
          <w:szCs w:val="20"/>
        </w:rPr>
        <w:t xml:space="preserve">Contingency and price escalation provisions (linked to RBI WPI/CPI indices)</w:t>
      </w:r>
    </w:p>
    <w:p>
      <w:pPr>
        <w:pStyle w:val="ListParagraph"/>
        <w:numPr>
          <w:ilvl w:val="0"/>
          <w:numId w:val="2"/>
        </w:numPr>
        <w:spacing w:before="40" w:after="40"/>
      </w:pPr>
      <w:r>
        <w:rPr>
          <w:rFonts w:ascii="Arial" w:cs="Arial" w:eastAsia="Arial" w:hAnsi="Arial"/>
          <w:color w:val="404040"/>
          <w:sz w:val="20"/>
          <w:szCs w:val="20"/>
        </w:rPr>
        <w:t xml:space="preserve">Revised Cost Estimate (RCE) workflow with mandatory justification and differential analysis</w:t>
      </w:r>
    </w:p>
    <w:p>
      <w:pPr>
        <w:pStyle w:val="ListParagraph"/>
        <w:numPr>
          <w:ilvl w:val="0"/>
          <w:numId w:val="2"/>
        </w:numPr>
        <w:spacing w:before="40" w:after="40"/>
      </w:pPr>
      <w:r>
        <w:rPr>
          <w:rFonts w:ascii="Arial" w:cs="Arial" w:eastAsia="Arial" w:hAnsi="Arial"/>
          <w:color w:val="404040"/>
          <w:sz w:val="20"/>
          <w:szCs w:val="20"/>
        </w:rPr>
        <w:t xml:space="preserve">Multi-currency support: INR primary, USD/EUR for imported equipment contracts</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4.2 Cost Control &amp; Forecasting</w:t>
      </w:r>
    </w:p>
    <w:p>
      <w:pPr>
        <w:pStyle w:val="ListParagraph"/>
        <w:numPr>
          <w:ilvl w:val="0"/>
          <w:numId w:val="2"/>
        </w:numPr>
        <w:spacing w:before="40" w:after="40"/>
      </w:pPr>
      <w:r>
        <w:rPr>
          <w:rFonts w:ascii="Arial" w:cs="Arial" w:eastAsia="Arial" w:hAnsi="Arial"/>
          <w:color w:val="404040"/>
          <w:sz w:val="20"/>
          <w:szCs w:val="20"/>
        </w:rPr>
        <w:t xml:space="preserve">Commitment register: Purchase Orders, Work Orders, LOAs — linked to WBS and budget code</w:t>
      </w:r>
    </w:p>
    <w:p>
      <w:pPr>
        <w:pStyle w:val="ListParagraph"/>
        <w:numPr>
          <w:ilvl w:val="0"/>
          <w:numId w:val="2"/>
        </w:numPr>
        <w:spacing w:before="40" w:after="40"/>
      </w:pPr>
      <w:r>
        <w:rPr>
          <w:rFonts w:ascii="Arial" w:cs="Arial" w:eastAsia="Arial" w:hAnsi="Arial"/>
          <w:color w:val="404040"/>
          <w:sz w:val="20"/>
          <w:szCs w:val="20"/>
        </w:rPr>
        <w:t xml:space="preserve">Actual cost recording: Invoice approval → PFMS payment → auto-journal in cost ledger</w:t>
      </w:r>
    </w:p>
    <w:p>
      <w:pPr>
        <w:pStyle w:val="ListParagraph"/>
        <w:numPr>
          <w:ilvl w:val="0"/>
          <w:numId w:val="2"/>
        </w:numPr>
        <w:spacing w:before="40" w:after="40"/>
      </w:pPr>
      <w:r>
        <w:rPr>
          <w:rFonts w:ascii="Arial" w:cs="Arial" w:eastAsia="Arial" w:hAnsi="Arial"/>
          <w:color w:val="404040"/>
          <w:sz w:val="20"/>
          <w:szCs w:val="20"/>
        </w:rPr>
        <w:t xml:space="preserve">Cost-to-complete forecasting using EVM and ML trend regression</w:t>
      </w:r>
    </w:p>
    <w:p>
      <w:pPr>
        <w:pStyle w:val="ListParagraph"/>
        <w:numPr>
          <w:ilvl w:val="0"/>
          <w:numId w:val="2"/>
        </w:numPr>
        <w:spacing w:before="40" w:after="40"/>
      </w:pPr>
      <w:r>
        <w:rPr>
          <w:rFonts w:ascii="Arial" w:cs="Arial" w:eastAsia="Arial" w:hAnsi="Arial"/>
          <w:color w:val="404040"/>
          <w:sz w:val="20"/>
          <w:szCs w:val="20"/>
        </w:rPr>
        <w:t xml:space="preserve">Fund utilisation tracking: Budgeted vs. Committed vs. Actuals vs. Forecast at every WBS level</w:t>
      </w:r>
    </w:p>
    <w:p>
      <w:pPr>
        <w:pStyle w:val="ListParagraph"/>
        <w:numPr>
          <w:ilvl w:val="0"/>
          <w:numId w:val="2"/>
        </w:numPr>
        <w:spacing w:before="40" w:after="40"/>
      </w:pPr>
      <w:r>
        <w:rPr>
          <w:rFonts w:ascii="Arial" w:cs="Arial" w:eastAsia="Arial" w:hAnsi="Arial"/>
          <w:color w:val="404040"/>
          <w:sz w:val="20"/>
          <w:szCs w:val="20"/>
        </w:rPr>
        <w:t xml:space="preserve">Cash flow S-curve generation: Planned vs. Actual vs. Forecast monthly and cumulative</w:t>
      </w:r>
    </w:p>
    <w:p>
      <w:pPr>
        <w:pStyle w:val="ListParagraph"/>
        <w:numPr>
          <w:ilvl w:val="0"/>
          <w:numId w:val="2"/>
        </w:numPr>
        <w:spacing w:before="40" w:after="40"/>
      </w:pPr>
      <w:r>
        <w:rPr>
          <w:rFonts w:ascii="Arial" w:cs="Arial" w:eastAsia="Arial" w:hAnsi="Arial"/>
          <w:color w:val="404040"/>
          <w:sz w:val="20"/>
          <w:szCs w:val="20"/>
        </w:rPr>
        <w:t xml:space="preserve">Variation Order (VO) and Extra Item tracking with approval chain and budget impact</w:t>
      </w:r>
    </w:p>
    <w:p>
      <w:pPr>
        <w:pStyle w:val="ListParagraph"/>
        <w:numPr>
          <w:ilvl w:val="0"/>
          <w:numId w:val="2"/>
        </w:numPr>
        <w:spacing w:before="40" w:after="40"/>
      </w:pPr>
      <w:r>
        <w:rPr>
          <w:rFonts w:ascii="Arial" w:cs="Arial" w:eastAsia="Arial" w:hAnsi="Arial"/>
          <w:color w:val="404040"/>
          <w:sz w:val="20"/>
          <w:szCs w:val="20"/>
        </w:rPr>
        <w:t xml:space="preserve">Retention and Performance Guarantee tracking per contract</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4.3 Cost Module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DPR Estimate Upload</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Baseline budget is seeded from DPR cost estimates by WBS element and cost category</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LOA / Work Order Issuance</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Commitment recorded; uncommitted budget reduces; committed budget increases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Running Account (RA) Bill</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Contractor submits measurement book; PMC certifies; invoice raised in system</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Satellite Verification</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AI-derived physical progress gates invoice before finance approval</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Invoice Approval Workflow</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SPV Engineer → PMC → SPV Finance → NICDC → PFMS Payment</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Actual Cost Posted</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Payment confirmed; actual expenditure updates WBS cost node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Forecasting Engine</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EVM CPI and trend regression update EAC and cash flow forecast</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4.4 Budget Control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KPI</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Target</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Reporting Frequency</w:t>
            </w:r>
          </w:p>
        </w:tc>
        <w:tc>
          <w:tcPr>
            <w:tcW w:type="dxa" w:w="2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Alert Threshold</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Budget Utilisation %</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As per annual allocation</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Monthly</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&lt; 60% by Q3 or &gt; 100%</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Cost Overrun %</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0%</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Monthly</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&gt; 5% package level</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Pending RA Bills Value</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&lt; 10% of LOA value</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Weekly</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&gt; 15% for &gt; 30 days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Contingency Consumed %</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&lt; 80%</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Quarterly</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&gt; 80% triggers RCE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VO Value as % of Contract</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&lt; 10% per GFR</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Per VO</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&gt; 10% triggers Ministry approval</w:t>
            </w:r>
          </w:p>
        </w:tc>
      </w:tr>
    </w:tbl>
    <w:p>
      <w:pPr>
        <w:spacing w:before="60" w:after="60"/>
      </w:pPr>
      <w:r>
        <w:t xml:space="preserve"/>
      </w:r>
    </w:p>
    <w:p>
      <w:pPr>
        <w:pStyle w:val="Heading2"/>
        <w:spacing w:before="240" w:after="120"/>
      </w:pPr>
      <w:r>
        <w:rPr>
          <w:rFonts w:ascii="Arial" w:cs="Arial" w:eastAsia="Arial" w:hAnsi="Arial"/>
          <w:b/>
          <w:bCs/>
          <w:color w:val="2E75B6"/>
          <w:sz w:val="24"/>
          <w:szCs w:val="24"/>
        </w:rPr>
        <w:t xml:space="preserve">Module 5 – Contract &amp; Procurement Management</w:t>
      </w:r>
    </w:p>
    <w:p>
      <w:pPr>
        <w:spacing w:before="80" w:after="80"/>
        <w:jc w:val="both"/>
      </w:pPr>
      <w:r>
        <w:rPr>
          <w:rFonts w:ascii="Arial" w:cs="Arial" w:eastAsia="Arial" w:hAnsi="Arial"/>
          <w:color w:val="404040"/>
          <w:sz w:val="20"/>
          <w:szCs w:val="20"/>
        </w:rPr>
        <w:t xml:space="preserve">This module manages the full contract lifecycle from tender preparation through award, execution, variation management, dispute resolution, and final account settlement — aligned with GFR 2017, CVC guidelines, and GeM/CPPP integration.</w:t>
      </w:r>
    </w:p>
    <w:p>
      <w:pPr>
        <w:pStyle w:val="Heading3"/>
        <w:spacing w:before="180" w:after="80"/>
      </w:pPr>
      <w:r>
        <w:rPr>
          <w:rFonts w:ascii="Arial" w:cs="Arial" w:eastAsia="Arial" w:hAnsi="Arial"/>
          <w:b/>
          <w:bCs/>
          <w:color w:val="1A3C5E"/>
          <w:sz w:val="22"/>
          <w:szCs w:val="22"/>
        </w:rPr>
        <w:t xml:space="preserve">5.1 Functional Requirements</w:t>
      </w:r>
    </w:p>
    <w:p>
      <w:pPr>
        <w:pStyle w:val="ListParagraph"/>
        <w:numPr>
          <w:ilvl w:val="0"/>
          <w:numId w:val="2"/>
        </w:numPr>
        <w:spacing w:before="40" w:after="40"/>
      </w:pPr>
      <w:r>
        <w:rPr>
          <w:rFonts w:ascii="Arial" w:cs="Arial" w:eastAsia="Arial" w:hAnsi="Arial"/>
          <w:color w:val="404040"/>
          <w:sz w:val="20"/>
          <w:szCs w:val="20"/>
        </w:rPr>
        <w:t xml:space="preserve">Procurement plan creation: Linked to WBS, budgeted amount, procurement method (Open Tender, LTE, GeM, Nomination)</w:t>
      </w:r>
    </w:p>
    <w:p>
      <w:pPr>
        <w:pStyle w:val="ListParagraph"/>
        <w:numPr>
          <w:ilvl w:val="0"/>
          <w:numId w:val="2"/>
        </w:numPr>
        <w:spacing w:before="40" w:after="40"/>
      </w:pPr>
      <w:r>
        <w:rPr>
          <w:rFonts w:ascii="Arial" w:cs="Arial" w:eastAsia="Arial" w:hAnsi="Arial"/>
          <w:color w:val="404040"/>
          <w:sz w:val="20"/>
          <w:szCs w:val="20"/>
        </w:rPr>
        <w:t xml:space="preserve">Tender document preparation: NIT, BOQ, Conditions of Contract, technical specifications — version-controlled</w:t>
      </w:r>
    </w:p>
    <w:p>
      <w:pPr>
        <w:pStyle w:val="ListParagraph"/>
        <w:numPr>
          <w:ilvl w:val="0"/>
          <w:numId w:val="2"/>
        </w:numPr>
        <w:spacing w:before="40" w:after="40"/>
      </w:pPr>
      <w:r>
        <w:rPr>
          <w:rFonts w:ascii="Arial" w:cs="Arial" w:eastAsia="Arial" w:hAnsi="Arial"/>
          <w:color w:val="404040"/>
          <w:sz w:val="20"/>
          <w:szCs w:val="20"/>
        </w:rPr>
        <w:t xml:space="preserve">Bid management: Tender notice publication to CPPP, GeM; bid opening in system; comparative statement generation</w:t>
      </w:r>
    </w:p>
    <w:p>
      <w:pPr>
        <w:pStyle w:val="ListParagraph"/>
        <w:numPr>
          <w:ilvl w:val="0"/>
          <w:numId w:val="2"/>
        </w:numPr>
        <w:spacing w:before="40" w:after="40"/>
      </w:pPr>
      <w:r>
        <w:rPr>
          <w:rFonts w:ascii="Arial" w:cs="Arial" w:eastAsia="Arial" w:hAnsi="Arial"/>
          <w:color w:val="404040"/>
          <w:sz w:val="20"/>
          <w:szCs w:val="20"/>
        </w:rPr>
        <w:t xml:space="preserve">Contract award workflow: Lowest evaluated bidder → Negotiation minutes → LOA issuance → Performance Guarantee verification</w:t>
      </w:r>
    </w:p>
    <w:p>
      <w:pPr>
        <w:pStyle w:val="ListParagraph"/>
        <w:numPr>
          <w:ilvl w:val="0"/>
          <w:numId w:val="2"/>
        </w:numPr>
        <w:spacing w:before="40" w:after="40"/>
      </w:pPr>
      <w:r>
        <w:rPr>
          <w:rFonts w:ascii="Arial" w:cs="Arial" w:eastAsia="Arial" w:hAnsi="Arial"/>
          <w:color w:val="404040"/>
          <w:sz w:val="20"/>
          <w:szCs w:val="20"/>
        </w:rPr>
        <w:t xml:space="preserve">Contract master: All LOAs, Sub-contracts, Consultant agreements registered with key dates and financial values</w:t>
      </w:r>
    </w:p>
    <w:p>
      <w:pPr>
        <w:pStyle w:val="ListParagraph"/>
        <w:numPr>
          <w:ilvl w:val="0"/>
          <w:numId w:val="2"/>
        </w:numPr>
        <w:spacing w:before="40" w:after="40"/>
      </w:pPr>
      <w:r>
        <w:rPr>
          <w:rFonts w:ascii="Arial" w:cs="Arial" w:eastAsia="Arial" w:hAnsi="Arial"/>
          <w:color w:val="404040"/>
          <w:sz w:val="20"/>
          <w:szCs w:val="20"/>
        </w:rPr>
        <w:t xml:space="preserve">Milestone-based payment schedule: Contractual vs. achieved milestone tracking</w:t>
      </w:r>
    </w:p>
    <w:p>
      <w:pPr>
        <w:pStyle w:val="ListParagraph"/>
        <w:numPr>
          <w:ilvl w:val="0"/>
          <w:numId w:val="2"/>
        </w:numPr>
        <w:spacing w:before="40" w:after="40"/>
      </w:pPr>
      <w:r>
        <w:rPr>
          <w:rFonts w:ascii="Arial" w:cs="Arial" w:eastAsia="Arial" w:hAnsi="Arial"/>
          <w:color w:val="404040"/>
          <w:sz w:val="20"/>
          <w:szCs w:val="20"/>
        </w:rPr>
        <w:t xml:space="preserve">Variation Order management: VO initiation, engineer's justification, PMC recommendation, SPV/NICDC approval based on VO value thresholds</w:t>
      </w:r>
    </w:p>
    <w:p>
      <w:pPr>
        <w:pStyle w:val="ListParagraph"/>
        <w:numPr>
          <w:ilvl w:val="0"/>
          <w:numId w:val="2"/>
        </w:numPr>
        <w:spacing w:before="40" w:after="40"/>
      </w:pPr>
      <w:r>
        <w:rPr>
          <w:rFonts w:ascii="Arial" w:cs="Arial" w:eastAsia="Arial" w:hAnsi="Arial"/>
          <w:color w:val="404040"/>
          <w:sz w:val="20"/>
          <w:szCs w:val="20"/>
        </w:rPr>
        <w:t xml:space="preserve">Defect Liability Period (DLP) tracking with performance bond expiry alerts</w:t>
      </w:r>
    </w:p>
    <w:p>
      <w:pPr>
        <w:pStyle w:val="ListParagraph"/>
        <w:numPr>
          <w:ilvl w:val="0"/>
          <w:numId w:val="2"/>
        </w:numPr>
        <w:spacing w:before="40" w:after="40"/>
      </w:pPr>
      <w:r>
        <w:rPr>
          <w:rFonts w:ascii="Arial" w:cs="Arial" w:eastAsia="Arial" w:hAnsi="Arial"/>
          <w:color w:val="404040"/>
          <w:sz w:val="20"/>
          <w:szCs w:val="20"/>
        </w:rPr>
        <w:t xml:space="preserve">Contractor performance scorecard: Quality, safety, progress, payment compliance</w:t>
      </w:r>
    </w:p>
    <w:p>
      <w:pPr>
        <w:pStyle w:val="ListParagraph"/>
        <w:numPr>
          <w:ilvl w:val="0"/>
          <w:numId w:val="2"/>
        </w:numPr>
        <w:spacing w:before="40" w:after="40"/>
      </w:pPr>
      <w:r>
        <w:rPr>
          <w:rFonts w:ascii="Arial" w:cs="Arial" w:eastAsia="Arial" w:hAnsi="Arial"/>
          <w:color w:val="404040"/>
          <w:sz w:val="20"/>
          <w:szCs w:val="20"/>
        </w:rPr>
        <w:t xml:space="preserve">Dispute and arbitration register with timeline tracking</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5.2 Procurement Types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Procurement Type</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Governing Rule</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IC-PMS Workflow</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Open Competitive Tender</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GFR Rule 149 / CPPP</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NIT → Bid → CS → Award → LOA</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GeM Portal Procurement</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GFR Rule 149A</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GeM order linked; PO in IC-PMS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Limited Tender Enquiry</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GFR Rule 152</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Shortlist → Quote → CS → Award</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Nomination / Single Source</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Cabinet approval</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Justification → Approval → Contract</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PPP / Concession Agreements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PPP Policy</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Concessionaire KPIs tracked</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EPC Design-Build</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FIDIC Yellow Book</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Milestone + LD management</w:t>
            </w:r>
          </w:p>
        </w:tc>
      </w:tr>
    </w:tbl>
    <w:p>
      <w:pPr>
        <w:spacing w:before="60" w:after="60"/>
      </w:pPr>
      <w:r>
        <w:t xml:space="preserve"/>
      </w:r>
    </w:p>
    <w:p>
      <w:pPr>
        <w:pStyle w:val="Heading2"/>
        <w:spacing w:before="240" w:after="120"/>
      </w:pPr>
      <w:r>
        <w:rPr>
          <w:rFonts w:ascii="Arial" w:cs="Arial" w:eastAsia="Arial" w:hAnsi="Arial"/>
          <w:b/>
          <w:bCs/>
          <w:color w:val="2E75B6"/>
          <w:sz w:val="24"/>
          <w:szCs w:val="24"/>
        </w:rPr>
        <w:t xml:space="preserve">Module 6 – Document Management System (DMS)</w:t>
      </w:r>
    </w:p>
    <w:p>
      <w:pPr>
        <w:spacing w:before="80" w:after="80"/>
        <w:jc w:val="both"/>
      </w:pPr>
      <w:r>
        <w:rPr>
          <w:rFonts w:ascii="Arial" w:cs="Arial" w:eastAsia="Arial" w:hAnsi="Arial"/>
          <w:color w:val="404040"/>
          <w:sz w:val="20"/>
          <w:szCs w:val="20"/>
        </w:rPr>
        <w:t xml:space="preserve">A secure, structured repository for all project documents — aligned with Primavera Unifier's Document Manager — with version control, access permissions, transmittal workflows, and integration with the approval modules.</w:t>
      </w:r>
    </w:p>
    <w:p>
      <w:pPr>
        <w:pStyle w:val="Heading3"/>
        <w:spacing w:before="180" w:after="80"/>
      </w:pPr>
      <w:r>
        <w:rPr>
          <w:rFonts w:ascii="Arial" w:cs="Arial" w:eastAsia="Arial" w:hAnsi="Arial"/>
          <w:b/>
          <w:bCs/>
          <w:color w:val="1A3C5E"/>
          <w:sz w:val="22"/>
          <w:szCs w:val="22"/>
        </w:rPr>
        <w:t xml:space="preserve">6.1 Functional Requirements</w:t>
      </w:r>
    </w:p>
    <w:p>
      <w:pPr>
        <w:pStyle w:val="ListParagraph"/>
        <w:numPr>
          <w:ilvl w:val="0"/>
          <w:numId w:val="2"/>
        </w:numPr>
        <w:spacing w:before="40" w:after="40"/>
      </w:pPr>
      <w:r>
        <w:rPr>
          <w:rFonts w:ascii="Arial" w:cs="Arial" w:eastAsia="Arial" w:hAnsi="Arial"/>
          <w:color w:val="404040"/>
          <w:sz w:val="20"/>
          <w:szCs w:val="20"/>
        </w:rPr>
        <w:t xml:space="preserve">Hierarchical document folder structure mirroring WBS and document category (DPR, Drawing, Specification, Contract, Approval, Correspondence, As-Built)</w:t>
      </w:r>
    </w:p>
    <w:p>
      <w:pPr>
        <w:pStyle w:val="ListParagraph"/>
        <w:numPr>
          <w:ilvl w:val="0"/>
          <w:numId w:val="2"/>
        </w:numPr>
        <w:spacing w:before="40" w:after="40"/>
      </w:pPr>
      <w:r>
        <w:rPr>
          <w:rFonts w:ascii="Arial" w:cs="Arial" w:eastAsia="Arial" w:hAnsi="Arial"/>
          <w:color w:val="404040"/>
          <w:sz w:val="20"/>
          <w:szCs w:val="20"/>
        </w:rPr>
        <w:t xml:space="preserve">Version control with major/minor versioning, change description, and revision history</w:t>
      </w:r>
    </w:p>
    <w:p>
      <w:pPr>
        <w:pStyle w:val="ListParagraph"/>
        <w:numPr>
          <w:ilvl w:val="0"/>
          <w:numId w:val="2"/>
        </w:numPr>
        <w:spacing w:before="40" w:after="40"/>
      </w:pPr>
      <w:r>
        <w:rPr>
          <w:rFonts w:ascii="Arial" w:cs="Arial" w:eastAsia="Arial" w:hAnsi="Arial"/>
          <w:color w:val="404040"/>
          <w:sz w:val="20"/>
          <w:szCs w:val="20"/>
        </w:rPr>
        <w:t xml:space="preserve">Transmittal management: Formal document issue, receipt confirmation, review status tracking</w:t>
      </w:r>
    </w:p>
    <w:p>
      <w:pPr>
        <w:pStyle w:val="ListParagraph"/>
        <w:numPr>
          <w:ilvl w:val="0"/>
          <w:numId w:val="2"/>
        </w:numPr>
        <w:spacing w:before="40" w:after="40"/>
      </w:pPr>
      <w:r>
        <w:rPr>
          <w:rFonts w:ascii="Arial" w:cs="Arial" w:eastAsia="Arial" w:hAnsi="Arial"/>
          <w:color w:val="404040"/>
          <w:sz w:val="20"/>
          <w:szCs w:val="20"/>
        </w:rPr>
        <w:t xml:space="preserve">Drawing register: Drawing number, revision, discipline, package, status (IFA / IFC / As-Built)</w:t>
      </w:r>
    </w:p>
    <w:p>
      <w:pPr>
        <w:pStyle w:val="ListParagraph"/>
        <w:numPr>
          <w:ilvl w:val="0"/>
          <w:numId w:val="2"/>
        </w:numPr>
        <w:spacing w:before="40" w:after="40"/>
      </w:pPr>
      <w:r>
        <w:rPr>
          <w:rFonts w:ascii="Arial" w:cs="Arial" w:eastAsia="Arial" w:hAnsi="Arial"/>
          <w:color w:val="404040"/>
          <w:sz w:val="20"/>
          <w:szCs w:val="20"/>
        </w:rPr>
        <w:t xml:space="preserve">Submittal register: Contractor submittals (shop drawings, material approval requests) with PMC review timeline SLA</w:t>
      </w:r>
    </w:p>
    <w:p>
      <w:pPr>
        <w:pStyle w:val="ListParagraph"/>
        <w:numPr>
          <w:ilvl w:val="0"/>
          <w:numId w:val="2"/>
        </w:numPr>
        <w:spacing w:before="40" w:after="40"/>
      </w:pPr>
      <w:r>
        <w:rPr>
          <w:rFonts w:ascii="Arial" w:cs="Arial" w:eastAsia="Arial" w:hAnsi="Arial"/>
          <w:color w:val="404040"/>
          <w:sz w:val="20"/>
          <w:szCs w:val="20"/>
        </w:rPr>
        <w:t xml:space="preserve">RFI (Request for Information) register with response deadline tracking and escalation</w:t>
      </w:r>
    </w:p>
    <w:p>
      <w:pPr>
        <w:pStyle w:val="ListParagraph"/>
        <w:numPr>
          <w:ilvl w:val="0"/>
          <w:numId w:val="2"/>
        </w:numPr>
        <w:spacing w:before="40" w:after="40"/>
      </w:pPr>
      <w:r>
        <w:rPr>
          <w:rFonts w:ascii="Arial" w:cs="Arial" w:eastAsia="Arial" w:hAnsi="Arial"/>
          <w:color w:val="404040"/>
          <w:sz w:val="20"/>
          <w:szCs w:val="20"/>
        </w:rPr>
        <w:t xml:space="preserve">Digital signature integration (Aadhaar eSign, DSC) for government approvals</w:t>
      </w:r>
    </w:p>
    <w:p>
      <w:pPr>
        <w:pStyle w:val="ListParagraph"/>
        <w:numPr>
          <w:ilvl w:val="0"/>
          <w:numId w:val="2"/>
        </w:numPr>
        <w:spacing w:before="40" w:after="40"/>
      </w:pPr>
      <w:r>
        <w:rPr>
          <w:rFonts w:ascii="Arial" w:cs="Arial" w:eastAsia="Arial" w:hAnsi="Arial"/>
          <w:color w:val="404040"/>
          <w:sz w:val="20"/>
          <w:szCs w:val="20"/>
        </w:rPr>
        <w:t xml:space="preserve">Full-text search across all documents (OCR-based for scanned documents)</w:t>
      </w:r>
    </w:p>
    <w:p>
      <w:pPr>
        <w:pStyle w:val="ListParagraph"/>
        <w:numPr>
          <w:ilvl w:val="0"/>
          <w:numId w:val="2"/>
        </w:numPr>
        <w:spacing w:before="40" w:after="40"/>
      </w:pPr>
      <w:r>
        <w:rPr>
          <w:rFonts w:ascii="Arial" w:cs="Arial" w:eastAsia="Arial" w:hAnsi="Arial"/>
          <w:color w:val="404040"/>
          <w:sz w:val="20"/>
          <w:szCs w:val="20"/>
        </w:rPr>
        <w:t xml:space="preserve">Document retention policy with archival rules per NIC/government records management norms</w:t>
      </w:r>
    </w:p>
    <w:p>
      <w:pPr>
        <w:pStyle w:val="ListParagraph"/>
        <w:numPr>
          <w:ilvl w:val="0"/>
          <w:numId w:val="2"/>
        </w:numPr>
        <w:spacing w:before="40" w:after="40"/>
      </w:pPr>
      <w:r>
        <w:rPr>
          <w:rFonts w:ascii="Arial" w:cs="Arial" w:eastAsia="Arial" w:hAnsi="Arial"/>
          <w:color w:val="404040"/>
          <w:sz w:val="20"/>
          <w:szCs w:val="20"/>
        </w:rPr>
        <w:t xml:space="preserve">Integration with NIC DigiLocker and Bharat Cloud for sovereign document storage</w:t>
      </w:r>
    </w:p>
    <w:p>
      <w:pPr>
        <w:spacing w:before="60" w:after="60"/>
      </w:pPr>
      <w:r>
        <w:t xml:space="preserve"/>
      </w:r>
    </w:p>
    <w:p>
      <w:pPr>
        <w:pStyle w:val="Heading2"/>
        <w:spacing w:before="240" w:after="120"/>
      </w:pPr>
      <w:r>
        <w:rPr>
          <w:rFonts w:ascii="Arial" w:cs="Arial" w:eastAsia="Arial" w:hAnsi="Arial"/>
          <w:b/>
          <w:bCs/>
          <w:color w:val="2E75B6"/>
          <w:sz w:val="24"/>
          <w:szCs w:val="24"/>
        </w:rPr>
        <w:t xml:space="preserve">Module 7 – Risk Management</w:t>
      </w:r>
    </w:p>
    <w:p>
      <w:pPr>
        <w:spacing w:before="80" w:after="80"/>
        <w:jc w:val="both"/>
      </w:pPr>
      <w:r>
        <w:rPr>
          <w:rFonts w:ascii="Arial" w:cs="Arial" w:eastAsia="Arial" w:hAnsi="Arial"/>
          <w:color w:val="404040"/>
          <w:sz w:val="20"/>
          <w:szCs w:val="20"/>
        </w:rPr>
        <w:t xml:space="preserve">Structured risk identification, quantification, mitigation planning, and monitoring — extending Primavera Risk Analysis (Monte Carlo) capabilities with India-specific infrastructure risk categories.</w:t>
      </w:r>
    </w:p>
    <w:p>
      <w:pPr>
        <w:pStyle w:val="Heading3"/>
        <w:spacing w:before="180" w:after="80"/>
      </w:pPr>
      <w:r>
        <w:rPr>
          <w:rFonts w:ascii="Arial" w:cs="Arial" w:eastAsia="Arial" w:hAnsi="Arial"/>
          <w:b/>
          <w:bCs/>
          <w:color w:val="1A3C5E"/>
          <w:sz w:val="22"/>
          <w:szCs w:val="22"/>
        </w:rPr>
        <w:t xml:space="preserve">7.1 Functional Requirements</w:t>
      </w:r>
    </w:p>
    <w:p>
      <w:pPr>
        <w:pStyle w:val="ListParagraph"/>
        <w:numPr>
          <w:ilvl w:val="0"/>
          <w:numId w:val="2"/>
        </w:numPr>
        <w:spacing w:before="40" w:after="40"/>
      </w:pPr>
      <w:r>
        <w:rPr>
          <w:rFonts w:ascii="Arial" w:cs="Arial" w:eastAsia="Arial" w:hAnsi="Arial"/>
          <w:color w:val="404040"/>
          <w:sz w:val="20"/>
          <w:szCs w:val="20"/>
        </w:rPr>
        <w:t xml:space="preserve">Risk register: Risk ID, category, description, probability, impact (Schedule / Cost / Technical / Legal / Environmental), risk owner, mitigation plan, residual risk</w:t>
      </w:r>
    </w:p>
    <w:p>
      <w:pPr>
        <w:pStyle w:val="ListParagraph"/>
        <w:numPr>
          <w:ilvl w:val="0"/>
          <w:numId w:val="2"/>
        </w:numPr>
        <w:spacing w:before="40" w:after="40"/>
      </w:pPr>
      <w:r>
        <w:rPr>
          <w:rFonts w:ascii="Arial" w:cs="Arial" w:eastAsia="Arial" w:hAnsi="Arial"/>
          <w:color w:val="404040"/>
          <w:sz w:val="20"/>
          <w:szCs w:val="20"/>
        </w:rPr>
        <w:t xml:space="preserve">Risk scoring matrix (5x5): Heat map visualisation at corridor and node level</w:t>
      </w:r>
    </w:p>
    <w:p>
      <w:pPr>
        <w:pStyle w:val="ListParagraph"/>
        <w:numPr>
          <w:ilvl w:val="0"/>
          <w:numId w:val="2"/>
        </w:numPr>
        <w:spacing w:before="40" w:after="40"/>
      </w:pPr>
      <w:r>
        <w:rPr>
          <w:rFonts w:ascii="Arial" w:cs="Arial" w:eastAsia="Arial" w:hAnsi="Arial"/>
          <w:color w:val="404040"/>
          <w:sz w:val="20"/>
          <w:szCs w:val="20"/>
        </w:rPr>
        <w:t xml:space="preserve">Quantitative risk analysis: Monte Carlo simulation for schedule and cost risk; P50 and P80 confidence levels</w:t>
      </w:r>
    </w:p>
    <w:p>
      <w:pPr>
        <w:pStyle w:val="ListParagraph"/>
        <w:numPr>
          <w:ilvl w:val="0"/>
          <w:numId w:val="2"/>
        </w:numPr>
        <w:spacing w:before="40" w:after="40"/>
      </w:pPr>
      <w:r>
        <w:rPr>
          <w:rFonts w:ascii="Arial" w:cs="Arial" w:eastAsia="Arial" w:hAnsi="Arial"/>
          <w:color w:val="404040"/>
          <w:sz w:val="20"/>
          <w:szCs w:val="20"/>
        </w:rPr>
        <w:t xml:space="preserve">Risk categories tailored for Indian infrastructure: Land Acquisition delay, Forest clearance (MoEFCC), Utility shifting, Contractor financial health, Monsoon impact, Law &amp; Order</w:t>
      </w:r>
    </w:p>
    <w:p>
      <w:pPr>
        <w:pStyle w:val="ListParagraph"/>
        <w:numPr>
          <w:ilvl w:val="0"/>
          <w:numId w:val="2"/>
        </w:numPr>
        <w:spacing w:before="40" w:after="40"/>
      </w:pPr>
      <w:r>
        <w:rPr>
          <w:rFonts w:ascii="Arial" w:cs="Arial" w:eastAsia="Arial" w:hAnsi="Arial"/>
          <w:color w:val="404040"/>
          <w:sz w:val="20"/>
          <w:szCs w:val="20"/>
        </w:rPr>
        <w:t xml:space="preserve">Trigger-based alert system: Risk automatically escalates to AMBER/RED based on trigger events (e.g., land acquisition stalled &gt; 30 days)</w:t>
      </w:r>
    </w:p>
    <w:p>
      <w:pPr>
        <w:pStyle w:val="ListParagraph"/>
        <w:numPr>
          <w:ilvl w:val="0"/>
          <w:numId w:val="2"/>
        </w:numPr>
        <w:spacing w:before="40" w:after="40"/>
      </w:pPr>
      <w:r>
        <w:rPr>
          <w:rFonts w:ascii="Arial" w:cs="Arial" w:eastAsia="Arial" w:hAnsi="Arial"/>
          <w:color w:val="404040"/>
          <w:sz w:val="20"/>
          <w:szCs w:val="20"/>
        </w:rPr>
        <w:t xml:space="preserve">Risk response tracking: Mitigation actions with owner, deadline, and effectiveness rating</w:t>
      </w:r>
    </w:p>
    <w:p>
      <w:pPr>
        <w:pStyle w:val="ListParagraph"/>
        <w:numPr>
          <w:ilvl w:val="0"/>
          <w:numId w:val="2"/>
        </w:numPr>
        <w:spacing w:before="40" w:after="40"/>
      </w:pPr>
      <w:r>
        <w:rPr>
          <w:rFonts w:ascii="Arial" w:cs="Arial" w:eastAsia="Arial" w:hAnsi="Arial"/>
          <w:color w:val="404040"/>
          <w:sz w:val="20"/>
          <w:szCs w:val="20"/>
        </w:rPr>
        <w:t xml:space="preserve">Integration with schedule module: High probability risks linked to schedule float analysis</w:t>
      </w:r>
    </w:p>
    <w:p>
      <w:pPr>
        <w:pStyle w:val="ListParagraph"/>
        <w:numPr>
          <w:ilvl w:val="0"/>
          <w:numId w:val="2"/>
        </w:numPr>
        <w:spacing w:before="40" w:after="40"/>
      </w:pPr>
      <w:r>
        <w:rPr>
          <w:rFonts w:ascii="Arial" w:cs="Arial" w:eastAsia="Arial" w:hAnsi="Arial"/>
          <w:color w:val="404040"/>
          <w:sz w:val="20"/>
          <w:szCs w:val="20"/>
        </w:rPr>
        <w:t xml:space="preserve">Opportunity register (separate from threats): Value engineering, green material substitution, faster delivery</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7.2 Risk Categories – Industrial Corridor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 Category</w:t>
            </w:r>
          </w:p>
        </w:tc>
        <w:tc>
          <w:tcPr>
            <w:tcW w:type="dxa" w:w="3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Examples</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Typical Impact</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Land Acquisition</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Litigations, holdout owners, tribal land (FRA)</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Schedule: 6–24 months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Statutory Clearances</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Environmental, Forest, CRZ, Railway, AAI NOC</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Schedule: 3–18 months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Contractor Risk</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Subcontractor default, financial stress, labour dispute</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Cost + Schedule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Design &amp; Engineering</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DPR inadequacy, unforeseen geological conditions</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Cost: 5–20%</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Geopolitical / Policy</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Policy reversal, state government change</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Scope / Funding</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Natural Hazards</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Flood, cyclone, earthquake (zone-specific)</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Schedule + Cost</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Market Risk</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Steel/cement price escalation, forex for machinery</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Cost: 3–15%</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Technology Risk</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New construction technology failure, satellite data outage</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Schedule</w:t>
            </w:r>
          </w:p>
        </w:tc>
      </w:tr>
    </w:tbl>
    <w:p>
      <w:pPr>
        <w:spacing w:before="60" w:after="60"/>
      </w:pPr>
      <w:r>
        <w:t xml:space="preserve"/>
      </w:r>
    </w:p>
    <w:p>
      <w:pPr>
        <w:pStyle w:val="Heading2"/>
        <w:spacing w:before="240" w:after="120"/>
      </w:pPr>
      <w:r>
        <w:rPr>
          <w:rFonts w:ascii="Arial" w:cs="Arial" w:eastAsia="Arial" w:hAnsi="Arial"/>
          <w:b/>
          <w:bCs/>
          <w:color w:val="2E75B6"/>
          <w:sz w:val="24"/>
          <w:szCs w:val="24"/>
        </w:rPr>
        <w:t xml:space="preserve">Module 8 – Resource Management</w:t>
      </w:r>
    </w:p>
    <w:p>
      <w:pPr>
        <w:spacing w:before="80" w:after="80"/>
        <w:jc w:val="both"/>
      </w:pPr>
      <w:r>
        <w:rPr>
          <w:rFonts w:ascii="Arial" w:cs="Arial" w:eastAsia="Arial" w:hAnsi="Arial"/>
          <w:color w:val="404040"/>
          <w:sz w:val="20"/>
          <w:szCs w:val="20"/>
        </w:rPr>
        <w:t xml:space="preserve">Unified management of human resources, equipment, and materials across all corridor projects to optimise utilisation and prevent bottlenecks.</w:t>
      </w:r>
    </w:p>
    <w:p>
      <w:pPr>
        <w:pStyle w:val="Heading3"/>
        <w:spacing w:before="180" w:after="80"/>
      </w:pPr>
      <w:r>
        <w:rPr>
          <w:rFonts w:ascii="Arial" w:cs="Arial" w:eastAsia="Arial" w:hAnsi="Arial"/>
          <w:b/>
          <w:bCs/>
          <w:color w:val="1A3C5E"/>
          <w:sz w:val="22"/>
          <w:szCs w:val="22"/>
        </w:rPr>
        <w:t xml:space="preserve">8.1 Functional Requirements</w:t>
      </w:r>
    </w:p>
    <w:p>
      <w:pPr>
        <w:pStyle w:val="ListParagraph"/>
        <w:numPr>
          <w:ilvl w:val="0"/>
          <w:numId w:val="2"/>
        </w:numPr>
        <w:spacing w:before="40" w:after="40"/>
      </w:pPr>
      <w:r>
        <w:rPr>
          <w:rFonts w:ascii="Arial" w:cs="Arial" w:eastAsia="Arial" w:hAnsi="Arial"/>
          <w:color w:val="404040"/>
          <w:sz w:val="20"/>
          <w:szCs w:val="20"/>
        </w:rPr>
        <w:t xml:space="preserve">Resource library: Labour categories (Skilled / Semi-Skilled / Unskilled), Equipment types (Excavator, Crane, Paver, Batching Plant), Material types (Steel, Cement, Aggregate, Bitumen)</w:t>
      </w:r>
    </w:p>
    <w:p>
      <w:pPr>
        <w:pStyle w:val="ListParagraph"/>
        <w:numPr>
          <w:ilvl w:val="0"/>
          <w:numId w:val="2"/>
        </w:numPr>
        <w:spacing w:before="40" w:after="40"/>
      </w:pPr>
      <w:r>
        <w:rPr>
          <w:rFonts w:ascii="Arial" w:cs="Arial" w:eastAsia="Arial" w:hAnsi="Arial"/>
          <w:color w:val="404040"/>
          <w:sz w:val="20"/>
          <w:szCs w:val="20"/>
        </w:rPr>
        <w:t xml:space="preserve">Resource loading on schedule activities with availability calendars (including Gazetted holidays state-wise)</w:t>
      </w:r>
    </w:p>
    <w:p>
      <w:pPr>
        <w:pStyle w:val="ListParagraph"/>
        <w:numPr>
          <w:ilvl w:val="0"/>
          <w:numId w:val="2"/>
        </w:numPr>
        <w:spacing w:before="40" w:after="40"/>
      </w:pPr>
      <w:r>
        <w:rPr>
          <w:rFonts w:ascii="Arial" w:cs="Arial" w:eastAsia="Arial" w:hAnsi="Arial"/>
          <w:color w:val="404040"/>
          <w:sz w:val="20"/>
          <w:szCs w:val="20"/>
        </w:rPr>
        <w:t xml:space="preserve">Resource histogram and S-curve: Planned vs. actual resource deployment per period</w:t>
      </w:r>
    </w:p>
    <w:p>
      <w:pPr>
        <w:pStyle w:val="ListParagraph"/>
        <w:numPr>
          <w:ilvl w:val="0"/>
          <w:numId w:val="2"/>
        </w:numPr>
        <w:spacing w:before="40" w:after="40"/>
      </w:pPr>
      <w:r>
        <w:rPr>
          <w:rFonts w:ascii="Arial" w:cs="Arial" w:eastAsia="Arial" w:hAnsi="Arial"/>
          <w:color w:val="404040"/>
          <w:sz w:val="20"/>
          <w:szCs w:val="20"/>
        </w:rPr>
        <w:t xml:space="preserve">Equipment log: Equipment ID, make, deployment site, utilisation hours, breakdown log</w:t>
      </w:r>
    </w:p>
    <w:p>
      <w:pPr>
        <w:pStyle w:val="ListParagraph"/>
        <w:numPr>
          <w:ilvl w:val="0"/>
          <w:numId w:val="2"/>
        </w:numPr>
        <w:spacing w:before="40" w:after="40"/>
      </w:pPr>
      <w:r>
        <w:rPr>
          <w:rFonts w:ascii="Arial" w:cs="Arial" w:eastAsia="Arial" w:hAnsi="Arial"/>
          <w:color w:val="404040"/>
          <w:sz w:val="20"/>
          <w:szCs w:val="20"/>
        </w:rPr>
        <w:t xml:space="preserve">Labour deployment tracking: Daily labour return by contractor, skill category, site location</w:t>
      </w:r>
    </w:p>
    <w:p>
      <w:pPr>
        <w:pStyle w:val="ListParagraph"/>
        <w:numPr>
          <w:ilvl w:val="0"/>
          <w:numId w:val="2"/>
        </w:numPr>
        <w:spacing w:before="40" w:after="40"/>
      </w:pPr>
      <w:r>
        <w:rPr>
          <w:rFonts w:ascii="Arial" w:cs="Arial" w:eastAsia="Arial" w:hAnsi="Arial"/>
          <w:color w:val="404040"/>
          <w:sz w:val="20"/>
          <w:szCs w:val="20"/>
        </w:rPr>
        <w:t xml:space="preserve">Material reconciliation: Issued vs. consumed vs. on-site balance per WBS element</w:t>
      </w:r>
    </w:p>
    <w:p>
      <w:pPr>
        <w:pStyle w:val="ListParagraph"/>
        <w:numPr>
          <w:ilvl w:val="0"/>
          <w:numId w:val="2"/>
        </w:numPr>
        <w:spacing w:before="40" w:after="40"/>
      </w:pPr>
      <w:r>
        <w:rPr>
          <w:rFonts w:ascii="Arial" w:cs="Arial" w:eastAsia="Arial" w:hAnsi="Arial"/>
          <w:color w:val="404040"/>
          <w:sz w:val="20"/>
          <w:szCs w:val="20"/>
        </w:rPr>
        <w:t xml:space="preserve">Resource levelling: Automated over-allocation detection and levelling recommendations</w:t>
      </w:r>
    </w:p>
    <w:p>
      <w:pPr>
        <w:pStyle w:val="ListParagraph"/>
        <w:numPr>
          <w:ilvl w:val="0"/>
          <w:numId w:val="2"/>
        </w:numPr>
        <w:spacing w:before="40" w:after="40"/>
      </w:pPr>
      <w:r>
        <w:rPr>
          <w:rFonts w:ascii="Arial" w:cs="Arial" w:eastAsia="Arial" w:hAnsi="Arial"/>
          <w:color w:val="404040"/>
          <w:sz w:val="20"/>
          <w:szCs w:val="20"/>
        </w:rPr>
        <w:t xml:space="preserve">Subcontractor resource tracking rolled up to main contractor resource plan</w:t>
      </w:r>
    </w:p>
    <w:p>
      <w:pPr>
        <w:spacing w:before="60" w:after="60"/>
      </w:pPr>
      <w:r>
        <w:t xml:space="preserve"/>
      </w:r>
    </w:p>
    <w:p>
      <w:pPr>
        <w:pStyle w:val="Heading2"/>
        <w:spacing w:before="240" w:after="120"/>
      </w:pPr>
      <w:r>
        <w:rPr>
          <w:rFonts w:ascii="Arial" w:cs="Arial" w:eastAsia="Arial" w:hAnsi="Arial"/>
          <w:b/>
          <w:bCs/>
          <w:color w:val="2E75B6"/>
          <w:sz w:val="24"/>
          <w:szCs w:val="24"/>
        </w:rPr>
        <w:t xml:space="preserve">Module 9 – Reporting, Analytics &amp; Executive Dashboards</w:t>
      </w:r>
    </w:p>
    <w:p>
      <w:pPr>
        <w:spacing w:before="80" w:after="80"/>
        <w:jc w:val="both"/>
      </w:pPr>
      <w:r>
        <w:rPr>
          <w:rFonts w:ascii="Arial" w:cs="Arial" w:eastAsia="Arial" w:hAnsi="Arial"/>
          <w:color w:val="404040"/>
          <w:sz w:val="20"/>
          <w:szCs w:val="20"/>
        </w:rPr>
        <w:t xml:space="preserve">IC-PMS delivers a comprehensive, multi-tier reporting and analytics layer designed for large construction programmes, supporting operational, tactical, and strategic decision-making from site to Cabinet level.</w:t>
      </w:r>
    </w:p>
    <w:p>
      <w:pPr>
        <w:pStyle w:val="Heading3"/>
        <w:spacing w:before="180" w:after="80"/>
      </w:pPr>
      <w:r>
        <w:rPr>
          <w:rFonts w:ascii="Arial" w:cs="Arial" w:eastAsia="Arial" w:hAnsi="Arial"/>
          <w:b/>
          <w:bCs/>
          <w:color w:val="1A3C5E"/>
          <w:sz w:val="22"/>
          <w:szCs w:val="22"/>
        </w:rPr>
        <w:t xml:space="preserve">9.1 Dashboard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Tier</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Audience</w:t>
            </w:r>
          </w:p>
        </w:tc>
        <w:tc>
          <w:tcPr>
            <w:tcW w:type="dxa" w:w="4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Information</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Tier 1 – Executive</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Cabinet / CCEA / Minister</w:t>
            </w:r>
          </w:p>
        </w:tc>
        <w:tc>
          <w:tcPr>
            <w:tcW w:type="dxa" w:w="4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Corridor-level traffic light status, spend vs. budget, % complete, top 5 risks</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Tier 2 – Programme</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NICDC HQ / SPV MD</w:t>
            </w:r>
          </w:p>
        </w:tc>
        <w:tc>
          <w:tcPr>
            <w:tcW w:type="dxa" w:w="4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EVM metrics, milestone tracker, satellite imagery thumbnails, contractor scorecard</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Tier 3 – Operational</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PMC / SPV Ops</w:t>
            </w:r>
          </w:p>
        </w:tc>
        <w:tc>
          <w:tcPr>
            <w:tcW w:type="dxa" w:w="4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Package-level Gantt, RA bill status, RFI/Submittal age, resource utilisation</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Tier 4 – Field</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Site Engineer / Contractor</w:t>
            </w:r>
          </w:p>
        </w:tc>
        <w:tc>
          <w:tcPr>
            <w:tcW w:type="dxa" w:w="4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Daily progress log, punch list, quality checklists, mobile-first interface</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9.2 Standard Reports</w:t>
      </w:r>
    </w:p>
    <w:p>
      <w:pPr>
        <w:pStyle w:val="ListParagraph"/>
        <w:numPr>
          <w:ilvl w:val="0"/>
          <w:numId w:val="2"/>
        </w:numPr>
        <w:spacing w:before="40" w:after="40"/>
      </w:pPr>
      <w:r>
        <w:rPr>
          <w:rFonts w:ascii="Arial" w:cs="Arial" w:eastAsia="Arial" w:hAnsi="Arial"/>
          <w:color w:val="404040"/>
          <w:sz w:val="20"/>
          <w:szCs w:val="20"/>
        </w:rPr>
        <w:t xml:space="preserve">Monthly Progress Report (MPR): Physical and financial progress by corridor, node, package — auto-generated PDF with satellite thumbnails</w:t>
      </w:r>
    </w:p>
    <w:p>
      <w:pPr>
        <w:pStyle w:val="ListParagraph"/>
        <w:numPr>
          <w:ilvl w:val="0"/>
          <w:numId w:val="2"/>
        </w:numPr>
        <w:spacing w:before="40" w:after="40"/>
      </w:pPr>
      <w:r>
        <w:rPr>
          <w:rFonts w:ascii="Arial" w:cs="Arial" w:eastAsia="Arial" w:hAnsi="Arial"/>
          <w:color w:val="404040"/>
          <w:sz w:val="20"/>
          <w:szCs w:val="20"/>
        </w:rPr>
        <w:t xml:space="preserve">Weekly Flash Report: Top-5 delayed packages, critical path variance, payment pendencies</w:t>
      </w:r>
    </w:p>
    <w:p>
      <w:pPr>
        <w:pStyle w:val="ListParagraph"/>
        <w:numPr>
          <w:ilvl w:val="0"/>
          <w:numId w:val="2"/>
        </w:numPr>
        <w:spacing w:before="40" w:after="40"/>
      </w:pPr>
      <w:r>
        <w:rPr>
          <w:rFonts w:ascii="Arial" w:cs="Arial" w:eastAsia="Arial" w:hAnsi="Arial"/>
          <w:color w:val="404040"/>
          <w:sz w:val="20"/>
          <w:szCs w:val="20"/>
        </w:rPr>
        <w:t xml:space="preserve">EVM Report: SPI, CPI, EAC, VAC at programme, corridor, and contract level</w:t>
      </w:r>
    </w:p>
    <w:p>
      <w:pPr>
        <w:pStyle w:val="ListParagraph"/>
        <w:numPr>
          <w:ilvl w:val="0"/>
          <w:numId w:val="2"/>
        </w:numPr>
        <w:spacing w:before="40" w:after="40"/>
      </w:pPr>
      <w:r>
        <w:rPr>
          <w:rFonts w:ascii="Arial" w:cs="Arial" w:eastAsia="Arial" w:hAnsi="Arial"/>
          <w:color w:val="404040"/>
          <w:sz w:val="20"/>
          <w:szCs w:val="20"/>
        </w:rPr>
        <w:t xml:space="preserve">Cash Flow Report: Monthly planned vs. actual vs. forecast with S-curve chart</w:t>
      </w:r>
    </w:p>
    <w:p>
      <w:pPr>
        <w:pStyle w:val="ListParagraph"/>
        <w:numPr>
          <w:ilvl w:val="0"/>
          <w:numId w:val="2"/>
        </w:numPr>
        <w:spacing w:before="40" w:after="40"/>
      </w:pPr>
      <w:r>
        <w:rPr>
          <w:rFonts w:ascii="Arial" w:cs="Arial" w:eastAsia="Arial" w:hAnsi="Arial"/>
          <w:color w:val="404040"/>
          <w:sz w:val="20"/>
          <w:szCs w:val="20"/>
        </w:rPr>
        <w:t xml:space="preserve">Satellite Progress Comparison Report: AI-derived vs. contractor-claimed progress discrepancy analysis</w:t>
      </w:r>
    </w:p>
    <w:p>
      <w:pPr>
        <w:pStyle w:val="ListParagraph"/>
        <w:numPr>
          <w:ilvl w:val="0"/>
          <w:numId w:val="2"/>
        </w:numPr>
        <w:spacing w:before="40" w:after="40"/>
      </w:pPr>
      <w:r>
        <w:rPr>
          <w:rFonts w:ascii="Arial" w:cs="Arial" w:eastAsia="Arial" w:hAnsi="Arial"/>
          <w:color w:val="404040"/>
          <w:sz w:val="20"/>
          <w:szCs w:val="20"/>
        </w:rPr>
        <w:t xml:space="preserve">Contractor Performance Report: Payment compliance, progress achievement, safety incidents, quality non-conformances</w:t>
      </w:r>
    </w:p>
    <w:p>
      <w:pPr>
        <w:pStyle w:val="ListParagraph"/>
        <w:numPr>
          <w:ilvl w:val="0"/>
          <w:numId w:val="2"/>
        </w:numPr>
        <w:spacing w:before="40" w:after="40"/>
      </w:pPr>
      <w:r>
        <w:rPr>
          <w:rFonts w:ascii="Arial" w:cs="Arial" w:eastAsia="Arial" w:hAnsi="Arial"/>
          <w:color w:val="404040"/>
          <w:sz w:val="20"/>
          <w:szCs w:val="20"/>
        </w:rPr>
        <w:t xml:space="preserve">Land Acquisition Status Report: Survey No. wise status (Acquired / Under Acquisition / Litigated / Tribal) per corridor</w:t>
      </w:r>
    </w:p>
    <w:p>
      <w:pPr>
        <w:pStyle w:val="ListParagraph"/>
        <w:numPr>
          <w:ilvl w:val="0"/>
          <w:numId w:val="2"/>
        </w:numPr>
        <w:spacing w:before="40" w:after="40"/>
      </w:pPr>
      <w:r>
        <w:rPr>
          <w:rFonts w:ascii="Arial" w:cs="Arial" w:eastAsia="Arial" w:hAnsi="Arial"/>
          <w:color w:val="404040"/>
          <w:sz w:val="20"/>
          <w:szCs w:val="20"/>
        </w:rPr>
        <w:t xml:space="preserve">Risk Register Report: AMBER and RED risks, overdue mitigation actions, emerging risks</w:t>
      </w:r>
    </w:p>
    <w:p>
      <w:pPr>
        <w:pStyle w:val="ListParagraph"/>
        <w:numPr>
          <w:ilvl w:val="0"/>
          <w:numId w:val="2"/>
        </w:numPr>
        <w:spacing w:before="40" w:after="40"/>
      </w:pPr>
      <w:r>
        <w:rPr>
          <w:rFonts w:ascii="Arial" w:cs="Arial" w:eastAsia="Arial" w:hAnsi="Arial"/>
          <w:color w:val="404040"/>
          <w:sz w:val="20"/>
          <w:szCs w:val="20"/>
        </w:rPr>
        <w:t xml:space="preserve">Contract Management Report: VO status, Liquidated Damages triggered, DLP expiry upcoming</w:t>
      </w:r>
    </w:p>
    <w:p>
      <w:pPr>
        <w:pStyle w:val="ListParagraph"/>
        <w:numPr>
          <w:ilvl w:val="0"/>
          <w:numId w:val="2"/>
        </w:numPr>
        <w:spacing w:before="40" w:after="40"/>
      </w:pPr>
      <w:r>
        <w:rPr>
          <w:rFonts w:ascii="Arial" w:cs="Arial" w:eastAsia="Arial" w:hAnsi="Arial"/>
          <w:color w:val="404040"/>
          <w:sz w:val="20"/>
          <w:szCs w:val="20"/>
        </w:rPr>
        <w:t xml:space="preserve">Audit Trail Report: All system actions by user with timestamp and IP (for CAG / Internal Audit)</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9.3 Analytics Capabilities</w:t>
      </w:r>
    </w:p>
    <w:p>
      <w:pPr>
        <w:pStyle w:val="ListParagraph"/>
        <w:numPr>
          <w:ilvl w:val="0"/>
          <w:numId w:val="2"/>
        </w:numPr>
        <w:spacing w:before="40" w:after="40"/>
      </w:pPr>
      <w:r>
        <w:rPr>
          <w:rFonts w:ascii="Arial" w:cs="Arial" w:eastAsia="Arial" w:hAnsi="Arial"/>
          <w:color w:val="404040"/>
          <w:sz w:val="20"/>
          <w:szCs w:val="20"/>
        </w:rPr>
        <w:t xml:space="preserve">Predictive project completion date using ML-based schedule regression (trained on historical NHAI/NMRC/other GoI infrastructure data)</w:t>
      </w:r>
    </w:p>
    <w:p>
      <w:pPr>
        <w:pStyle w:val="ListParagraph"/>
        <w:numPr>
          <w:ilvl w:val="0"/>
          <w:numId w:val="2"/>
        </w:numPr>
        <w:spacing w:before="40" w:after="40"/>
      </w:pPr>
      <w:r>
        <w:rPr>
          <w:rFonts w:ascii="Arial" w:cs="Arial" w:eastAsia="Arial" w:hAnsi="Arial"/>
          <w:color w:val="404040"/>
          <w:sz w:val="20"/>
          <w:szCs w:val="20"/>
        </w:rPr>
        <w:t xml:space="preserve">Cost overrun probability model: Bayesian network trained on project attributes and early cost signals</w:t>
      </w:r>
    </w:p>
    <w:p>
      <w:pPr>
        <w:pStyle w:val="ListParagraph"/>
        <w:numPr>
          <w:ilvl w:val="0"/>
          <w:numId w:val="2"/>
        </w:numPr>
        <w:spacing w:before="40" w:after="40"/>
      </w:pPr>
      <w:r>
        <w:rPr>
          <w:rFonts w:ascii="Arial" w:cs="Arial" w:eastAsia="Arial" w:hAnsi="Arial"/>
          <w:color w:val="404040"/>
          <w:sz w:val="20"/>
          <w:szCs w:val="20"/>
        </w:rPr>
        <w:t xml:space="preserve">Satellite-derived progress velocity: Rate of construction area addition per week per zone</w:t>
      </w:r>
    </w:p>
    <w:p>
      <w:pPr>
        <w:pStyle w:val="ListParagraph"/>
        <w:numPr>
          <w:ilvl w:val="0"/>
          <w:numId w:val="2"/>
        </w:numPr>
        <w:spacing w:before="40" w:after="40"/>
      </w:pPr>
      <w:r>
        <w:rPr>
          <w:rFonts w:ascii="Arial" w:cs="Arial" w:eastAsia="Arial" w:hAnsi="Arial"/>
          <w:color w:val="404040"/>
          <w:sz w:val="20"/>
          <w:szCs w:val="20"/>
        </w:rPr>
        <w:t xml:space="preserve">Contractor benchmarking: Cross-corridor performance comparison for similar package types</w:t>
      </w:r>
    </w:p>
    <w:p>
      <w:pPr>
        <w:pStyle w:val="ListParagraph"/>
        <w:numPr>
          <w:ilvl w:val="0"/>
          <w:numId w:val="2"/>
        </w:numPr>
        <w:spacing w:before="40" w:after="40"/>
      </w:pPr>
      <w:r>
        <w:rPr>
          <w:rFonts w:ascii="Arial" w:cs="Arial" w:eastAsia="Arial" w:hAnsi="Arial"/>
          <w:color w:val="404040"/>
          <w:sz w:val="20"/>
          <w:szCs w:val="20"/>
        </w:rPr>
        <w:t xml:space="preserve">Heat map of programme health: Geographic heat map overlaid on corridor map with colour-coded risk/progress</w:t>
      </w:r>
    </w:p>
    <w:p>
      <w:pPr>
        <w:pStyle w:val="ListParagraph"/>
        <w:numPr>
          <w:ilvl w:val="0"/>
          <w:numId w:val="2"/>
        </w:numPr>
        <w:spacing w:before="40" w:after="40"/>
      </w:pPr>
      <w:r>
        <w:rPr>
          <w:rFonts w:ascii="Arial" w:cs="Arial" w:eastAsia="Arial" w:hAnsi="Arial"/>
          <w:color w:val="404040"/>
          <w:sz w:val="20"/>
          <w:szCs w:val="20"/>
        </w:rPr>
        <w:t xml:space="preserve">Natural language query interface (LLM-powered): 'What is the cost overrun risk on DMIC Package 7?' → Instant dashboard response</w:t>
      </w:r>
    </w:p>
    <w:p>
      <w:pPr>
        <w:pStyle w:val="ListParagraph"/>
        <w:numPr>
          <w:ilvl w:val="0"/>
          <w:numId w:val="2"/>
        </w:numPr>
        <w:spacing w:before="40" w:after="40"/>
      </w:pPr>
      <w:r>
        <w:rPr>
          <w:rFonts w:ascii="Arial" w:cs="Arial" w:eastAsia="Arial" w:hAnsi="Arial"/>
          <w:color w:val="404040"/>
          <w:sz w:val="20"/>
          <w:szCs w:val="20"/>
        </w:rPr>
        <w:t xml:space="preserve">BI export: Power BI / Tableau / DOMO connectors via ODBC / REST API</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9.4 Satellite Analytics Reports</w:t>
      </w:r>
    </w:p>
    <w:p>
      <w:pPr>
        <w:pStyle w:val="ListParagraph"/>
        <w:numPr>
          <w:ilvl w:val="0"/>
          <w:numId w:val="2"/>
        </w:numPr>
        <w:spacing w:before="40" w:after="40"/>
      </w:pPr>
      <w:r>
        <w:rPr>
          <w:rFonts w:ascii="Arial" w:cs="Arial" w:eastAsia="Arial" w:hAnsi="Arial"/>
          <w:color w:val="404040"/>
          <w:sz w:val="20"/>
          <w:szCs w:val="20"/>
        </w:rPr>
        <w:t xml:space="preserve">Construction Velocity Index (CVI): Area of active construction per week as % of total workfront</w:t>
      </w:r>
    </w:p>
    <w:p>
      <w:pPr>
        <w:pStyle w:val="ListParagraph"/>
        <w:numPr>
          <w:ilvl w:val="0"/>
          <w:numId w:val="2"/>
        </w:numPr>
        <w:spacing w:before="40" w:after="40"/>
      </w:pPr>
      <w:r>
        <w:rPr>
          <w:rFonts w:ascii="Arial" w:cs="Arial" w:eastAsia="Arial" w:hAnsi="Arial"/>
          <w:color w:val="404040"/>
          <w:sz w:val="20"/>
          <w:szCs w:val="20"/>
        </w:rPr>
        <w:t xml:space="preserve">Earthwork Progress Map: Colour-graded polygon map of earthwork completion across corridor</w:t>
      </w:r>
    </w:p>
    <w:p>
      <w:pPr>
        <w:pStyle w:val="ListParagraph"/>
        <w:numPr>
          <w:ilvl w:val="0"/>
          <w:numId w:val="2"/>
        </w:numPr>
        <w:spacing w:before="40" w:after="40"/>
      </w:pPr>
      <w:r>
        <w:rPr>
          <w:rFonts w:ascii="Arial" w:cs="Arial" w:eastAsia="Arial" w:hAnsi="Arial"/>
          <w:color w:val="404040"/>
          <w:sz w:val="20"/>
          <w:szCs w:val="20"/>
        </w:rPr>
        <w:t xml:space="preserve">Equipment Density Map: AI-detected equipment count per WBS zone from satellite (proxy for contractor mobilisation)</w:t>
      </w:r>
    </w:p>
    <w:p>
      <w:pPr>
        <w:pStyle w:val="ListParagraph"/>
        <w:numPr>
          <w:ilvl w:val="0"/>
          <w:numId w:val="2"/>
        </w:numPr>
        <w:spacing w:before="40" w:after="40"/>
      </w:pPr>
      <w:r>
        <w:rPr>
          <w:rFonts w:ascii="Arial" w:cs="Arial" w:eastAsia="Arial" w:hAnsi="Arial"/>
          <w:color w:val="404040"/>
          <w:sz w:val="20"/>
          <w:szCs w:val="20"/>
        </w:rPr>
        <w:t xml:space="preserve">Encroachment Alert Report: WBS zones where construction footprint exceeds approved DPR boundary</w:t>
      </w:r>
    </w:p>
    <w:p>
      <w:pPr>
        <w:pStyle w:val="ListParagraph"/>
        <w:numPr>
          <w:ilvl w:val="0"/>
          <w:numId w:val="2"/>
        </w:numPr>
        <w:spacing w:before="40" w:after="40"/>
      </w:pPr>
      <w:r>
        <w:rPr>
          <w:rFonts w:ascii="Arial" w:cs="Arial" w:eastAsia="Arial" w:hAnsi="Arial"/>
          <w:color w:val="404040"/>
          <w:sz w:val="20"/>
          <w:szCs w:val="20"/>
        </w:rPr>
        <w:t xml:space="preserve">Green Cover Change Report: NDVI-based vegetation loss / gain per quarter per node</w:t>
      </w:r>
    </w:p>
    <w:p>
      <w:r>
        <w:br w:type="page"/>
      </w:r>
    </w:p>
    <w:p>
      <w:pPr>
        <w:pStyle w:val="Heading1"/>
        <w:pBdr>
          <w:bottom w:val="single" w:color="C9A227" w:sz="8" w:space="4"/>
        </w:pBdr>
        <w:spacing w:before="360" w:after="160"/>
      </w:pPr>
      <w:r>
        <w:rPr>
          <w:rFonts w:ascii="Arial" w:cs="Arial" w:eastAsia="Arial" w:hAnsi="Arial"/>
          <w:b/>
          <w:bCs/>
          <w:color w:val="1A3C5E"/>
          <w:sz w:val="28"/>
          <w:szCs w:val="28"/>
        </w:rPr>
        <w:t xml:space="preserve">5. Integration Architecture</w:t>
      </w:r>
    </w:p>
    <w:p>
      <w:pPr>
        <w:pStyle w:val="Heading2"/>
        <w:spacing w:before="240" w:after="120"/>
      </w:pPr>
      <w:r>
        <w:rPr>
          <w:rFonts w:ascii="Arial" w:cs="Arial" w:eastAsia="Arial" w:hAnsi="Arial"/>
          <w:b/>
          <w:bCs/>
          <w:color w:val="2E75B6"/>
          <w:sz w:val="24"/>
          <w:szCs w:val="24"/>
        </w:rPr>
        <w:t xml:space="preserve">5.1 External System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Integration Type</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Direction</w:t>
            </w:r>
          </w:p>
        </w:tc>
        <w:tc>
          <w:tcPr>
            <w:tcW w:type="dxa" w:w="4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Purpose</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PFMS (CGA)</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REST API</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Bidirectional</w:t>
            </w:r>
          </w:p>
        </w:tc>
        <w:tc>
          <w:tcPr>
            <w:tcW w:type="dxa" w:w="4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Payment release confirmation, fund flow tracking</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GeM Portal</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REST API</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Bidirectional</w:t>
            </w:r>
          </w:p>
        </w:tc>
        <w:tc>
          <w:tcPr>
            <w:tcW w:type="dxa" w:w="4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Procurement order creation, delivery status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CPPP / e-Procurement</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REST API</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Outbound</w:t>
            </w:r>
          </w:p>
        </w:tc>
        <w:tc>
          <w:tcPr>
            <w:tcW w:type="dxa" w:w="4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Tender publication, bid receipt</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ISRO Bhuvan / Cartosat</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WMTS / STAC API</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Inbound</w:t>
            </w:r>
          </w:p>
        </w:tc>
        <w:tc>
          <w:tcPr>
            <w:tcW w:type="dxa" w:w="4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Satellite imagery ingestion</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Planet / Maxar</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REST API</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Inbound</w:t>
            </w:r>
          </w:p>
        </w:tc>
        <w:tc>
          <w:tcPr>
            <w:tcW w:type="dxa" w:w="4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Commercial satellite imagery</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NIC DigiLocker</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OAuth 2.0 API</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Bidirectional</w:t>
            </w:r>
          </w:p>
        </w:tc>
        <w:tc>
          <w:tcPr>
            <w:tcW w:type="dxa" w:w="4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Document repository, DSC signing</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NIC e-Office</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REST API</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Outbound</w:t>
            </w:r>
          </w:p>
        </w:tc>
        <w:tc>
          <w:tcPr>
            <w:tcW w:type="dxa" w:w="4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File noting, approval routing</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RBI WPI/CPI Data</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Open Data API</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Inbound</w:t>
            </w:r>
          </w:p>
        </w:tc>
        <w:tc>
          <w:tcPr>
            <w:tcW w:type="dxa" w:w="4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Price escalation index</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MoEFCC PARIVESH</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REST API</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Inbound</w:t>
            </w:r>
          </w:p>
        </w:tc>
        <w:tc>
          <w:tcPr>
            <w:tcW w:type="dxa" w:w="4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Environmental clearance status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DLRMS (State Land Records)</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REST API</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Inbound</w:t>
            </w:r>
          </w:p>
        </w:tc>
        <w:tc>
          <w:tcPr>
            <w:tcW w:type="dxa" w:w="4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Land parcel status for LA module</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GSTN</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REST API</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Inbound</w:t>
            </w:r>
          </w:p>
        </w:tc>
        <w:tc>
          <w:tcPr>
            <w:tcW w:type="dxa" w:w="4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Contractor GST compliance verification</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Oracle Primavera P6/Unifier</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XER / REST API</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Bidirectional</w:t>
            </w:r>
          </w:p>
        </w:tc>
        <w:tc>
          <w:tcPr>
            <w:tcW w:type="dxa" w:w="4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Schedule and cost data exchange</w:t>
            </w:r>
          </w:p>
        </w:tc>
      </w:tr>
    </w:tbl>
    <w:p>
      <w:pPr>
        <w:spacing w:before="60" w:after="60"/>
      </w:pPr>
      <w:r>
        <w:t xml:space="preserve"/>
      </w:r>
    </w:p>
    <w:p>
      <w:pPr>
        <w:pStyle w:val="Heading2"/>
        <w:spacing w:before="240" w:after="120"/>
      </w:pPr>
      <w:r>
        <w:rPr>
          <w:rFonts w:ascii="Arial" w:cs="Arial" w:eastAsia="Arial" w:hAnsi="Arial"/>
          <w:b/>
          <w:bCs/>
          <w:color w:val="2E75B6"/>
          <w:sz w:val="24"/>
          <w:szCs w:val="24"/>
        </w:rPr>
        <w:t xml:space="preserve">5.2 Integration Principles</w:t>
      </w:r>
    </w:p>
    <w:p>
      <w:pPr>
        <w:pStyle w:val="ListParagraph"/>
        <w:numPr>
          <w:ilvl w:val="0"/>
          <w:numId w:val="2"/>
        </w:numPr>
        <w:spacing w:before="40" w:after="40"/>
      </w:pPr>
      <w:r>
        <w:rPr>
          <w:rFonts w:ascii="Arial" w:cs="Arial" w:eastAsia="Arial" w:hAnsi="Arial"/>
          <w:color w:val="404040"/>
          <w:sz w:val="20"/>
          <w:szCs w:val="20"/>
        </w:rPr>
        <w:t xml:space="preserve">All integrations use REST/JSON APIs with OAuth 2.0 or JWT authentication</w:t>
      </w:r>
    </w:p>
    <w:p>
      <w:pPr>
        <w:pStyle w:val="ListParagraph"/>
        <w:numPr>
          <w:ilvl w:val="0"/>
          <w:numId w:val="2"/>
        </w:numPr>
        <w:spacing w:before="40" w:after="40"/>
      </w:pPr>
      <w:r>
        <w:rPr>
          <w:rFonts w:ascii="Arial" w:cs="Arial" w:eastAsia="Arial" w:hAnsi="Arial"/>
          <w:color w:val="404040"/>
          <w:sz w:val="20"/>
          <w:szCs w:val="20"/>
        </w:rPr>
        <w:t xml:space="preserve">Data exchange conforms to NeSDA (National e-Governance Service Delivery Architecture) standards</w:t>
      </w:r>
    </w:p>
    <w:p>
      <w:pPr>
        <w:pStyle w:val="ListParagraph"/>
        <w:numPr>
          <w:ilvl w:val="0"/>
          <w:numId w:val="2"/>
        </w:numPr>
        <w:spacing w:before="40" w:after="40"/>
      </w:pPr>
      <w:r>
        <w:rPr>
          <w:rFonts w:ascii="Arial" w:cs="Arial" w:eastAsia="Arial" w:hAnsi="Arial"/>
          <w:color w:val="404040"/>
          <w:sz w:val="20"/>
          <w:szCs w:val="20"/>
        </w:rPr>
        <w:t xml:space="preserve">API Gateway (Kong / AWS API Gateway) for rate limiting, logging, and version management</w:t>
      </w:r>
    </w:p>
    <w:p>
      <w:pPr>
        <w:pStyle w:val="ListParagraph"/>
        <w:numPr>
          <w:ilvl w:val="0"/>
          <w:numId w:val="2"/>
        </w:numPr>
        <w:spacing w:before="40" w:after="40"/>
      </w:pPr>
      <w:r>
        <w:rPr>
          <w:rFonts w:ascii="Arial" w:cs="Arial" w:eastAsia="Arial" w:hAnsi="Arial"/>
          <w:color w:val="404040"/>
          <w:sz w:val="20"/>
          <w:szCs w:val="20"/>
        </w:rPr>
        <w:t xml:space="preserve">Event-driven integration via Apache Kafka for real-time satellite data streaming</w:t>
      </w:r>
    </w:p>
    <w:p>
      <w:pPr>
        <w:pStyle w:val="ListParagraph"/>
        <w:numPr>
          <w:ilvl w:val="0"/>
          <w:numId w:val="2"/>
        </w:numPr>
        <w:spacing w:before="40" w:after="40"/>
      </w:pPr>
      <w:r>
        <w:rPr>
          <w:rFonts w:ascii="Arial" w:cs="Arial" w:eastAsia="Arial" w:hAnsi="Arial"/>
          <w:color w:val="404040"/>
          <w:sz w:val="20"/>
          <w:szCs w:val="20"/>
        </w:rPr>
        <w:t xml:space="preserve">Fallback manual data entry forms for all integrated data sources during API unavailability</w:t>
      </w:r>
    </w:p>
    <w:p>
      <w:r>
        <w:br w:type="page"/>
      </w:r>
    </w:p>
    <w:p>
      <w:pPr>
        <w:pStyle w:val="Heading1"/>
        <w:pBdr>
          <w:bottom w:val="single" w:color="C9A227" w:sz="8" w:space="4"/>
        </w:pBdr>
        <w:spacing w:before="360" w:after="160"/>
      </w:pPr>
      <w:r>
        <w:rPr>
          <w:rFonts w:ascii="Arial" w:cs="Arial" w:eastAsia="Arial" w:hAnsi="Arial"/>
          <w:b/>
          <w:bCs/>
          <w:color w:val="1A3C5E"/>
          <w:sz w:val="28"/>
          <w:szCs w:val="28"/>
        </w:rPr>
        <w:t xml:space="preserve">6. Technical Architecture</w:t>
      </w:r>
    </w:p>
    <w:p>
      <w:pPr>
        <w:pStyle w:val="Heading2"/>
        <w:spacing w:before="240" w:after="120"/>
      </w:pPr>
      <w:r>
        <w:rPr>
          <w:rFonts w:ascii="Arial" w:cs="Arial" w:eastAsia="Arial" w:hAnsi="Arial"/>
          <w:b/>
          <w:bCs/>
          <w:color w:val="2E75B6"/>
          <w:sz w:val="24"/>
          <w:szCs w:val="24"/>
        </w:rPr>
        <w:t xml:space="preserve">6.1 Deployment Model</w:t>
      </w:r>
    </w:p>
    <w:p>
      <w:pPr>
        <w:spacing w:before="80" w:after="80"/>
        <w:jc w:val="both"/>
      </w:pPr>
      <w:r>
        <w:rPr>
          <w:rFonts w:ascii="Arial" w:cs="Arial" w:eastAsia="Arial" w:hAnsi="Arial"/>
          <w:color w:val="404040"/>
          <w:sz w:val="20"/>
          <w:szCs w:val="20"/>
        </w:rPr>
        <w:t xml:space="preserve">IC-PMS will be deployed on NIC Cloud (MeghRaj) as the primary sovereign cloud, with optional Bharat Cloud (DeitY) for disaster recovery. The system will comply with CERT-In guidelines, MoEFCC data localisation requirements, and ISO 27001 information security standards.</w:t>
      </w:r>
    </w:p>
    <w:p>
      <w:pPr>
        <w:pStyle w:val="Heading2"/>
        <w:spacing w:before="240" w:after="120"/>
      </w:pPr>
      <w:r>
        <w:rPr>
          <w:rFonts w:ascii="Arial" w:cs="Arial" w:eastAsia="Arial" w:hAnsi="Arial"/>
          <w:b/>
          <w:bCs/>
          <w:color w:val="2E75B6"/>
          <w:sz w:val="24"/>
          <w:szCs w:val="24"/>
        </w:rPr>
        <w:t xml:space="preserve">6.2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Frontend</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React.js (Web), React Native (Mobile – iOS / Android)</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Backend – API Layer</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Node.js / Python FastAPI microservices; GraphQL for dashboard queries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Database – Relational</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PostgreSQL 15 with PostGIS extension for geospatial WBS polygons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Database – Time-series</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InfluxDB / TimescaleDB for satellite analytics and EVM time-series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Geospatial Engine</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GeoServer (OGC-compliant), MapLibre GL JS (client map rendering)</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Satellite Processing</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Python (GDAL, Rasterio, PyTorch / TensorFlow for ML segmentation)</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Message Queue</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Apache Kafka (satellite data stream, notification bus)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Search</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Elasticsearch (document full-text search, audit log query)</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Reporting Engine</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JasperReports / Apache Superset (standard reports + ad-hoc)</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Authentication</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Aadhaar OTP / LDAP (NIC) / SSO (SAML 2.0)</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Infrastructure</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Kubernetes (NIC MeghRaj) with Helm charts; GitOps (ArgoCD)</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Satellite ML Platform</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MLflow for model registry; Kubeflow for training pipelines</w:t>
            </w:r>
          </w:p>
        </w:tc>
      </w:tr>
    </w:tbl>
    <w:p>
      <w:pPr>
        <w:spacing w:before="60" w:after="60"/>
      </w:pPr>
      <w:r>
        <w:t xml:space="preserve"/>
      </w:r>
    </w:p>
    <w:p>
      <w:pPr>
        <w:pStyle w:val="Heading2"/>
        <w:spacing w:before="240" w:after="120"/>
      </w:pPr>
      <w:r>
        <w:rPr>
          <w:rFonts w:ascii="Arial" w:cs="Arial" w:eastAsia="Arial" w:hAnsi="Arial"/>
          <w:b/>
          <w:bCs/>
          <w:color w:val="2E75B6"/>
          <w:sz w:val="24"/>
          <w:szCs w:val="24"/>
        </w:rPr>
        <w:t xml:space="preserve">6.3 Security Requirements</w:t>
      </w:r>
    </w:p>
    <w:p>
      <w:pPr>
        <w:pStyle w:val="ListParagraph"/>
        <w:numPr>
          <w:ilvl w:val="0"/>
          <w:numId w:val="2"/>
        </w:numPr>
        <w:spacing w:before="40" w:after="40"/>
      </w:pPr>
      <w:r>
        <w:rPr>
          <w:rFonts w:ascii="Arial" w:cs="Arial" w:eastAsia="Arial" w:hAnsi="Arial"/>
          <w:color w:val="404040"/>
          <w:sz w:val="20"/>
          <w:szCs w:val="20"/>
        </w:rPr>
        <w:t xml:space="preserve">Role-Based Access Control (RBAC) with attribute-level data segregation by corridor and SPV</w:t>
      </w:r>
    </w:p>
    <w:p>
      <w:pPr>
        <w:pStyle w:val="ListParagraph"/>
        <w:numPr>
          <w:ilvl w:val="0"/>
          <w:numId w:val="2"/>
        </w:numPr>
        <w:spacing w:before="40" w:after="40"/>
      </w:pPr>
      <w:r>
        <w:rPr>
          <w:rFonts w:ascii="Arial" w:cs="Arial" w:eastAsia="Arial" w:hAnsi="Arial"/>
          <w:color w:val="404040"/>
          <w:sz w:val="20"/>
          <w:szCs w:val="20"/>
        </w:rPr>
        <w:t xml:space="preserve">Encryption at rest (AES-256) and in transit (TLS 1.3)</w:t>
      </w:r>
    </w:p>
    <w:p>
      <w:pPr>
        <w:pStyle w:val="ListParagraph"/>
        <w:numPr>
          <w:ilvl w:val="0"/>
          <w:numId w:val="2"/>
        </w:numPr>
        <w:spacing w:before="40" w:after="40"/>
      </w:pPr>
      <w:r>
        <w:rPr>
          <w:rFonts w:ascii="Arial" w:cs="Arial" w:eastAsia="Arial" w:hAnsi="Arial"/>
          <w:color w:val="404040"/>
          <w:sz w:val="20"/>
          <w:szCs w:val="20"/>
        </w:rPr>
        <w:t xml:space="preserve">Multi-factor authentication mandatory for all admin and finance roles</w:t>
      </w:r>
    </w:p>
    <w:p>
      <w:pPr>
        <w:pStyle w:val="ListParagraph"/>
        <w:numPr>
          <w:ilvl w:val="0"/>
          <w:numId w:val="2"/>
        </w:numPr>
        <w:spacing w:before="40" w:after="40"/>
      </w:pPr>
      <w:r>
        <w:rPr>
          <w:rFonts w:ascii="Arial" w:cs="Arial" w:eastAsia="Arial" w:hAnsi="Arial"/>
          <w:color w:val="404040"/>
          <w:sz w:val="20"/>
          <w:szCs w:val="20"/>
        </w:rPr>
        <w:t xml:space="preserve">Comprehensive audit logging: Every read, write, and delete action stored in tamper-evident log</w:t>
      </w:r>
    </w:p>
    <w:p>
      <w:pPr>
        <w:pStyle w:val="ListParagraph"/>
        <w:numPr>
          <w:ilvl w:val="0"/>
          <w:numId w:val="2"/>
        </w:numPr>
        <w:spacing w:before="40" w:after="40"/>
      </w:pPr>
      <w:r>
        <w:rPr>
          <w:rFonts w:ascii="Arial" w:cs="Arial" w:eastAsia="Arial" w:hAnsi="Arial"/>
          <w:color w:val="404040"/>
          <w:sz w:val="20"/>
          <w:szCs w:val="20"/>
        </w:rPr>
        <w:t xml:space="preserve">Vulnerability Assessment and Penetration Testing (VAPT) every 6 months per CERT-In empanelled agency</w:t>
      </w:r>
    </w:p>
    <w:p>
      <w:pPr>
        <w:pStyle w:val="ListParagraph"/>
        <w:numPr>
          <w:ilvl w:val="0"/>
          <w:numId w:val="2"/>
        </w:numPr>
        <w:spacing w:before="40" w:after="40"/>
      </w:pPr>
      <w:r>
        <w:rPr>
          <w:rFonts w:ascii="Arial" w:cs="Arial" w:eastAsia="Arial" w:hAnsi="Arial"/>
          <w:color w:val="404040"/>
          <w:sz w:val="20"/>
          <w:szCs w:val="20"/>
        </w:rPr>
        <w:t xml:space="preserve">Data masking for personally identifiable information (PII) in test environments</w:t>
      </w:r>
    </w:p>
    <w:p>
      <w:r>
        <w:br w:type="page"/>
      </w:r>
    </w:p>
    <w:p>
      <w:pPr>
        <w:pStyle w:val="Heading1"/>
        <w:pBdr>
          <w:bottom w:val="single" w:color="C9A227" w:sz="8" w:space="4"/>
        </w:pBdr>
        <w:spacing w:before="360" w:after="160"/>
      </w:pPr>
      <w:r>
        <w:rPr>
          <w:rFonts w:ascii="Arial" w:cs="Arial" w:eastAsia="Arial" w:hAnsi="Arial"/>
          <w:b/>
          <w:bCs/>
          <w:color w:val="1A3C5E"/>
          <w:sz w:val="28"/>
          <w:szCs w:val="28"/>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NFR Category</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Measurement Method</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Performance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API response time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&lt; 2 seconds (P95)</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APM tool (Datadog / New Relic)</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Performance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Dashboard load time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&lt; 4 seconds (P95)</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Synthetic monitoring</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Scalability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Concurrent users</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5,000 simultaneous</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Load testing (k6 / Gatling)</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Availability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Uptime SLA</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99.5% (excl. planned maintenance)</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Uptime Robot / Pingdom</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Satellite Processing</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Image ingestion to map</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&lt; 4 hours per scene</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Pipeline metrics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Disaster Recovery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RTO / RPO</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RTO 4 hrs / RPO 1 hr</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DR drill twice yearly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Data Retention</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Project data</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30 years (GFR mandate)</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Automated archival policy</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Accessibility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WCAG compliance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WCAG 2.1 Level AA</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Automated + manual audit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Localisation</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Language support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English + Hindi (Phase 2: state languages)</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i18n framework</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Mobile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Offline capability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Core data entry offline for 48 hrs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PWA / React Native</w:t>
            </w:r>
          </w:p>
        </w:tc>
      </w:tr>
    </w:tbl>
    <w:p>
      <w:r>
        <w:br w:type="page"/>
      </w:r>
    </w:p>
    <w:p>
      <w:pPr>
        <w:pStyle w:val="Heading1"/>
        <w:pBdr>
          <w:bottom w:val="single" w:color="C9A227" w:sz="8" w:space="4"/>
        </w:pBdr>
        <w:spacing w:before="360" w:after="160"/>
      </w:pPr>
      <w:r>
        <w:rPr>
          <w:rFonts w:ascii="Arial" w:cs="Arial" w:eastAsia="Arial" w:hAnsi="Arial"/>
          <w:b/>
          <w:bCs/>
          <w:color w:val="1A3C5E"/>
          <w:sz w:val="28"/>
          <w:szCs w:val="28"/>
        </w:rPr>
        <w:t xml:space="preserve">8. Implementation Roadmap</w:t>
      </w:r>
    </w:p>
    <w:p>
      <w:pPr>
        <w:pStyle w:val="Heading2"/>
        <w:spacing w:before="240" w:after="120"/>
      </w:pPr>
      <w:r>
        <w:rPr>
          <w:rFonts w:ascii="Arial" w:cs="Arial" w:eastAsia="Arial" w:hAnsi="Arial"/>
          <w:b/>
          <w:bCs/>
          <w:color w:val="2E75B6"/>
          <w:sz w:val="24"/>
          <w:szCs w:val="24"/>
        </w:rPr>
        <w:t xml:space="preserve">8.1 Phased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800"/>
        <w:gridCol w:w="2360"/>
      </w:tblGrid>
      <w:tr>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Duration</w:t>
            </w:r>
          </w:p>
        </w:tc>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Modules / Deliverables</w:t>
            </w:r>
          </w:p>
        </w:tc>
        <w:tc>
          <w:tcPr>
            <w:tcW w:type="dxa" w:w="2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Milestone</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Phase 0 – Foundation</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3 months</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Infrastructure setup, WBS module, User management, DMS</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UAT Sign-off: WBS + DMS</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Phase 1 – Core PM</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6 months</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Scheduling Engine, Cost Management, Contract Management</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Go-Live for 2 corridors</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Phase 2 – Satellite Integration</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4 months</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Satellite ingestion pipeline, AI/ML segmentation model, GIS map viewer</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First satellite MPR generated</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Phase 3 – Analytics</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3 months</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Executive dashboards, Predictive analytics, BI connectors</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National Dashboard Launch</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Phase 4 – Risk &amp; Resources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2 months</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Risk module, Resource management, Monte Carlo integration</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Full IC-PMS Go-Live</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Phase 5 – Scale &amp; Optimise</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Ongoing</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All 6 corridors onboarded, Mobile app, NLP query interface</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All corridors live</w:t>
            </w:r>
          </w:p>
        </w:tc>
      </w:tr>
    </w:tbl>
    <w:p>
      <w:pPr>
        <w:spacing w:before="60" w:after="60"/>
      </w:pPr>
      <w:r>
        <w:t xml:space="preserve"/>
      </w:r>
    </w:p>
    <w:p>
      <w:pPr>
        <w:pStyle w:val="Heading2"/>
        <w:spacing w:before="240" w:after="120"/>
      </w:pPr>
      <w:r>
        <w:rPr>
          <w:rFonts w:ascii="Arial" w:cs="Arial" w:eastAsia="Arial" w:hAnsi="Arial"/>
          <w:b/>
          <w:bCs/>
          <w:color w:val="2E75B6"/>
          <w:sz w:val="24"/>
          <w:szCs w:val="24"/>
        </w:rPr>
        <w:t xml:space="preserve">8.2 Total Timeline: 18 Months to Full Go-Live</w:t>
      </w:r>
    </w:p>
    <w:p>
      <w:pPr>
        <w:spacing w:before="80" w:after="80"/>
        <w:jc w:val="both"/>
      </w:pPr>
      <w:r>
        <w:rPr>
          <w:rFonts w:ascii="Arial" w:cs="Arial" w:eastAsia="Arial" w:hAnsi="Arial"/>
          <w:color w:val="404040"/>
          <w:sz w:val="20"/>
          <w:szCs w:val="20"/>
        </w:rPr>
        <w:t xml:space="preserve">The implementation will follow an Agile-SAFe methodology with 6-week release trains. A dedicated PMO team within NICDC will oversee delivery, supported by a System Integrator (SI) selected through open competitive tender. Each phase includes dedicated SIT, UAT, and Security Assessment milestones before production deployment.</w:t>
      </w:r>
    </w:p>
    <w:p>
      <w:r>
        <w:br w:type="page"/>
      </w:r>
    </w:p>
    <w:p>
      <w:pPr>
        <w:pStyle w:val="Heading1"/>
        <w:pBdr>
          <w:bottom w:val="single" w:color="C9A227" w:sz="8" w:space="4"/>
        </w:pBdr>
        <w:spacing w:before="360" w:after="160"/>
      </w:pPr>
      <w:r>
        <w:rPr>
          <w:rFonts w:ascii="Arial" w:cs="Arial" w:eastAsia="Arial" w:hAnsi="Arial"/>
          <w:b/>
          <w:bCs/>
          <w:color w:val="1A3C5E"/>
          <w:sz w:val="28"/>
          <w:szCs w:val="28"/>
        </w:rPr>
        <w:t xml:space="preserve">9. Compliance &amp; Standards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GFR 2017</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General Financial Rules – procurement, VO limits, payment rules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CVC Guidelines</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Tender transparency, integrity pact, blacklisting provisions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CPWD Works Manual</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Construction quality, measurement book, billing norms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FIDIC (Red / Yellow / Silver Book)</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Contract conditions for civil, design-build, and turnkey works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IS 4000 / NBC 2016</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National Building Code – structural design standards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MoEFCC EIA Notification 2006</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Environmental clearance process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NeSDA Framework</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National e-Governance interoperability standards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ISO 21500:2021</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Project Management – concepts and guidance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ISO 27001:2022</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Information Security Management System</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CERT-In Guidelines</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Cybersecurity for government IT systems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PMBOK 7th Edition</w:t>
            </w:r>
          </w:p>
        </w:tc>
        <w:tc>
          <w:tcPr>
            <w:tcW w:type="dxa" w:w="6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Project management principles reference</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Primavera Unifier BPs</w:t>
            </w:r>
          </w:p>
        </w:tc>
        <w:tc>
          <w:tcPr>
            <w:tcW w:type="dxa" w:w="6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Business process templates for cost, contract, document management</w:t>
            </w:r>
          </w:p>
        </w:tc>
      </w:tr>
    </w:tbl>
    <w:p>
      <w:pPr>
        <w:spacing w:before="60" w:after="60"/>
      </w:pPr>
      <w:r>
        <w:t xml:space="preserve"/>
      </w:r>
    </w:p>
    <w:p>
      <w:pPr>
        <w:pStyle w:val="Heading1"/>
        <w:pBdr>
          <w:bottom w:val="single" w:color="C9A227" w:sz="8" w:space="4"/>
        </w:pBdr>
        <w:spacing w:before="360" w:after="160"/>
      </w:pPr>
      <w:r>
        <w:rPr>
          <w:rFonts w:ascii="Arial" w:cs="Arial" w:eastAsia="Arial" w:hAnsi="Arial"/>
          <w:b/>
          <w:bCs/>
          <w:color w:val="1A3C5E"/>
          <w:sz w:val="28"/>
          <w:szCs w:val="28"/>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40"/>
        <w:gridCol w:w="1400"/>
        <w:gridCol w:w="3520"/>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Term</w:t>
            </w:r>
          </w:p>
        </w:tc>
        <w:tc>
          <w:tcPr>
            <w:tcW w:type="dxa" w:w="304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Full Form / Meaning</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Term</w:t>
            </w:r>
          </w:p>
        </w:tc>
        <w:tc>
          <w:tcPr>
            <w:tcW w:type="dxa" w:w="352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Full Form / Meaning</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IC-PMS</w:t>
            </w:r>
          </w:p>
        </w:tc>
        <w:tc>
          <w:tcPr>
            <w:tcW w:type="dxa" w:w="304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Industrial Corridor Project Management System</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WBS</w:t>
            </w:r>
          </w:p>
        </w:tc>
        <w:tc>
          <w:tcPr>
            <w:tcW w:type="dxa" w:w="35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Work Breakdown Structure</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NICDC</w:t>
            </w:r>
          </w:p>
        </w:tc>
        <w:tc>
          <w:tcPr>
            <w:tcW w:type="dxa" w:w="304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National Industrial Corridor Dev. Corp.</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EVM</w:t>
            </w:r>
          </w:p>
        </w:tc>
        <w:tc>
          <w:tcPr>
            <w:tcW w:type="dxa" w:w="352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Earned Value Management</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SPV</w:t>
            </w:r>
          </w:p>
        </w:tc>
        <w:tc>
          <w:tcPr>
            <w:tcW w:type="dxa" w:w="304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Special Purpose Vehicle</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CPI</w:t>
            </w:r>
          </w:p>
        </w:tc>
        <w:tc>
          <w:tcPr>
            <w:tcW w:type="dxa" w:w="35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Cost Performance Index</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PMC</w:t>
            </w:r>
          </w:p>
        </w:tc>
        <w:tc>
          <w:tcPr>
            <w:tcW w:type="dxa" w:w="304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Project Management Consultant</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SPI</w:t>
            </w:r>
          </w:p>
        </w:tc>
        <w:tc>
          <w:tcPr>
            <w:tcW w:type="dxa" w:w="352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Schedule Performance Index</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EPC</w:t>
            </w:r>
          </w:p>
        </w:tc>
        <w:tc>
          <w:tcPr>
            <w:tcW w:type="dxa" w:w="304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Engineering Procurement Construction</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CPM</w:t>
            </w:r>
          </w:p>
        </w:tc>
        <w:tc>
          <w:tcPr>
            <w:tcW w:type="dxa" w:w="35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Critical Path Method</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DPR</w:t>
            </w:r>
          </w:p>
        </w:tc>
        <w:tc>
          <w:tcPr>
            <w:tcW w:type="dxa" w:w="304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Detailed Project Report</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PFMS</w:t>
            </w:r>
          </w:p>
        </w:tc>
        <w:tc>
          <w:tcPr>
            <w:tcW w:type="dxa" w:w="352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Public Finance Management System</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LOA</w:t>
            </w:r>
          </w:p>
        </w:tc>
        <w:tc>
          <w:tcPr>
            <w:tcW w:type="dxa" w:w="304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Letter of Award</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GFR</w:t>
            </w:r>
          </w:p>
        </w:tc>
        <w:tc>
          <w:tcPr>
            <w:tcW w:type="dxa" w:w="35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General Financial Rules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RA Bill</w:t>
            </w:r>
          </w:p>
        </w:tc>
        <w:tc>
          <w:tcPr>
            <w:tcW w:type="dxa" w:w="304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Running Account Bill</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NDVI</w:t>
            </w:r>
          </w:p>
        </w:tc>
        <w:tc>
          <w:tcPr>
            <w:tcW w:type="dxa" w:w="352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Normalised Difference Vegetation Index</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VO</w:t>
            </w:r>
          </w:p>
        </w:tc>
        <w:tc>
          <w:tcPr>
            <w:tcW w:type="dxa" w:w="304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Variation Order</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STAC</w:t>
            </w:r>
          </w:p>
        </w:tc>
        <w:tc>
          <w:tcPr>
            <w:tcW w:type="dxa" w:w="352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SpatioTemporal Asset Catalog</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DLP</w:t>
            </w:r>
          </w:p>
        </w:tc>
        <w:tc>
          <w:tcPr>
            <w:tcW w:type="dxa" w:w="304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Defect Liability Period</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WMTS</w:t>
            </w:r>
          </w:p>
        </w:tc>
        <w:tc>
          <w:tcPr>
            <w:tcW w:type="dxa" w:w="352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vAlign w:val="center"/>
          </w:tcPr>
          <w:p>
            <w:r>
              <w:rPr>
                <w:rFonts w:ascii="Arial" w:cs="Arial" w:eastAsia="Arial" w:hAnsi="Arial"/>
                <w:b w:val="false"/>
                <w:bCs w:val="false"/>
                <w:color w:val="404040"/>
                <w:sz w:val="18"/>
                <w:szCs w:val="18"/>
              </w:rPr>
              <w:t xml:space="preserve">Web Map Tile Service</w:t>
            </w:r>
          </w:p>
        </w:tc>
      </w:tr>
    </w:tbl>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pBdr>
      <w:tabs>
        <w:tab w:val="right" w:pos="9360"/>
      </w:tabs>
    </w:pPr>
    <w:r>
      <w:rPr>
        <w:rFonts w:ascii="Arial" w:cs="Arial" w:eastAsia="Arial" w:hAnsi="Arial"/>
        <w:color w:val="999999"/>
        <w:sz w:val="16"/>
        <w:szCs w:val="16"/>
      </w:rPr>
      <w:t xml:space="preserve">NICDC / Ministry of Commerce &amp; Industry  |  Version 1.0  |  March 2026</w:t>
    </w:r>
    <w:r>
      <w:rPr>
        <w:rFonts w:ascii="Arial" w:cs="Arial" w:eastAsia="Arial" w:hAnsi="Arial"/>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360"/>
      </w:tabs>
    </w:pPr>
    <w:r>
      <w:rPr>
        <w:rFonts w:ascii="Arial" w:cs="Arial" w:eastAsia="Arial" w:hAnsi="Arial"/>
        <w:color w:val="2E75B6"/>
        <w:sz w:val="16"/>
        <w:szCs w:val="16"/>
      </w:rPr>
      <w:t xml:space="preserve">IC-PMS – Project Requirement Document</w:t>
    </w:r>
    <w:r>
      <w:rPr>
        <w:rFonts w:ascii="Arial" w:cs="Arial" w:eastAsia="Arial" w:hAnsi="Arial"/>
        <w:sz w:val="16"/>
        <w:szCs w:val="16"/>
      </w:rPr>
      <w:t xml:space="preserve">		</w:t>
    </w:r>
    <w:r>
      <w:rPr>
        <w:rFonts w:ascii="Arial" w:cs="Arial" w:eastAsia="Arial" w:hAnsi="Arial"/>
        <w:i/>
        <w:iCs/>
        <w:color w:val="999999"/>
        <w:sz w:val="16"/>
        <w:szCs w:val="16"/>
      </w:rPr>
      <w:t xml:space="preserve">Restricted – Government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2026-03-28T07:07:03.864Z</dcterms:created>
  <dcterms:modified xsi:type="dcterms:W3CDTF">2026-03-28T07:07:03.865Z</dcterms:modified>
</cp:coreProperties>
</file>

<file path=docProps/custom.xml><?xml version="1.0" encoding="utf-8"?>
<Properties xmlns="http://schemas.openxmlformats.org/officeDocument/2006/custom-properties" xmlns:vt="http://schemas.openxmlformats.org/officeDocument/2006/docPropsVTypes"/>
</file>