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before="0" w:after="60"/>
        <w:jc w:val="center"/>
      </w:pPr>
      <w:r>
        <w:rPr>
          <w:rFonts w:ascii="Arial" w:cs="Arial" w:eastAsia="Arial" w:hAnsi="Arial"/>
          <w:b/>
          <w:bCs/>
          <w:color w:val="1A3C5E"/>
          <w:sz w:val="30"/>
          <w:szCs w:val="30"/>
        </w:rPr>
        <w:t xml:space="preserve">GOVERNMENT OF INDIA</w:t>
      </w:r>
    </w:p>
    <w:p>
      <w:pPr>
        <w:spacing w:before="0" w:after="60"/>
        <w:jc w:val="center"/>
      </w:pPr>
      <w:r>
        <w:rPr>
          <w:rFonts w:ascii="Arial" w:cs="Arial" w:eastAsia="Arial" w:hAnsi="Arial"/>
          <w:color w:val="404040"/>
          <w:sz w:val="21"/>
          <w:szCs w:val="21"/>
        </w:rPr>
        <w:t xml:space="preserve">Ministry of Commerce &amp; Industry  |  National Industrial Corridor Development Corporation (NICDC)</w:t>
      </w:r>
    </w:p>
    <w:p>
      <w:pPr>
        <w:spacing w:before="0" w:after="260"/>
        <w:jc w:val="center"/>
      </w:pPr>
      <w:r>
        <w:rPr>
          <w:rFonts w:ascii="Arial" w:cs="Arial" w:eastAsia="Arial" w:hAnsi="Arial"/>
          <w:color w:val="404040"/>
          <w:sz w:val="20"/>
          <w:szCs w:val="20"/>
        </w:rPr>
        <w:t xml:space="preserve">Industrial Corridor Project Management System (IC-PMS)  |  Version 1.0</w:t>
      </w:r>
    </w:p>
    <w:p>
      <w:pPr>
        <w:pBdr>
          <w:bottom w:val="single" w:color="C9A227" w:sz="16"/>
        </w:pBdr>
        <w:spacing w:before="0" w:after="300"/>
        <w:jc w:val="center"/>
      </w:pPr>
      <w:r>
        <w:t xml:space="preserve"/>
      </w:r>
    </w:p>
    <w:p>
      <w:pPr>
        <w:spacing w:before="300" w:after="60"/>
        <w:jc w:val="center"/>
      </w:pPr>
      <w:r>
        <w:rPr>
          <w:rFonts w:ascii="Arial" w:cs="Arial" w:eastAsia="Arial" w:hAnsi="Arial"/>
          <w:b/>
          <w:bCs/>
          <w:color w:val="1A3C5E"/>
          <w:sz w:val="52"/>
          <w:szCs w:val="52"/>
        </w:rPr>
        <w:t xml:space="preserve">SECTION 5</w:t>
      </w:r>
    </w:p>
    <w:p>
      <w:pPr>
        <w:spacing w:before="60" w:after="80"/>
        <w:jc w:val="center"/>
      </w:pPr>
      <w:r>
        <w:rPr>
          <w:rFonts w:ascii="Arial" w:cs="Arial" w:eastAsia="Arial" w:hAnsi="Arial"/>
          <w:b/>
          <w:bCs/>
          <w:color w:val="2E75B6"/>
          <w:sz w:val="44"/>
          <w:szCs w:val="44"/>
        </w:rPr>
        <w:t xml:space="preserve">Integration Architecture</w:t>
      </w:r>
    </w:p>
    <w:p>
      <w:pPr>
        <w:spacing w:before="80" w:after="100"/>
        <w:jc w:val="center"/>
      </w:pPr>
      <w:r>
        <w:rPr>
          <w:rFonts w:ascii="Arial" w:cs="Arial" w:eastAsia="Arial" w:hAnsi="Arial"/>
          <w:b/>
          <w:bCs/>
          <w:color w:val="1A8A8A"/>
          <w:sz w:val="30"/>
          <w:szCs w:val="30"/>
        </w:rPr>
        <w:t xml:space="preserve">Detailed Technical Documentation</w:t>
      </w:r>
    </w:p>
    <w:p>
      <w:pPr>
        <w:spacing w:before="100" w:after="320"/>
        <w:jc w:val="center"/>
      </w:pPr>
      <w:r>
        <w:rPr>
          <w:rFonts w:ascii="Arial" w:cs="Arial" w:eastAsia="Arial" w:hAnsi="Arial"/>
          <w:i/>
          <w:iCs/>
          <w:color w:val="404040"/>
          <w:sz w:val="21"/>
          <w:szCs w:val="21"/>
        </w:rPr>
        <w:t xml:space="preserve">Inter-Module Integration  ·  Government of India Digital Systems  ·  Satellite &amp; Geospatial  ·  API Security  ·  Event-Driven Architecture  ·  Primavera P6/Unifier</w:t>
      </w:r>
    </w:p>
    <w:p>
      <w:pPr>
        <w:pBdr>
          <w:bottom w:val="single" w:color="C9A227" w:sz="16"/>
        </w:pBdr>
        <w:spacing w:before="0" w:after="300"/>
        <w:jc w:val="center"/>
      </w:pPr>
      <w:r>
        <w:t xml:space="preserve"/>
      </w:r>
    </w:p>
    <w:p>
      <w:pPr>
        <w:spacing w:before="160" w:after="60"/>
        <w:jc w:val="center"/>
      </w:pPr>
      <w:r>
        <w:rPr>
          <w:rFonts w:ascii="Arial" w:cs="Arial" w:eastAsia="Arial" w:hAnsi="Arial"/>
          <w:color w:val="404040"/>
          <w:sz w:val="20"/>
          <w:szCs w:val="20"/>
        </w:rPr>
        <w:t xml:space="preserve">Document Version: 1.0    |    March 2026    |    Classification: Restricted – Government Use Only</w:t>
      </w:r>
    </w:p>
    <w:p>
      <w:pPr>
        <w:spacing w:before="60" w:after="60"/>
        <w:jc w:val="center"/>
      </w:pPr>
      <w:r>
        <w:rPr>
          <w:rFonts w:ascii="Arial" w:cs="Arial" w:eastAsia="Arial" w:hAnsi="Arial"/>
          <w:color w:val="404040"/>
          <w:sz w:val="20"/>
          <w:szCs w:val="20"/>
        </w:rPr>
        <w:t xml:space="preserve">IC-PMS Solution Architecture Team  |  NICDC  |  Ministry of Commerce &amp; Industry, Government of India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2" w:space="4"/>
        </w:pBdr>
        <w:spacing w:before="480" w:after="180"/>
      </w:pPr>
      <w:r>
        <w:rPr>
          <w:rFonts w:ascii="Arial" w:cs="Arial" w:eastAsia="Arial" w:hAnsi="Arial"/>
          <w:b/>
          <w:bCs/>
          <w:color w:val="1A3C5E"/>
          <w:sz w:val="30"/>
          <w:szCs w:val="30"/>
        </w:rPr>
        <w:t xml:space="preserve">5.1  Integration Architecture Overview</w:t>
      </w:r>
    </w:p>
    <w:p>
      <w:pPr>
        <w:spacing w:before="80" w:after="80"/>
        <w:jc w:val="both"/>
      </w:pPr>
      <w:r>
        <w:rPr>
          <w:rFonts w:ascii="Arial" w:cs="Arial" w:eastAsia="Arial" w:hAnsi="Arial"/>
          <w:color w:val="404040"/>
          <w:sz w:val="20"/>
          <w:szCs w:val="20"/>
        </w:rPr>
        <w:t xml:space="preserve">IC-PMS is not a standalone project management system — it is the digital governance layer that connects India's industrial corridor programme management with the wider ecosystem of Government of India digital infrastructure, statutory regulatory portals, geospatial intelligence platforms, labour compliance systems, and enterprise project management tools. Section 5 defines how IC-PMS integrates with each of these external and internal systems, the data flows, the API protocols, the security architecture, and the integration patterns that govern each connection.</w:t>
      </w:r>
    </w:p>
    <w:p>
      <w:pPr>
        <w:spacing w:before="80" w:after="80"/>
        <w:jc w:val="both"/>
      </w:pPr>
      <w:r>
        <w:rPr>
          <w:rFonts w:ascii="Arial" w:cs="Arial" w:eastAsia="Arial" w:hAnsi="Arial"/>
          <w:color w:val="404040"/>
          <w:sz w:val="20"/>
          <w:szCs w:val="20"/>
        </w:rPr>
        <w:t xml:space="preserve">The integration architecture is designed around five core principles: (1) All government digital systems are integrated via standard, NeSDA-compliant REST/JSON APIs; (2) Event-driven integration via Apache Kafka eliminates tight coupling between modules and enables real-time cross-module data flows; (3) The API Gateway (Kong) enforces OAuth 2.0 / JWT authentication, rate limiting, and audit logging for every integration endpoint; (4) No personal data or classified project data leaves NIC MeghRaj sovereign cloud; and (5) Every integration has a manual fallback to prevent a third-party system outage from blocking IC-PMS operations.</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5.1.1  Integration Architecture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Layer</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Components</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Client Layer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React.js Web, React Native Mobile PWA, Primavera P6 XER Sync, Lender REST API Client</w:t>
            </w:r>
          </w:p>
        </w:tc>
        <w:tc>
          <w:tcPr>
            <w:tcW w:type="dxa" w:w="3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User-facing interfaces and external system connectors that initiate API calls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Perimeter Security</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WAF (Web Application Firewall), DDoS mitigation, TLS 1.3 enforced, IP whitelisting for GoI systems</w:t>
            </w:r>
          </w:p>
        </w:tc>
        <w:tc>
          <w:tcPr>
            <w:tcW w:type="dxa" w:w="3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First line of defence — blocks malicious traffic before reaching the application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Gateway</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Kong API Gateway — rate limiting, OAuth 2.0/JWT validation, versioning (v1/v2), request logging, circuit breaker</w:t>
            </w:r>
          </w:p>
        </w:tc>
        <w:tc>
          <w:tcPr>
            <w:tcW w:type="dxa" w:w="3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Central control point for all inbound and outbound API traffic</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 Layer</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LDAP/SSO, Aadhaar OTP (UIDAI), USB DSC Class 3, SAML 2.0, RBAC Policy Engine</w:t>
            </w:r>
          </w:p>
        </w:tc>
        <w:tc>
          <w:tcPr>
            <w:tcW w:type="dxa" w:w="3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Identity management and access control for all users and system-to-system connections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Event Bus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Apache Kafka — satellite ingestion stream, module trigger events, payment confirmations, audit log</w:t>
            </w:r>
          </w:p>
        </w:tc>
        <w:tc>
          <w:tcPr>
            <w:tcW w:type="dxa" w:w="3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Asynchronous event-driven communication between IC-PMS modules and external systems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Microservices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REST APIs (M1–M9), GraphQL Federation for dashboard queries, Redis Cache, Service Mesh (Istio)</w:t>
            </w:r>
          </w:p>
        </w:tc>
        <w:tc>
          <w:tcPr>
            <w:tcW w:type="dxa" w:w="3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Independent module services communicating via events and APIs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Data Layer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PostgreSQL 15 + PostGIS, Elasticsearch, InfluxDB (time-series), NIC DigiLocker, MinIO (object storage)</w:t>
            </w:r>
          </w:p>
        </w:tc>
        <w:tc>
          <w:tcPr>
            <w:tcW w:type="dxa" w:w="3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Persistent storage with AES-256 encryption at rest</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5.1.2  Overall Integration Map</w:t>
      </w:r>
    </w:p>
    <w:p>
      <w:pPr>
        <w:spacing w:before="80" w:after="80"/>
        <w:jc w:val="both"/>
      </w:pPr>
      <w:r>
        <w:rPr>
          <w:rFonts w:ascii="Arial" w:cs="Arial" w:eastAsia="Arial" w:hAnsi="Arial"/>
          <w:color w:val="404040"/>
          <w:sz w:val="20"/>
          <w:szCs w:val="20"/>
        </w:rPr>
        <w:t xml:space="preserve">The following diagram shows IC-PMS as the hub of a spoke-and-hub integration architecture, with nine external ecosystem clusters connected via the API Gateway: Government of India financial systems (PFMS, GeM, CPPP), NIC infrastructure services (DigiLocker, e-Office, SSO, SMS Sevak), satellite and geospatial systems (ISRO Bhuvan, Planet Labs, Survey of India), regulatory portals (PARIVESH, DLRMS), labour compliance systems (EPFO, e-Shram), enterprise PM tools (Primavera P6, Unifier), and external reporting recipients (lenders, CAG, Ministry).</w:t>
      </w:r>
    </w:p>
    <w:p>
      <w:pPr>
        <w:spacing w:before="140" w:after="60"/>
        <w:jc w:val="center"/>
      </w:pPr>
      <w:r>
        <w:drawing>
          <wp:inline distT="0" distB="0" distL="0" distR="0">
            <wp:extent cx="6667500" cy="4819650"/>
            <wp:effectExtent t="0" r="0" b="0" l="0"/>
            <wp:docPr id="1" name="Figure 5.1 — IC-PMS Overall Integration Architecture Map  (Hub-and-Spoke, 9 External Clusters)" descr="Figure 5.1 — IC-PMS Overall Integration Architecture Map  (Hub-and-Spoke, 9 External Clusters)" title="Figure 5.1 — IC-PMS Overall Integration Architecture Map  (Hub-and-Spoke, 9 External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819650"/>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5.1 — IC-PMS Overall Integration Architecture Map  (Hub-and-Spoke, 9 External Clusters)</w:t>
      </w:r>
    </w:p>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5.2  Inter-Module Integration — Internal Data Flows</w:t>
      </w:r>
    </w:p>
    <w:p>
      <w:pPr>
        <w:spacing w:before="80" w:after="80"/>
        <w:jc w:val="both"/>
      </w:pPr>
      <w:r>
        <w:rPr>
          <w:rFonts w:ascii="Arial" w:cs="Arial" w:eastAsia="Arial" w:hAnsi="Arial"/>
          <w:color w:val="404040"/>
          <w:sz w:val="20"/>
          <w:szCs w:val="20"/>
        </w:rPr>
        <w:t xml:space="preserve">Within IC-PMS, the nine modules are not siloed — they are deeply interconnected through both synchronous REST API calls (for real-time data lookups) and asynchronous Kafka events (for trigger-based cross-module updates). Module 9 (Reporting &amp; Analytics) aggregates data from all other modules through the Data Warehouse ETL pipeline. The inter-module integration matrix below shows every data flow between modules.</w:t>
      </w:r>
    </w:p>
    <w:p>
      <w:pPr>
        <w:spacing w:before="80" w:after="80"/>
      </w:pPr>
      <w:r>
        <w:t xml:space="preserve"/>
      </w:r>
    </w:p>
    <w:p>
      <w:pPr>
        <w:spacing w:before="140" w:after="60"/>
        <w:jc w:val="center"/>
      </w:pPr>
      <w:r>
        <w:drawing>
          <wp:inline distT="0" distB="0" distL="0" distR="0">
            <wp:extent cx="6667500" cy="4448175"/>
            <wp:effectExtent t="0" r="0" b="0" l="0"/>
            <wp:docPr id="1" name="Figure 5.2 — Inter-Module Integration Matrix  (Coloured Cells = Integration Exists;  &lt;&gt; = Bidirectional)" descr="Figure 5.2 — Inter-Module Integration Matrix  (Coloured Cells = Integration Exists;  &lt;&gt; = Bidirectional)" title="Figure 5.2 — Inter-Module Integration Matrix  (Coloured Cells = Integration Exists;  &lt;&gt; = Bidire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448175"/>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5.2 — Inter-Module Integration Matrix  (Coloured Cells = Integration Exists;  &lt;&gt; = Bidirectional)</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5.2.1  Critical Cross-Module Data Flows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A8A8A" w:sz="1"/>
              <w:left w:val="single" w:color="1A8A8A" w:sz="1"/>
              <w:bottom w:val="single" w:color="1A8A8A" w:sz="1"/>
              <w:right w:val="single" w:color="1A8A8A" w:sz="1"/>
            </w:tcBorders>
            <w:shd w:fill="1A8A8A" w:val="clear"/>
            <w:tcMar>
              <w:top w:type="dxa" w:w="100"/>
              <w:left w:type="dxa" w:w="140"/>
              <w:bottom w:type="dxa" w:w="100"/>
              <w:right w:type="dxa" w:w="140"/>
            </w:tcMar>
          </w:tcPr>
          <w:p>
            <w:r>
              <w:rPr>
                <w:rFonts w:ascii="Arial" w:cs="Arial" w:eastAsia="Arial" w:hAnsi="Arial"/>
                <w:b/>
                <w:bCs/>
                <w:color w:val="FFFFFF"/>
                <w:sz w:val="21"/>
                <w:szCs w:val="21"/>
              </w:rPr>
              <w:t xml:space="preserve">MODULE 1 — ALL MODULES  |  WBS as the Universal Reference</w:t>
            </w:r>
          </w:p>
        </w:tc>
      </w:tr>
    </w:tbl>
    <w:p>
      <w:pPr>
        <w:spacing w:before="80" w:after="80"/>
      </w:pPr>
      <w:r>
        <w:t xml:space="preserve"/>
      </w:r>
    </w:p>
    <w:p>
      <w:pPr>
        <w:spacing w:before="80" w:after="80"/>
        <w:jc w:val="both"/>
      </w:pPr>
      <w:r>
        <w:rPr>
          <w:rFonts w:ascii="Arial" w:cs="Arial" w:eastAsia="Arial" w:hAnsi="Arial"/>
          <w:color w:val="404040"/>
          <w:sz w:val="20"/>
          <w:szCs w:val="20"/>
        </w:rPr>
        <w:t xml:space="preserve">Module 1 (WBS &amp; GIS) is the master reference structure for every other module. Every activity in Module 2, every cost node in Module 4, every contract in Module 5, every document in Module 6, every risk in Module 7, and every resource in Module 8 is linked to a WBS element. This linkage ensures that all programme data can be aggregated and reported at any WBS level — from individual work package to full corridor portfolio — without manual reconciliation.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70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From M1</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 Module</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Flow</w:t>
            </w:r>
          </w:p>
        </w:tc>
        <w:tc>
          <w:tcPr>
            <w:tcW w:type="dxa" w:w="2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Trigger / Frequency</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hierarchy (Programme → Work Package)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2</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Activity list scoped to WBS; activities cannot be created without a valid WBS parent</w:t>
            </w:r>
          </w:p>
        </w:tc>
        <w:tc>
          <w:tcPr>
            <w:tcW w:type="dxa" w:w="2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WBS publish; on WBS structure change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OBS (Organisational Breakdown Structure)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5</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Contractor-to-WBS mapping drives LOA assignment and performance scorecard scope</w:t>
            </w:r>
          </w:p>
        </w:tc>
        <w:tc>
          <w:tcPr>
            <w:tcW w:type="dxa" w:w="2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OBS update; real-time API lookup</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GIS polygon boundaries (PostGIS WKT)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Defines the geographic boundary for each WBS element; Module 3 AI computes progress within these boundaries</w:t>
            </w:r>
          </w:p>
        </w:tc>
        <w:tc>
          <w:tcPr>
            <w:tcW w:type="dxa" w:w="2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polygon upload; weekly satellite processing</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 cost account codes (PFMS head)</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Budget nodes aligned to PFMS Demand Nos.; ensures budget-to-WBS linkage for PFMS payments</w:t>
            </w:r>
          </w:p>
        </w:tc>
        <w:tc>
          <w:tcPr>
            <w:tcW w:type="dxa" w:w="2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WBS publish; on cost account update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risk linkage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Risks must be linked to a WBS element; risk score shown in WBS tree view</w:t>
            </w:r>
          </w:p>
        </w:tc>
        <w:tc>
          <w:tcPr>
            <w:tcW w:type="dxa" w:w="2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Real-time on risk creation/update</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Resource pool per WBS</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8</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Resource planning at WBS package level; levelling respects WBS hierarchy for prioritisation</w:t>
            </w:r>
          </w:p>
        </w:tc>
        <w:tc>
          <w:tcPr>
            <w:tcW w:type="dxa" w:w="2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ETL to Data Warehouse</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MODULE 2 (SCHEDULE) ↔ MODULE 4 (COST)  |  EVM Integration</w:t>
            </w:r>
          </w:p>
        </w:tc>
      </w:tr>
    </w:tbl>
    <w:p>
      <w:pPr>
        <w:spacing w:before="80" w:after="80"/>
      </w:pPr>
      <w:r>
        <w:t xml:space="preserve"/>
      </w:r>
    </w:p>
    <w:p>
      <w:pPr>
        <w:spacing w:before="80" w:after="80"/>
        <w:jc w:val="both"/>
      </w:pPr>
      <w:r>
        <w:rPr>
          <w:rFonts w:ascii="Arial" w:cs="Arial" w:eastAsia="Arial" w:hAnsi="Arial"/>
          <w:color w:val="404040"/>
          <w:sz w:val="20"/>
          <w:szCs w:val="20"/>
        </w:rPr>
        <w:t xml:space="preserve">The Earned Value Management (EVM) calculations in IC-PMS depend on a tight, real-time link between Module 2 (Schedule) and Module 4 (Cost). Module 2 computes BCWP (Earned Value) from the physical % complete of activities; Module 4 provides the ACWP (Actual Cost) from RA bill payments and resource logs. The resulting SPI and CPI values are the primary performance indicators across the entire IC-PMS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23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Flow</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Direction</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Detail</w:t>
            </w:r>
          </w:p>
        </w:tc>
        <w:tc>
          <w:tcPr>
            <w:tcW w:type="dxa" w:w="2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Update Frequency</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BCWS (Budgeted Cost of Work Scheduled)</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 → M2</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Resource-loaded baseline cost per activity, time-phased by duration</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baseline set; on resource assignment change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BCWP (Budgeted Cost of Work Performed)</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M2 → M4</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Calculated as: BAC × Physical % Complete (from PMC entry or AI %)</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 complete update; daily at data advance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ACWP (Actual Cost of Work Performed)</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 → M2</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Cumulative RA bills paid + resource logs from Module 8</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RA bill approval; on resource log entry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EVM Metrics (SPI, CPI, EAC, CV, SV)</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M2 (computed)</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EVM metrics computed by Module 2 scheduling engine using BCWS, BCWP, ACWP</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at data date advance; on-demand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Resource cost from M8 → M4 ACWP</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M8 → M4 → M2</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Labour/equipment actual costs exported as ACWP component</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labour log entry; equipment log entry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EAC forecast → Module 9 DW</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M2+M4 → M9</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P50/P80 EAC from Monte Carlo (M7) + Deterministic EAC published to Data Warehouse</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Monthly on MC refresh; daily deterministic</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62828" w:sz="1"/>
              <w:left w:val="single" w:color="C62828" w:sz="1"/>
              <w:bottom w:val="single" w:color="C62828" w:sz="1"/>
              <w:right w:val="single" w:color="C62828" w:sz="1"/>
            </w:tcBorders>
            <w:shd w:fill="C62828" w:val="clear"/>
            <w:tcMar>
              <w:top w:type="dxa" w:w="100"/>
              <w:left w:type="dxa" w:w="140"/>
              <w:bottom w:type="dxa" w:w="100"/>
              <w:right w:type="dxa" w:w="140"/>
            </w:tcMar>
          </w:tcPr>
          <w:p>
            <w:r>
              <w:rPr>
                <w:rFonts w:ascii="Arial" w:cs="Arial" w:eastAsia="Arial" w:hAnsi="Arial"/>
                <w:b/>
                <w:bCs/>
                <w:color w:val="FFFFFF"/>
                <w:sz w:val="21"/>
                <w:szCs w:val="21"/>
              </w:rPr>
              <w:t xml:space="preserve">MODULE 2 + MODULE 3 → MODULE 7  |  Automatic Risk Triggers</w:t>
            </w:r>
          </w:p>
        </w:tc>
      </w:tr>
    </w:tbl>
    <w:p>
      <w:pPr>
        <w:spacing w:before="80" w:after="80"/>
      </w:pPr>
      <w:r>
        <w:t xml:space="preserve"/>
      </w:r>
    </w:p>
    <w:p>
      <w:pPr>
        <w:spacing w:before="80" w:after="80"/>
        <w:jc w:val="both"/>
      </w:pPr>
      <w:r>
        <w:rPr>
          <w:rFonts w:ascii="Arial" w:cs="Arial" w:eastAsia="Arial" w:hAnsi="Arial"/>
          <w:color w:val="404040"/>
          <w:sz w:val="20"/>
          <w:szCs w:val="20"/>
        </w:rPr>
        <w:t xml:space="preserve">One of IC-PMS's most distinctive integration features is the automatic generation of risk triggers from operational performance data in Modules 2, 3, 4, and 5. This eliminates the dependence on manual reporting of bad news — when a key performance threshold is breached, Module 7 is informed automatically.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30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 Module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Trigger Condition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Module 7 Action</w:t>
            </w:r>
          </w:p>
        </w:tc>
        <w:tc>
          <w:tcPr>
            <w:tcW w:type="dxa" w:w="2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Alert Level</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2 — Schedule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Activity SPI &lt; 0.85 for 2+ consecutive data dates</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Upgrade schedule risk for that WBS package by one severity level; notify PMC</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P3 Warning → P2 Urgent if SPI &lt; 0.80</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2 — Schedule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Critical path Total Float = 0 days on activity not yet complete</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Create or update schedule risk linked to that CP activity; flag 'No Float Remaining'</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P2 Urgent</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Encroachment alert detected (construction outside DPR boundary GIS polygon)</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Create regulatory/compliance risk record; escalate to NICDC Legal</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P2 Urgent — same day</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Idle zone detected in active WBS area for 14+ consecutive days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Upgrade contractor risk for that package; trigger Module 5 performance notice</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P3 Warning</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NDVI vegetation loss exceeding Environmental Clearance limit</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Create environmental risk; notify NICDC Environment Cell; MoEFCC notification flagged</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P2 Urgent</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 — Cost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Package CPI &lt; 0.85 for 2+ data dates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Create cost risk for that package; auto-compute contingency drawdown recommendation</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P3 Warning</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4 — Cost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Cumulative VO value &gt; 8% of LOA (approaching GFR 10% ceiling)</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Create scope creep risk; notify PMC and SPV PM; trigger VO justification review</w:t>
            </w:r>
          </w:p>
        </w:tc>
        <w:tc>
          <w:tcPr>
            <w:tcW w:type="dxa" w:w="2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P3 Warning → P2 at 9%</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5 — Contract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Contractor performance scorecard &lt; 60 for 2 consecutive months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Upgrade contractor default risk; notify NICDC Programme Director</w:t>
            </w:r>
          </w:p>
        </w:tc>
        <w:tc>
          <w:tcPr>
            <w:tcW w:type="dxa" w:w="2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P2 Urgent</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1"/>
                <w:szCs w:val="21"/>
              </w:rPr>
              <w:t xml:space="preserve">MODULE 4 (COST) ↔ MODULE 5 (CONTRACTS)  |  Payment and Procurement Integration</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Flow</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Direction</w:t>
            </w:r>
          </w:p>
        </w:tc>
        <w:tc>
          <w:tcPr>
            <w:tcW w:type="dxa" w:w="5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LOA value and terms → Budget constraint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M5 → M4</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LOA award, contract value locked in M4 as the upper budget ceiling for that WBS package; VO approvals update this ceiling</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RA Bill → Payment pipeline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M4 → M5 (reference)</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Each RA bill in M4 linked to LOA in M5; payment history visible in contract view</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Retention, mobilisation advance, LD deductions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M5 → M4</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Deduction rates defined in contract terms (Module 5) auto-applied in Module 4 bill processing</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GeM purchase orders → Material cost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M5 (GeM) → M4</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Material delivery confirmed via GeM API → Module 5 → Module 4 material cost posting</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BG / PBG expiry alerts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M5 → M7</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Bank Guarantee and Performance Bond Guarantee expiry dates generate risk triggers in Module 7</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5.2.2  Module 9 Data Warehouse ETL Integration</w:t>
      </w:r>
    </w:p>
    <w:p>
      <w:pPr>
        <w:spacing w:before="80" w:after="80"/>
        <w:jc w:val="both"/>
      </w:pPr>
      <w:r>
        <w:rPr>
          <w:rFonts w:ascii="Arial" w:cs="Arial" w:eastAsia="Arial" w:hAnsi="Arial"/>
          <w:color w:val="404040"/>
          <w:sz w:val="20"/>
          <w:szCs w:val="20"/>
        </w:rPr>
        <w:t xml:space="preserve">Module 9 reads from all other modules through a Data Warehouse ETL pipeline orchestrated by Apache Airflow. Each module is treated as a data source with a defined extraction schedule, transformation logic, and target DW table. The DW is completely separate from the operational databases — reporting queries never hit the operational modules' databases.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800"/>
        <w:gridCol w:w="170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 Module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Key Entities Extracted</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DW Fact Table(s)</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ETL Frequency</w:t>
            </w:r>
          </w:p>
        </w:tc>
        <w:tc>
          <w:tcPr>
            <w:tcW w:type="dxa" w:w="1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DW Rows/Day (est.)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1 — WBS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hierarchy, OBS, corridor/node/package master, GIS polygon centroids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DIM_WBS, DIM_ORGANISATION, DIM_CORRIDOR</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at 02:00 IST</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~5,000 (incremental)</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2 — Schedule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Activity table, BCWS/BCWP time-phased values, SPI/CPI per WBS, Total Float, milestone status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FACT_EVM, FACT_SCHEDULE_STATUS, DIM_ACTIVITY</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Every 15 minutes (near real-time)</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~50,000 per cycle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 Satellite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AI progress % per WBS, CVI, EDI, encroachment alerts, NDVI, NTL time-series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FACT_SATELLITE, FACT_AI_PROGRESS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Weekly per satellite cycle</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~10,000 per scene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 — Cost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ACWP by WBS, EAC, invoice status, PFMS payment confirmation, VO register, retention</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FACT_COST, FACT_PAYMENT, FACT_VO</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Every hour</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~20,000</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 Contract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Contract status, milestone status, VO accumulation, contractor scorecard, BG expiry</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FACT_CONTRACT, FACT_MILESTONE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at 02:00</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~10,000</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6 — DMS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Document counts, Drawing IFC%, RFI ageing, transmittal overdue, approval pipeline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FACT_DOCUMENT, FACT_DRAWING</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at 02:00</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~15,000</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 — Risk</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Risk register (RED/AMBER/GREEN counts), P80 MC estimate, trigger log, opportunity register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FACT_RISK, FACT_MONTE_CARLO</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at 02:00; real-time for P1 triggers</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~5,000</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8 — Resource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Labour deployment, equipment utilisation, material reconciliation, over-allocation count</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FACT_RESOURCE, FACT_EQUIPMENT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Every hour</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~30,000</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5.3  Government of India Digital Systems Integration</w:t>
      </w:r>
    </w:p>
    <w:p>
      <w:pPr>
        <w:spacing w:before="80" w:after="80"/>
        <w:jc w:val="both"/>
      </w:pPr>
      <w:r>
        <w:rPr>
          <w:rFonts w:ascii="Arial" w:cs="Arial" w:eastAsia="Arial" w:hAnsi="Arial"/>
          <w:color w:val="404040"/>
          <w:sz w:val="20"/>
          <w:szCs w:val="20"/>
        </w:rPr>
        <w:t xml:space="preserve">IC-PMS integrates with fifteen Government of India digital systems across four categories: financial systems (PFMS, GeM, CPPP), regulatory portals (PARIVESH, DLRMS, GSTN), identity and NIC infrastructure (Aadhaar UIDAI, NIC SSO, DigiLocker, e-Office, SMS Sevak), and labour compliance systems (EPFO, ESIC, e-Shram). All integrations comply with NeSDA (National e-Governance Service Delivery Architecture) standards and MeitY API integration guidelines.</w:t>
      </w:r>
    </w:p>
    <w:p>
      <w:pPr>
        <w:spacing w:before="140" w:after="60"/>
        <w:jc w:val="center"/>
      </w:pPr>
      <w:r>
        <w:drawing>
          <wp:inline distT="0" distB="0" distL="0" distR="0">
            <wp:extent cx="6667500" cy="4819650"/>
            <wp:effectExtent t="0" r="0" b="0" l="0"/>
            <wp:docPr id="1" name="Figure 5.3 — Government of India Digital Systems Integration Layer" descr="Figure 5.3 — Government of India Digital Systems Integration Layer" title="Figure 5.3 — Government of India Digital Systems Integra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819650"/>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5.3 — Government of India Digital Systems Integration Layer</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5.3.1  Financial Systems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1"/>
                <w:szCs w:val="21"/>
              </w:rPr>
              <w:t xml:space="preserve">PFMS — Public Financial Management System  (Controller General of Accounts / Ministry of Finance)</w:t>
            </w:r>
          </w:p>
        </w:tc>
      </w:tr>
    </w:tbl>
    <w:p>
      <w:pPr>
        <w:spacing w:before="80" w:after="80"/>
      </w:pPr>
      <w:r>
        <w:t xml:space="preserve"/>
      </w:r>
    </w:p>
    <w:p>
      <w:pPr>
        <w:spacing w:before="80" w:after="80"/>
        <w:jc w:val="both"/>
      </w:pPr>
      <w:r>
        <w:rPr>
          <w:rFonts w:ascii="Arial" w:cs="Arial" w:eastAsia="Arial" w:hAnsi="Arial"/>
          <w:color w:val="404040"/>
          <w:sz w:val="20"/>
          <w:szCs w:val="20"/>
        </w:rPr>
        <w:t xml:space="preserve">PFMS is the mandatory payment disbursement platform for all Government of India expenditures above ₹ 1 Lakh. IC-PMS Module 4 (Cost Management) integrates with PFMS to submit Direct Payment Advice (DPA) for approved RA bills, receive payment confirmation, and reconcile fund releases against the PFMS Demand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Bidirectional</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Mutual TLS (mTLS) client certificate issued by CGA; NICDC registered as a connected agency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Primary Endpoint</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/cga/pfms/v3/dpa — Submit Direct Payment Advice for RA bill payment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Confirmation</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/cga/pfms/v3/payment-status/{dpa_ref} — Poll payment confirmation; webhook callback on payment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Fund Flow</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/cga/pfms/v3/fund-release/{demand_no} — Check NICDC fund release from Ministry of Finance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 Format</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PFMS-XML v3 schema; Ministry of Finance standard format for all connected agencies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DPA Content</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NICDC account code, PAO code, DDO code, amount, contractor account details, LOA reference, bill no.</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PFMS Demand Numbers</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Pre-configured in Module 4 per corridor: 2217-Industrial Development-Capital Outlay (per head)</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Reconciliation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Monthly: PFMS expenditure statement vs. Module 4 ACWP; reconciliation report auto-generated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Failure Handling</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Retry 3× with exponential backoff; if PFMS unavailable &gt; 2 hours: manual DPA submission form enabled; alert to NICDC Finance Director</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4 (Cost Management) — RA Bill Processing Step 8; Module 9 fund utilisation KPI</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A8A8A" w:sz="1"/>
              <w:left w:val="single" w:color="1A8A8A" w:sz="1"/>
              <w:bottom w:val="single" w:color="1A8A8A" w:sz="1"/>
              <w:right w:val="single" w:color="1A8A8A" w:sz="1"/>
            </w:tcBorders>
            <w:shd w:fill="1A8A8A" w:val="clear"/>
            <w:tcMar>
              <w:top w:type="dxa" w:w="100"/>
              <w:left w:type="dxa" w:w="140"/>
              <w:bottom w:type="dxa" w:w="100"/>
              <w:right w:type="dxa" w:w="140"/>
            </w:tcMar>
          </w:tcPr>
          <w:p>
            <w:r>
              <w:rPr>
                <w:rFonts w:ascii="Arial" w:cs="Arial" w:eastAsia="Arial" w:hAnsi="Arial"/>
                <w:b/>
                <w:bCs/>
                <w:color w:val="FFFFFF"/>
                <w:sz w:val="21"/>
                <w:szCs w:val="21"/>
              </w:rPr>
              <w:t xml:space="preserve">GeM — Government e-Marketplace  (DGS&amp;D / Ministry of Commerce &amp; Industry)</w:t>
            </w:r>
          </w:p>
        </w:tc>
      </w:tr>
    </w:tbl>
    <w:p>
      <w:pPr>
        <w:spacing w:before="80" w:after="80"/>
      </w:pPr>
      <w:r>
        <w:t xml:space="preserve"/>
      </w:r>
    </w:p>
    <w:p>
      <w:pPr>
        <w:spacing w:before="80" w:after="80"/>
        <w:jc w:val="both"/>
      </w:pPr>
      <w:r>
        <w:rPr>
          <w:rFonts w:ascii="Arial" w:cs="Arial" w:eastAsia="Arial" w:hAnsi="Arial"/>
          <w:color w:val="404040"/>
          <w:sz w:val="20"/>
          <w:szCs w:val="20"/>
        </w:rPr>
        <w:t xml:space="preserve">GeM integration in IC-PMS supports procurement of goods and services that are available on the Government e-Marketplace. Works contracts (EPC, civil construction) are NOT procured through GeM — these go through CPPP e-tendering. However, procurement of equipment, IT hardware, vehicles, office supplies, and professional services available on GeM is routed through the GeM API integration in Module 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Bidirectional</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 Bearer Token; GeM buyer account registered for NICDC and each SPV</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Create Order</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/gem/v2/orders — Create purchase order for items available on GeM; linked to Module 5 procurement plan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Delivery Status</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/gem/v2/orders/{order_id}/status — Sync delivery confirmation to Module 5 and Module 8 material receipt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Vendor Rating</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/gem/v2/vendors/{gstin}/rating — Pull GeM vendor performance for Module 5 contractor scoring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Item Search</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/gem/v2/products?category=[IT/Equipment] — Search available products for procurement planning</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Compliance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149A mandates GeM for all eligible procurements; Module 5 enforces GeM route first-check before CPPP</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Not in Scope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EPC works contracts, civil construction LOAs — these are procured through CPPP; GeM is for goods and services only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(Contract Management) — Procurement Plan, GeM Order creation and tracking</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CPPP — Central Public Procurement Portal  (CVC / Ministry of Finance)  |  e-Tendering</w:t>
            </w:r>
          </w:p>
        </w:tc>
      </w:tr>
    </w:tbl>
    <w:p>
      <w:pPr>
        <w:spacing w:before="80" w:after="80"/>
      </w:pPr>
      <w:r>
        <w:t xml:space="preserve"/>
      </w:r>
    </w:p>
    <w:p>
      <w:pPr>
        <w:spacing w:before="80" w:after="80"/>
        <w:jc w:val="both"/>
      </w:pPr>
      <w:r>
        <w:rPr>
          <w:rFonts w:ascii="Arial" w:cs="Arial" w:eastAsia="Arial" w:hAnsi="Arial"/>
          <w:color w:val="404040"/>
          <w:sz w:val="20"/>
          <w:szCs w:val="20"/>
        </w:rPr>
        <w:t xml:space="preserve">All IC-PMS works contracts above ₹ 25 Lakh are procured through open competitive tendering published on the Central Public Procurement Portal (CPPP) as mandated by GFR Rule 158. Module 5's tender creation workflow auto-publishes NIT documents to CPPP and retrieves bid submission confirmations through the CPPP REST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Outbound (NIT publish); Inbound (bid receipt notification)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 NICDC institutional credentials registered with NIC/CPPP</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NIT Publication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/cppp/v2/nit/publish — Publishes NIT in CPPP XML schema; NIT number confirmed by CPPP</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Corrigendum</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PUT /cppp/v2/nit/{nit_id}/corrigendum — Posts amendments to published NIT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Bid Receipt</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/cppp/v2/nit/{nit_id}/bids — Retrieves submitted bid metadata; bid documents downloaded securely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NIT XML Schema</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CPPP NIT Schema v2.1 — includes tender type, EMD, bid validity, eligibility criteria, BOQ reference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158</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Mandatory e-publication on CPPP for all tenders &gt; ₹ 25 Lakh; Module 5 blocks NIT release if CPPP publish fails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Integrity Pact</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CVC mandates Integrity Pact for contracts &gt; ₹ 10 Cr; Module 5 attaches IP document to CPPP tender package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(Contract Management) — Tender Management tab, New Tender Form Step 5 (Review &amp; Publish)</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5.3.2  Regulatory &amp; Compliance Systems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tcPr>
          <w:p>
            <w:r>
              <w:rPr>
                <w:rFonts w:ascii="Arial" w:cs="Arial" w:eastAsia="Arial" w:hAnsi="Arial"/>
                <w:b/>
                <w:bCs/>
                <w:color w:val="FFFFFF"/>
                <w:sz w:val="21"/>
                <w:szCs w:val="21"/>
              </w:rPr>
              <w:t xml:space="preserve">MoEFCC PARIVESH — Environmental &amp; Forest Clearance Portal</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 (read-only)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issued by MoEFCC to NICDC; read-only scope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EC Status</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/parivesh/v1/projects/{nicdc_proj_id}/ec-status — Returns: Approved/Pending/Under_Scrutiny/NOC_Required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Forest Clearance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/parivesh/v1/projects/{nicdc_proj_id}/forest-clearance — Stage 1/Stage 2 clearance status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Wildlife NOC</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/parivesh/v1/projects/{nicdc_proj_id}/wildlife-noc — NBWL clearance status for projects in eco-sensitive zones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Polling Frequency</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Weekly scheduled poll; real-time on project status change webhook (if PARIVESH webhook available)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Risk Integration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Status change (Approved → Suspended) automatically creates/upgrades regulatory risk in Module 7</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Usage in IC-PMS</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7 (Risk Management) — Regulatory risk probability auto-updated; Module 9 — Compliance dashboard</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40"/>
            </w:tcMar>
          </w:tcPr>
          <w:p>
            <w:r>
              <w:rPr>
                <w:rFonts w:ascii="Arial" w:cs="Arial" w:eastAsia="Arial" w:hAnsi="Arial"/>
                <w:b/>
                <w:bCs/>
                <w:color w:val="FFFFFF"/>
                <w:sz w:val="21"/>
                <w:szCs w:val="21"/>
              </w:rPr>
              <w:t xml:space="preserve">DLRMS — Digital Land Records Management System  (State Revenue Departments / DoLR)</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 (read-only); varies by state (Gujarat, Maharashtra, Rajasthan, etc.)</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 Retrieved</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Land parcel status per survey number: Acquired / Litigated / Pending / Mutation_Complete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LA Risk Update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Real-time: when parcel status changes from 'Acquired' to 'Litigated', Module 7 LA risk probability auto-upgraded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Trigger Threshold</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Risk trigger fires in Module 7 if: % litigated parcels &gt; 10% of total project parcels for a WBS node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State Variations</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Gujarat: ANYROR API  |  Maharashtra: MahaBhulekh API  |  Rajasthan: Apna Khata  |  UP: Bhulekh API  |  Others: Manual entry fallback</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Polling Frequency</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Weekly automated poll; manual trigger available for PMC on-demand</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 (Risk Management) — Land Acquisition risk; Module 9 — LA dashboard widget</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A8A8A" w:sz="1"/>
              <w:left w:val="single" w:color="1A8A8A" w:sz="1"/>
              <w:bottom w:val="single" w:color="1A8A8A" w:sz="1"/>
              <w:right w:val="single" w:color="1A8A8A" w:sz="1"/>
            </w:tcBorders>
            <w:shd w:fill="1A8A8A" w:val="clear"/>
            <w:tcMar>
              <w:top w:type="dxa" w:w="100"/>
              <w:left w:type="dxa" w:w="140"/>
              <w:bottom w:type="dxa" w:w="100"/>
              <w:right w:type="dxa" w:w="140"/>
            </w:tcMar>
          </w:tcPr>
          <w:p>
            <w:r>
              <w:rPr>
                <w:rFonts w:ascii="Arial" w:cs="Arial" w:eastAsia="Arial" w:hAnsi="Arial"/>
                <w:b/>
                <w:bCs/>
                <w:color w:val="FFFFFF"/>
                <w:sz w:val="21"/>
                <w:szCs w:val="21"/>
              </w:rPr>
              <w:t xml:space="preserve">GSTN — GST Network  (CBIC / Ministry of Finance)</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 (read-only)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Primary Use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GSTIN validation for all contractors, subcontractors, and suppliers in Modules 5 and 8</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GSTIN Validation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/gstn/v1/validate?gstin={GSTIN} — Returns: Valid/Invalid, business name, state, registration date, status (Active/Cancelled/Suspended)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GST Compliance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/gstn/v1/compliance/{gstin} — Check if contractor has filed returns for last 3 months (3B compliance)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e-Invoice Verification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GET /gstn/v1/einvoice/{irn} — Verify e-invoice IRN before accepting material deliveries in Module 8</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Trigger</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New contractor registration in Module 5 triggers GSTIN validation; non-compliance flag blocks payment in Module 4</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Frequency</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On-demand validation at registration; monthly compliance check for all active contractors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5 (Organisation Master, Contract Register), Module 8 (Subcontractor tracking), Module 4 (Bill Processing)</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5.3.3  Identity &amp; NIC Infrastructure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37474F" w:sz="1"/>
              <w:left w:val="single" w:color="37474F" w:sz="1"/>
              <w:bottom w:val="single" w:color="37474F" w:sz="1"/>
              <w:right w:val="single" w:color="37474F" w:sz="1"/>
            </w:tcBorders>
            <w:shd w:fill="37474F" w:val="clear"/>
            <w:tcMar>
              <w:top w:type="dxa" w:w="100"/>
              <w:left w:type="dxa" w:w="140"/>
              <w:bottom w:type="dxa" w:w="100"/>
              <w:right w:type="dxa" w:w="140"/>
            </w:tcMar>
          </w:tcPr>
          <w:p>
            <w:r>
              <w:rPr>
                <w:rFonts w:ascii="Arial" w:cs="Arial" w:eastAsia="Arial" w:hAnsi="Arial"/>
                <w:b/>
                <w:bCs/>
                <w:color w:val="FFFFFF"/>
                <w:sz w:val="21"/>
                <w:szCs w:val="21"/>
              </w:rPr>
              <w:t xml:space="preserve">UIDAI — Aadhaar OTP Multi-Factor Authentication &amp; eSign</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 (OTP generation); Bidirectional (eSign)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MFA Scope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users with financial approval rights (Module 4 bill approval, Module 5 LOA award) require Aadhaar OTP as second factor</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OTP API</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/uidai/auth/otp — Sends OTP to Aadhaar-linked mobile; OTP valid for 10 minutes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OTP Verify</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POST /uidai/auth/verify — Verifies OTP with Aadhaar number; returns auth token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Aadhaar eSign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/uidai/esign/v2 — Electronic signature on MPR (SPV Director), RA bills (PMC Lead); legally equivalent to wet ink signature under IT Act Section 3A</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DSC Alternative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USB DSC Class 3 tokens accepted for NICDC HQ officers and Ministry officials; managed via NIC PKI</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Privacy Compliance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Aadhaar number never stored in IC-PMS database; only auth tokens retained; compliant with UIDAI circular 2022</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modules — login MFA; Module 4 — RA bill financial approval; Module 9 — MPR SPV Director countersign</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1"/>
                <w:szCs w:val="21"/>
              </w:rPr>
              <w:t xml:space="preserve">NIC DigiLocker / Bharat Cloud  —  Sovereign Document Repository</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OAuth 2.0 API — Bidirectional</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Storage Architecture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DigiLocker as primary document store for Module 6 DMS; Bharat Cloud object storage (S3-compatible) as backup</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Upload</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/digilocker/v2/upload — Upload document with metadata: doc_type, project_ref, WBS_id, retention_class, classification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Download</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GET /digilocker/v2/documents/{doc_id} — Pre-signed URL with 1-hour expiry; no permanent public URLs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DSC Signing</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POST /digilocker/v2/sign — Integrated digital signature on documents; supports Class 3 DSC and Aadhaar eSign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Retention Classes</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Permanent (MPR, LOA, Satellite records) | Long-term 30yr (RA bills, GFR mandate) | Medium 7yr (Correspondence)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WORM Storage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Write-Once-Read-Many storage for financial documents; compliant with GFR 2017 Rule 33 (30-year retention)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Usage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6 (DMS — all documents), Module 4 (RA bill archives), Module 9 (MPR archive), Module 5 (Contract documents)</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5.3.4  Labour Compliance Systems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3000"/>
        <w:gridCol w:w="170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Ministry</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Type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Retrieved</w:t>
            </w:r>
          </w:p>
        </w:tc>
        <w:tc>
          <w:tcPr>
            <w:tcW w:type="dxa" w:w="1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Module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EPFO Portal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Ministry of Labour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 (read-only)</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PF/ESI contribution compliance status per contractor GSTIN: Current / Arrear (30+ days) / Defaulter</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8 — Labour Log; Module 5 — Contractor compliance</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ESIC Portal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Ministry of Labour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 — Inbound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ESI contribution status; employee count per contractor at establishment level</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8 — Labour compliance tracking</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MoL e-Shram Portal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Ministry of Labour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Inbound</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Migrant worker registration verification for applicable states (BOCW Act); worker Aadhaar-linked UAN</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8 — Labour compliance; Worker registration tracking</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RBI Open Data (WPI)</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Reserve Bank of India</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Open Data API — Inbound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Wholesale Price Index monthly data for CPWD SOR rate escalation computation in Module 8</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8 — Effective rate computation; Module 4 — Escalation clauses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MoSPI MOSPI CPI</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Ministry of Statistics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Open Data API — Inbound</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Consumer Price Index for labour rate escalation</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8 — Labour rate escalation</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5.4  Satellite &amp; Geospatial Integration Pipeline</w:t>
      </w:r>
    </w:p>
    <w:p>
      <w:pPr>
        <w:spacing w:before="80" w:after="80"/>
        <w:jc w:val="both"/>
      </w:pPr>
      <w:r>
        <w:rPr>
          <w:rFonts w:ascii="Arial" w:cs="Arial" w:eastAsia="Arial" w:hAnsi="Arial"/>
          <w:color w:val="404040"/>
          <w:sz w:val="20"/>
          <w:szCs w:val="20"/>
        </w:rPr>
        <w:t xml:space="preserve">The satellite integration pipeline is the most technically complex integration in IC-PMS — it ingests high-resolution satellite imagery from ISRO and commercial providers, processes it through an AI/ML segmentation pipeline, and produces AI-verified construction progress metrics that are used across Modules 3, 4, 7, and 9. The pipeline runs on NIC MeghRaj GPU infrastructure and is architecturally separated from the IC-PMS operational services to prevent compute-intensive processing from impacting application response times.</w:t>
      </w:r>
    </w:p>
    <w:p>
      <w:pPr>
        <w:spacing w:before="140" w:after="60"/>
        <w:jc w:val="center"/>
      </w:pPr>
      <w:r>
        <w:drawing>
          <wp:inline distT="0" distB="0" distL="0" distR="0">
            <wp:extent cx="6667500" cy="3705225"/>
            <wp:effectExtent t="0" r="0" b="0" l="0"/>
            <wp:docPr id="1" name="Figure 5.4 — Satellite &amp; Geospatial Integration Pipeline  (Ingestion → Pre-processing → AI/ML → Results → GeoServer)" descr="Figure 5.4 — Satellite &amp; Geospatial Integration Pipeline  (Ingestion → Pre-processing → AI/ML → Results → GeoServer)" title="Figure 5.4 — Satellite &amp; Geospatial Integration Pipeline  (Ingestion → Pre-processing → AI/ML → Results → Geo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705225"/>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5.4 — Satellite &amp; Geospatial Integration Pipeline  (Ingestion → Pre-processing → AI/ML → Results → GeoServer)</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5.4.1  Satellite Data Sources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200"/>
        <w:gridCol w:w="1400"/>
        <w:gridCol w:w="1600"/>
        <w:gridCol w:w="1200"/>
        <w:gridCol w:w="130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Source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Provider</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Product</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Resolution</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Spectral Bands</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API Protocol</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Cadence</w:t>
            </w:r>
          </w:p>
        </w:tc>
        <w:tc>
          <w:tcPr>
            <w:tcW w:type="dxa" w:w="1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Cost Model</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ISRO Bhuvan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National Remote Sensing Centre (NRSC), ISRO</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Cartosat-3 Level-2 product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0.25m PAN; 1.0m MS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PAN + 4 multispectral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WMTS + STAC API; ISRO Bhuvan portal SSO</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Weekly to fortnightly (cloud permitting)</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Government allocation — no commercial cost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Planet Labs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Planet Labs (US commercial)</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Planet Scope 3m MS; SkySat 50cm PAN (optional)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3m MS; 50cm PAN</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RGB + NIR; or 8-band</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Planet API v1 (REST/JSON); OAuth 2.0</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3m coverage; weekly 50cm</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MoU / MeitY agreement</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Maxar WorldView</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Maxar Technologies (optional upgrade)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WorldView-3 30cm PAN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0.31m PAN; 1.24m MS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Panchromatic + 8MS + SWIR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Maxar Streaming API</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On-demand tasking</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Per km2 commercial pricing — budget permitting</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IMD / NOAA Weather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India Meteorological Department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Weather forecast, cyclone alerts, monsoon onset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Regional</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N/A</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IMD OpenData REST API</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 Real-time alerts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Free government data</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Survey of India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National Survey Organisation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1:10,000 topo sheets; DEM (CARTODEM)</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1m DEM resolution</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Topographic + DEM</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WFS / GeoServer WMS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Periodic updates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Government allocation</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5.4.2  AI/ML Segmentation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200"/>
        <w:gridCol w:w="150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Pipeline Stage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Technology</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Input</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Output</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Duration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Stage 1 — Ingestion &amp; Validation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Python (requests, boto3); MinIO S3-compatible storage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Raw imagery files from ISRO STAC / Planet API</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Validated raw scenes in MinIO; metadata in PostgreSQL; cloud cover check passed</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15–30 minutes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Stage 2 — Pre-processing</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Python GDAL + Rasterio; SRTM/CARTODEM DEM</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Raw GeoTIFF scenes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Radiometrically calibrated, orthorectified, cloud-masked, band-stacked GeoTIFF</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30–45 minutes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Stage 3 — AI Segmentation (U-Net)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PyTorch U-Net architecture (semantic segmentation); NIC MeghRaj GPU cluster (A100)</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Pre-processed GeoTIFF + DPR boundary GeoJSON</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Pixel-level classification map (8 classes); confidence raster; WBS polygon-level progress %</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45–90 minutes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Stage 4 — Analytics Computation</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Python (NumPy, GeoPandas); PostGIS SQL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Classification raster + WBS polygons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CVI (Construction Velocity Index), EDI (Equipment Density Index), NDVI, NTL for each WBS element</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15 minutes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Stage 5 — GeoServer Publish &amp; Alert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GeoServer 2.23 (OGC WMS/WMTS/WFS); Kafka producer</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Analytics results + classification rasters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WMTS tiles served to Module 3 map; WFS polygons with AI progress attributes; Kafka alert events</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15 minutes</w:t>
            </w:r>
          </w:p>
        </w:tc>
      </w:tr>
    </w:tbl>
    <w:p>
      <w:pPr>
        <w:spacing w:before="80" w:after="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AI Model Detail</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Architecture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U-Net (encoder-decoder) with ResNet-50 backbone; adapted for multi-temporal change detection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Training Dataset</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3,500 labelled satellite scenes across NHAI, NICDC pilot corridors; augmented with global construction site data</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Classes (8)</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(0) Background/Non-construction | (1) Active Construction | (2) Road/Pavement | (3) Foundation/Structure | (4) Utilities | (5) Vegetation | (6) Bare Earth | (7) Completed/As-Built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Accuracy</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Mean Intersection over Union (mIoU): 89.4% on DMIC test scenes | Confusion matrix published in Model Registry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Model Registry</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MLflow on NIC MeghRaj; model versions tracked; champion/challenger A/B testing for production deployments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Training Pipeline</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Kubeflow Pipelines on NIC MeghRaj Kubernetes; triggered on new training data availability; GPU: NVIDIA A100 80GB</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Inference</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MeghRaj GPU cluster; batch inference per satellite scene; &lt; 90 minutes per scene for full corridor node</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5.5  API Architecture &amp; Security Framework</w:t>
      </w:r>
    </w:p>
    <w:p>
      <w:pPr>
        <w:spacing w:before="80" w:after="80"/>
        <w:jc w:val="both"/>
      </w:pPr>
      <w:r>
        <w:rPr>
          <w:rFonts w:ascii="Arial" w:cs="Arial" w:eastAsia="Arial" w:hAnsi="Arial"/>
          <w:color w:val="404040"/>
          <w:sz w:val="20"/>
          <w:szCs w:val="20"/>
        </w:rPr>
        <w:t xml:space="preserve">IC-PMS implements a zero-trust security architecture — no integration endpoint is trusted by default, regardless of whether it originates inside or outside the NIC MeghRaj perimeter. Every API call is authenticated, authorised, rate-limited, logged, and encrypted. The API Gateway (Kong) is the single enforcement point for all these controls.</w:t>
      </w:r>
    </w:p>
    <w:p>
      <w:pPr>
        <w:spacing w:before="140" w:after="60"/>
        <w:jc w:val="center"/>
      </w:pPr>
      <w:r>
        <w:drawing>
          <wp:inline distT="0" distB="0" distL="0" distR="0">
            <wp:extent cx="6667500" cy="4448175"/>
            <wp:effectExtent t="0" r="0" b="0" l="0"/>
            <wp:docPr id="1" name="Figure 5.5 — API Architecture &amp; Security Layers  (Zero-Trust Framework  —  WAF → Gateway → Auth → Bus → Data)" descr="Figure 5.5 — API Architecture &amp; Security Layers  (Zero-Trust Framework  —  WAF → Gateway → Auth → Bus → Data)" title="Figure 5.5 — API Architecture &amp; Security Layers  (Zero-Trust Framework  —  WAF → Gateway → Auth → Bus →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448175"/>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5.5 — API Architecture &amp; Security Layers  (Zero-Trust Framework  —  WAF → Gateway → Auth → Bus → Data)</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5.5.1  API Gateway Configuration (Kong)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Kong Plugin / Feature</w:t>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Configuration</w:t>
            </w:r>
          </w:p>
        </w:tc>
        <w:tc>
          <w:tcPr>
            <w:tcW w:type="dxa" w:w="3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Rate Limiting</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internal APIs: 10,000 req/min; External GoI APIs: per SLA; Satellite: 100 req/hr</w:t>
            </w:r>
          </w:p>
        </w:tc>
        <w:tc>
          <w:tcPr>
            <w:tcW w:type="dxa" w:w="3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Prevent DoS; protect external system quotas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 / JWT Validation</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Token introspection against NIC LDAP; JWT expiry 8 hours for session; 30 minutes for financial operations</w:t>
            </w:r>
          </w:p>
        </w:tc>
        <w:tc>
          <w:tcPr>
            <w:tcW w:type="dxa" w:w="3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Token-based stateless authentication for all API requests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Versioning</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v1 (stable) and v2 (current); v3 (beta); consumers specify version in URL prefix /api/v2/</w:t>
            </w:r>
          </w:p>
        </w:tc>
        <w:tc>
          <w:tcPr>
            <w:tcW w:type="dxa" w:w="3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Backward compatibility during system upgrades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Request Logging</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requests logged to Elasticsearch: endpoint, user_id, response_time, status_code, IP, corridor_scope</w:t>
            </w:r>
          </w:p>
        </w:tc>
        <w:tc>
          <w:tcPr>
            <w:tcW w:type="dxa" w:w="3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Full audit trail; Elasticsearch queryable for incident investigation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Circuit Breaker</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Opens circuit after 5 consecutive failures to an upstream; 30-second wait before retry; fallback response configured</w:t>
            </w:r>
          </w:p>
        </w:tc>
        <w:tc>
          <w:tcPr>
            <w:tcW w:type="dxa" w:w="3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Prevents cascade failure when GoI systems are unavailable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mTLS for GoI Systems</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Client certificates (PFMS, GSTN, PARIVESH): mandatory mutual TLS authentication for financial/regulatory integrations</w:t>
            </w:r>
          </w:p>
        </w:tc>
        <w:tc>
          <w:tcPr>
            <w:tcW w:type="dxa" w:w="3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Ensures only NICDC-registered systems can call these endpoints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IP Whitelisting</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PFMS: CGA server IPs only; GSTN: CBIC registered ranges; UIDAI: UIDAI designated endpoints</w:t>
            </w:r>
          </w:p>
        </w:tc>
        <w:tc>
          <w:tcPr>
            <w:tcW w:type="dxa" w:w="3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Restricts government system APIs to known IP ranges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Transformation</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XER → JSON transformation for Primavera P6; PFMS-XML → JSON for internal use; field mapping per integration</w:t>
            </w:r>
          </w:p>
        </w:tc>
        <w:tc>
          <w:tcPr>
            <w:tcW w:type="dxa" w:w="3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Protocol/format translation at gateway level</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5.5.2  Authentication Protocol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600"/>
        <w:gridCol w:w="17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Auth Protocol</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Credential Type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Token Lifetime</w:t>
            </w:r>
          </w:p>
        </w:tc>
        <w:tc>
          <w:tcPr>
            <w:tcW w:type="dxa" w:w="1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MFA Required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User Login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SSO + Aadhaar OTP</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LDAP credentials + Aadhaar OTP</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8 hours session JWT</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Yes — Aadhaar OTP for all users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Financial Approvals (M4 RA Bills)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Aadhaar eSign or USB DSC Class 3</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Biometric/OTP (Aadhaar) or hardware token (DSC)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Per-transaction (30-min window)</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Yes — mandatory for all financial approvals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PFMS API (CGA)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Mutual TLS (mTLS)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Client X.509 certificate issued by CGA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Certificate: 1 year; session: 30 minutes</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Yes — certificate serves as MFA</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GeM Portal</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 Bearer Token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Client ID + Secret (GeM buyer account)</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 hour (auto-refresh)</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No — token-based authentication sufficient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UIDAI Aadhaar OTP</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 + HMAC signature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NICDC AUA API Key issued by UIDAI</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OTP: 10 minutes; API Key: 1 year</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N/A — this IS the MFA provider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DigiLocker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 Authorization Code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User consent flow; NICDC client credentials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Access: 1 hour; Refresh: 30 days</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Aadhaar OTP for DigiLocker consent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Oracle Primavera P6</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Key + JWT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P6 API key + user JWT from P6 server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JWT: 1 hour</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No — P6 handles its own auth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Satellite APIs (Planet, ISRO)</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(Planet) / SSO (ISRO Bhuvan)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Planet API key; ISRO institutional account</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permanent (rotated annually)</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No — key-based auth for server-to-server</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5.5.3  Security Certifications &amp; Compliance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Security Requirement</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Standard / Mandate</w:t>
            </w:r>
          </w:p>
        </w:tc>
        <w:tc>
          <w:tcPr>
            <w:tcW w:type="dxa" w:w="4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Implementation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Vulnerability Assessment &amp; Penetration Testing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CERT-In empanelled agency; mandatory every 6 months for government websites/applications</w:t>
            </w:r>
          </w:p>
        </w:tc>
        <w:tc>
          <w:tcPr>
            <w:tcW w:type="dxa" w:w="4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VAPT conducted before production go-live and every 6 months thereafter; CERT-In empanelled agency engaged through open tender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Information Security Management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ISO 27001:2022</w:t>
            </w:r>
          </w:p>
        </w:tc>
        <w:tc>
          <w:tcPr>
            <w:tcW w:type="dxa" w:w="4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NICDC to seek ISO 27001 certification for IC-PMS within 18 months of go-live; Annex A controls implemented in system design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Encryption at Rest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IT Act 2000; MeitY guidelines</w:t>
            </w:r>
          </w:p>
        </w:tc>
        <w:tc>
          <w:tcPr>
            <w:tcW w:type="dxa" w:w="4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AES-256 encryption for all database volumes (PostgreSQL, Elasticsearch, MinIO); key management via NIC KMS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Encryption in Transit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TLS 1.3 mandatory; TLS 1.2 deprecated</w:t>
            </w:r>
          </w:p>
        </w:tc>
        <w:tc>
          <w:tcPr>
            <w:tcW w:type="dxa" w:w="4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IC-PMS endpoints HTTPS only; TLS 1.0/1.1 disabled; HSTS headers enforced; certificate from NIC CA</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Audit Logging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2017 Rule 33; CVC guidelines</w:t>
            </w:r>
          </w:p>
        </w:tc>
        <w:tc>
          <w:tcPr>
            <w:tcW w:type="dxa" w:w="4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WORM (Write-Once-Read-Many) audit log in Elasticsearch; all user actions, data changes, and API calls logged; 30-year retention per GFR mandate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 Localisation</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MeitY Data Localisation Policy</w:t>
            </w:r>
          </w:p>
        </w:tc>
        <w:tc>
          <w:tcPr>
            <w:tcW w:type="dxa" w:w="4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IC-PMS data hosted exclusively on NIC MeghRaj (NIC data centres in Pune, Hyderabad); no data in foreign clouds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PII Protection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PDPB (Personal Data Protection Bill framework)</w:t>
            </w:r>
          </w:p>
        </w:tc>
        <w:tc>
          <w:tcPr>
            <w:tcW w:type="dxa" w:w="4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Aadhaar numbers never stored; contractor worker Aadhaar referenced by UID token only; PII masked in test/UAT environments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Software Composition Analysis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CERT-In Secure Coding guidelines</w:t>
            </w:r>
          </w:p>
        </w:tc>
        <w:tc>
          <w:tcPr>
            <w:tcW w:type="dxa" w:w="4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SAST (SonarQube) in CI/CD pipeline; DAST (OWASP ZAP) in staging; dependency vulnerability scan (Snyk) weekly</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5.6  Financial Integration Flows — PFMS, GeM, CPPP</w:t>
      </w:r>
    </w:p>
    <w:p>
      <w:pPr>
        <w:spacing w:before="80" w:after="80"/>
        <w:jc w:val="both"/>
      </w:pPr>
      <w:r>
        <w:rPr>
          <w:rFonts w:ascii="Arial" w:cs="Arial" w:eastAsia="Arial" w:hAnsi="Arial"/>
          <w:color w:val="404040"/>
          <w:sz w:val="20"/>
          <w:szCs w:val="20"/>
        </w:rPr>
        <w:t xml:space="preserve">The financial integration flows are the most governance-critical integrations in IC-PMS — they connect the system to the Government of India's fund management infrastructure. Every rupee of expenditure from NICDC's industrial corridor programme must pass through the PFMS payment gateway, and all public procurement must be traceable to either GeM or CPPP. The following diagram and specifications detail these flows precisely.</w:t>
      </w:r>
    </w:p>
    <w:p>
      <w:pPr>
        <w:spacing w:before="140" w:after="60"/>
        <w:jc w:val="center"/>
      </w:pPr>
      <w:r>
        <w:drawing>
          <wp:inline distT="0" distB="0" distL="0" distR="0">
            <wp:extent cx="6667500" cy="3705225"/>
            <wp:effectExtent t="0" r="0" b="0" l="0"/>
            <wp:docPr id="1" name="Figure 5.6 — Financial Integration Flow  (PFMS 8-Step RA Bill Pipeline, GeM Procurement, CPPP Tendering)" descr="Figure 5.6 — Financial Integration Flow  (PFMS 8-Step RA Bill Pipeline, GeM Procurement, CPPP Tendering)" title="Figure 5.6 — Financial Integration Flow  (PFMS 8-Step RA Bill Pipeline, GeM Procurement, CPPP T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3705225"/>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5.6 — Financial Integration Flow  (PFMS 8-Step RA Bill Pipeline, GeM Procurement, CPPP Tendering)</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5.6.1  PFMS End-to-End Payment Flow</w:t>
      </w:r>
    </w:p>
    <w:p>
      <w:pPr>
        <w:pStyle w:val="ListParagraph"/>
        <w:numPr>
          <w:ilvl w:val="0"/>
          <w:numId w:val="2"/>
        </w:numPr>
        <w:spacing w:before="50" w:after="50"/>
      </w:pPr>
      <w:r>
        <w:rPr>
          <w:rFonts w:ascii="Arial" w:cs="Arial" w:eastAsia="Arial" w:hAnsi="Arial"/>
          <w:color w:val="404040"/>
          <w:sz w:val="20"/>
          <w:szCs w:val="20"/>
        </w:rPr>
        <w:t xml:space="preserve">Contractor submits RA Bill in IC-PMS Module 4, claiming measured quantities from the Measurement Book (MB). Bill entry captures LOA reference, WBS package, gross amount, period, and contractor's claimed % complete.</w:t>
      </w:r>
    </w:p>
    <w:p>
      <w:pPr>
        <w:pStyle w:val="ListParagraph"/>
        <w:numPr>
          <w:ilvl w:val="0"/>
          <w:numId w:val="2"/>
        </w:numPr>
        <w:spacing w:before="50" w:after="50"/>
      </w:pPr>
      <w:r>
        <w:rPr>
          <w:rFonts w:ascii="Arial" w:cs="Arial" w:eastAsia="Arial" w:hAnsi="Arial"/>
          <w:color w:val="404040"/>
          <w:sz w:val="20"/>
          <w:szCs w:val="20"/>
        </w:rPr>
        <w:t xml:space="preserve">PMC Engineer verifies the MB measurements independently; records certified quantities. System computes BCWP for the certified period.</w:t>
      </w:r>
    </w:p>
    <w:p>
      <w:pPr>
        <w:pStyle w:val="ListParagraph"/>
        <w:numPr>
          <w:ilvl w:val="0"/>
          <w:numId w:val="2"/>
        </w:numPr>
        <w:spacing w:before="50" w:after="50"/>
      </w:pPr>
      <w:r>
        <w:rPr>
          <w:rFonts w:ascii="Arial" w:cs="Arial" w:eastAsia="Arial" w:hAnsi="Arial"/>
          <w:color w:val="404040"/>
          <w:sz w:val="20"/>
          <w:szCs w:val="20"/>
        </w:rPr>
        <w:t xml:space="preserve">Satellite Gate (Module 3 integration): IC-PMS queries the latest AI-verified progress % for the WBS polygon. If AI% &lt; Contractor Claimed% – 5%, bill is placed on HOLD. PMC must provide field inspection override with date and physical evidence.</w:t>
      </w:r>
    </w:p>
    <w:p>
      <w:pPr>
        <w:pStyle w:val="ListParagraph"/>
        <w:numPr>
          <w:ilvl w:val="0"/>
          <w:numId w:val="2"/>
        </w:numPr>
        <w:spacing w:before="50" w:after="50"/>
      </w:pPr>
      <w:r>
        <w:rPr>
          <w:rFonts w:ascii="Arial" w:cs="Arial" w:eastAsia="Arial" w:hAnsi="Arial"/>
          <w:color w:val="404040"/>
          <w:sz w:val="20"/>
          <w:szCs w:val="20"/>
        </w:rPr>
        <w:t xml:space="preserve">PMC Lead digital signature (Aadhaar eSign) certifies the bill at PMC-approved %. Bill moves to SPV Director queue.</w:t>
      </w:r>
    </w:p>
    <w:p>
      <w:pPr>
        <w:pStyle w:val="ListParagraph"/>
        <w:numPr>
          <w:ilvl w:val="0"/>
          <w:numId w:val="2"/>
        </w:numPr>
        <w:spacing w:before="50" w:after="50"/>
      </w:pPr>
      <w:r>
        <w:rPr>
          <w:rFonts w:ascii="Arial" w:cs="Arial" w:eastAsia="Arial" w:hAnsi="Arial"/>
          <w:color w:val="404040"/>
          <w:sz w:val="20"/>
          <w:szCs w:val="20"/>
        </w:rPr>
        <w:t xml:space="preserve">Deductions computed automatically: Mobilisation Advance Recovery (per LOA schedule), Retention (5%), Liquidated Damages (if applicable, per LOA), TDS (2%), and GST (18% added to net). Net Payable computed.</w:t>
      </w:r>
    </w:p>
    <w:p>
      <w:pPr>
        <w:pStyle w:val="ListParagraph"/>
        <w:numPr>
          <w:ilvl w:val="0"/>
          <w:numId w:val="2"/>
        </w:numPr>
        <w:spacing w:before="50" w:after="50"/>
      </w:pPr>
      <w:r>
        <w:rPr>
          <w:rFonts w:ascii="Arial" w:cs="Arial" w:eastAsia="Arial" w:hAnsi="Arial"/>
          <w:color w:val="404040"/>
          <w:sz w:val="20"/>
          <w:szCs w:val="20"/>
        </w:rPr>
        <w:t xml:space="preserve">SPV Director approves via USB DSC Class 3 signature. This is the final internal approval.</w:t>
      </w:r>
    </w:p>
    <w:p>
      <w:pPr>
        <w:pStyle w:val="ListParagraph"/>
        <w:numPr>
          <w:ilvl w:val="0"/>
          <w:numId w:val="2"/>
        </w:numPr>
        <w:spacing w:before="50" w:after="50"/>
      </w:pPr>
      <w:r>
        <w:rPr>
          <w:rFonts w:ascii="Arial" w:cs="Arial" w:eastAsia="Arial" w:hAnsi="Arial"/>
          <w:color w:val="404040"/>
          <w:sz w:val="20"/>
          <w:szCs w:val="20"/>
        </w:rPr>
        <w:t xml:space="preserve">IC-PMS generates PFMS Direct Payment Advice (DPA) in PFMS-XML v3 format. DPA includes: NICDC DDO code, PAO code, contractor bank account (validated against PFMS contractor master), Demand No. 2217, bill reference, amount in words and figures.</w:t>
      </w:r>
    </w:p>
    <w:p>
      <w:pPr>
        <w:pStyle w:val="ListParagraph"/>
        <w:numPr>
          <w:ilvl w:val="0"/>
          <w:numId w:val="2"/>
        </w:numPr>
        <w:spacing w:before="50" w:after="50"/>
      </w:pPr>
      <w:r>
        <w:rPr>
          <w:rFonts w:ascii="Arial" w:cs="Arial" w:eastAsia="Arial" w:hAnsi="Arial"/>
          <w:color w:val="404040"/>
          <w:sz w:val="20"/>
          <w:szCs w:val="20"/>
        </w:rPr>
        <w:t xml:space="preserve">DPA submitted to PFMS via POST /cga/pfms/v3/dpa. PFMS validates, routes to PAO, processes treasury payment via RBI/SBI. PFMS sends payment confirmation callback to IC-PMS. Module 4 ACWP updated. Module 9 fund utilisation KPI updated.</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5.6.2  GFR Compliance Checkpoints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30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GFR Rule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Requirement</w:t>
            </w:r>
          </w:p>
        </w:tc>
        <w:tc>
          <w:tcPr>
            <w:tcW w:type="dxa" w:w="5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Enforcement</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210</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MB measurements mandatory before payment</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System blocks RA bill advancement past Step 2 if MB entries not completed</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GFR Rule 212</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PMC certification of measurements mandatory</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PMC Lead digital signature required at Step 4; cannot be bypassed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149</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Open competitive tender for purchases &gt; ₹ 25 Lakh</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enforces CPPP route; blocks direct award without tender for eligible value</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GFR Rule 149A</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GeM procurement mandatory for listed goods/services</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5 first-check: is item available on GeM? If yes, GeM route enforced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158</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CPPP e-publication mandatory for tenders &gt; ₹ 25 Lakh</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blocks NIT release without CPPP publish confirmation</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GFR Rule 147</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Retention deduction minimum 5% of contract value</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System auto-applies 5% retention; override requires Finance Director approval</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GFR Rule 205</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VO limit 10% of LOA value without fresh approval</w:t>
            </w:r>
          </w:p>
        </w:tc>
        <w:tc>
          <w:tcPr>
            <w:tcW w:type="dxa" w:w="5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alerts at 8%, blocks at 10%; NICDC Board approval workflow triggered</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GFR Rule 33</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financial records retained 30 years</w:t>
            </w:r>
          </w:p>
        </w:tc>
        <w:tc>
          <w:tcPr>
            <w:tcW w:type="dxa" w:w="5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DigiLocker WORM storage with 30-year retention class for all financial documents</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5.7  Oracle Primavera P6 / Unifier Integration</w:t>
      </w:r>
    </w:p>
    <w:p>
      <w:pPr>
        <w:spacing w:before="80" w:after="80"/>
        <w:jc w:val="both"/>
      </w:pPr>
      <w:r>
        <w:rPr>
          <w:rFonts w:ascii="Arial" w:cs="Arial" w:eastAsia="Arial" w:hAnsi="Arial"/>
          <w:color w:val="404040"/>
          <w:sz w:val="20"/>
          <w:szCs w:val="20"/>
        </w:rPr>
        <w:t xml:space="preserve">IC-PMS does not replace Primavera P6 or Primavera Unifier for organisations that already use them. Instead, IC-PMS acts as the Indian government governance and compliance layer — adding GFR audit trails, PFMS payment integration, Aadhaar authentication, satellite verification, and regulatory compliance — over the P6/Unifier scheduling and cost management core. Bidirectional data exchange ensures that P6 users can continue using their native tools while IC-PMS aggregates the data for government reporting.</w:t>
      </w:r>
    </w:p>
    <w:p>
      <w:pPr>
        <w:spacing w:before="140" w:after="60"/>
        <w:jc w:val="center"/>
      </w:pPr>
      <w:r>
        <w:drawing>
          <wp:inline distT="0" distB="0" distL="0" distR="0">
            <wp:extent cx="6667500" cy="4171950"/>
            <wp:effectExtent t="0" r="0" b="0" l="0"/>
            <wp:docPr id="1" name="Figure 5.7 — Oracle Primavera P6 / Unifier Bidirectional Integration Architecture" descr="Figure 5.7 — Oracle Primavera P6 / Unifier Bidirectional Integration Architecture" title="Figure 5.7 — Oracle Primavera P6 / Unifier Bidirectional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4171950"/>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5.7 — Oracle Primavera P6 / Unifier Bidirectional Integration Architecture</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5.7.1  Primavera P6 Integration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XER (P6 proprietary format) + REST API (P6 EPPM Server)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P6 API key + JWT from P6 EPPM server; NIC proxy server maintains P6 service account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Synchronisation</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WBS → P6 via POST /api/v2/wbs; P6 WBS → IC-PMS via XER import; field mapping: wbs_id ↔ P6 WBS Code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Activity Export to IC-PMS</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P6 XER export (Activities + Relationships + Resources) → IC-PMS XER Parser → Module 2 activity table; on-demand or scheduled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Schedule Import from IC-PMS</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generates XER file from Module 2 data → P6 XER import; preserves activity IDs, constraints, calendars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Resource Dictionary</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P6 Resource Dictionary → IC-PMS Resource Library (Module 8) via XER resource section; rates overridden by CPWD SOR in IC-PMS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Baseline Export</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P6 BL0 baseline → IC-PMS Module 2 BL0 via XER; IC-PMS supports up to 3 baselines per project, matching P6</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EVM Reconciliation</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BCWP from IC-PMS (AI-verified %) compared against P6 EVM (P6 % complete); discrepancies flagged in Module 9</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Calendar Mapping</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P6 custom calendars → IC-PMS Calendar Master; holiday definitions synced; state-specific calendars maintained in IC-PMS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Field Mapping</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P6 Activity ID ↔ IC-PMS activity_id; P6 WBS Code ↔ IC-PMS wbs_code; P6 Resource Code ↔ IC-PMS resource_code</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5.7.2  Primavera Unifier Integration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 Aspect</w:t>
            </w:r>
          </w:p>
        </w:tc>
        <w:tc>
          <w:tcPr>
            <w:tcW w:type="dxa" w:w="6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Integration Type</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 Bidirectional (Unifier Integration Framework)</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Authentication</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Unifier API token + NICDC Unifier service account; OAuth 2.0 for user-facing integrations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Cost Sheet Sync</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Unifier Cost Sheet (WBS × Account matrix) → IC-PMS Module 4 budget structure; WBS and account code mapping configured in integration layer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 Data</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Unifier Contract Log (LOA register) ↔ IC-PMS Module 5; contract status, award date, final amount synced bidirectionally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Change Management (VOs)</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Unifier Change Orders → IC-PMS Module 5 VO Register; VO status and value synced; GFR 10% limit check enforced in IC-PMS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Document Exchange</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Unifier Document Manager → IC-PMS Module 6 DMS; drawings and specifications synced; IC-PMS DMS is primary for government documents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Report Templates</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Unifier BI report templates adapted for IC-PMS; NICDC-customised reports in IC-PMS supersede Unifier reports for government use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Limitations</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Aadhaar authentication, PFMS integration, Satellite Gate, GFR compliance enforcement — these exist only in IC-PMS, not Unifier</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5.8  Event-Driven Integration — Apache Kafka Event Bus</w:t>
      </w:r>
    </w:p>
    <w:p>
      <w:pPr>
        <w:spacing w:before="80" w:after="80"/>
        <w:jc w:val="both"/>
      </w:pPr>
      <w:r>
        <w:rPr>
          <w:rFonts w:ascii="Arial" w:cs="Arial" w:eastAsia="Arial" w:hAnsi="Arial"/>
          <w:color w:val="404040"/>
          <w:sz w:val="20"/>
          <w:szCs w:val="20"/>
        </w:rPr>
        <w:t xml:space="preserve">IC-PMS uses Apache Kafka as the event bus for all asynchronous inter-module communication and external system event handling. Kafka decouples modules from each other — when Module 2's schedule engine advances the data date, it publishes an event to Kafka rather than calling Modules 4, 7, and 9 directly. Each consuming module subscribes to the relevant topics and processes events independently, at its own pace, without blocking the producer.</w:t>
      </w:r>
    </w:p>
    <w:p>
      <w:pPr>
        <w:spacing w:before="140" w:after="60"/>
        <w:jc w:val="center"/>
      </w:pPr>
      <w:r>
        <w:drawing>
          <wp:inline distT="0" distB="0" distL="0" distR="0">
            <wp:extent cx="6667500" cy="3705225"/>
            <wp:effectExtent t="0" r="0" b="0" l="0"/>
            <wp:docPr id="1" name="Figure 5.8 — Apache Kafka Event Bus  (Producers, Topics, Consumers, Sample Payloads)" descr="Figure 5.8 — Apache Kafka Event Bus  (Producers, Topics, Consumers, Sample Payloads)" title="Figure 5.8 — Apache Kafka Event Bus  (Producers, Topics, Consumers, Sample Pay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705225"/>
                    </a:xfrm>
                    <a:prstGeom prst="rect">
                      <a:avLst/>
                    </a:prstGeom>
                  </pic:spPr>
                </pic:pic>
              </a:graphicData>
            </a:graphic>
          </wp:inline>
        </w:drawing>
      </w:r>
    </w:p>
    <w:p>
      <w:pPr>
        <w:pBdr>
          <w:bottom w:val="single" w:color="D0D0D0" w:sz="4"/>
        </w:pBdr>
        <w:spacing w:before="0" w:after="200"/>
        <w:jc w:val="center"/>
      </w:pPr>
      <w:r>
        <w:rPr>
          <w:rFonts w:ascii="Arial" w:cs="Arial" w:eastAsia="Arial" w:hAnsi="Arial"/>
          <w:i/>
          <w:iCs/>
          <w:color w:val="888888"/>
          <w:sz w:val="17"/>
          <w:szCs w:val="17"/>
        </w:rPr>
        <w:t xml:space="preserve">Figure 5.8 — Apache Kafka Event Bus  (Producers, Topics, Consumers, Sample Payloads)</w:t>
      </w:r>
    </w:p>
    <w:p>
      <w:pPr>
        <w:spacing w:before="80" w:after="80"/>
      </w:pPr>
      <w:r>
        <w:t xml:space="preserve"/>
      </w:r>
    </w:p>
    <w:p>
      <w:pPr>
        <w:pStyle w:val="Heading2"/>
        <w:spacing w:before="320" w:after="140"/>
      </w:pPr>
      <w:r>
        <w:rPr>
          <w:rFonts w:ascii="Arial" w:cs="Arial" w:eastAsia="Arial" w:hAnsi="Arial"/>
          <w:b/>
          <w:bCs/>
          <w:color w:val="2E75B6"/>
          <w:sz w:val="25"/>
          <w:szCs w:val="25"/>
        </w:rPr>
        <w:t xml:space="preserve">5.8.1  Kafka Cluster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Configuration Parameter</w:t>
            </w:r>
          </w:p>
        </w:tc>
        <w:tc>
          <w:tcPr>
            <w:tcW w:type="dxa" w:w="6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Specification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Deployment</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MeghRaj Kubernetes cluster; Strimzi Kafka Operator for Kubernetes-native management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Brokers</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 Kafka brokers (NIC MeghRaj VM instances); replication factor = 3 for all production topics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Retention</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Default: 7 days; Audit log topic: 10 years (Kafka log compaction + archival to Bharat Cloud)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Security</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SASL/SCRAM authentication for producers/consumers; TLS 1.3 inter-broker and client encryption; ACLs per service account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Monitoring</w:t>
            </w:r>
          </w:p>
        </w:tc>
        <w:tc>
          <w:tcPr>
            <w:tcW w:type="dxa" w:w="6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Kafka JMX metrics → Prometheus → Grafana dashboard; consumer lag alerting (threshold: &gt; 1,000 messages)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Throughput</w:t>
            </w:r>
          </w:p>
        </w:tc>
        <w:tc>
          <w:tcPr>
            <w:tcW w:type="dxa" w:w="6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Designed for: 50,000 messages/hour normal; 500,000 messages/hour during satellite processing peak</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5.8.2  Kafka Topic Catalogue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200"/>
        <w:gridCol w:w="21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Topic Name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Producer(s)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Consumer(s)</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Message Rate</w:t>
            </w:r>
          </w:p>
        </w:tc>
        <w:tc>
          <w:tcPr>
            <w:tcW w:type="dxa" w:w="2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Message Content Summary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satellite.ingestion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Pipeline (Python)</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Map Viewer, Module 9 DW ETL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~10/week (per scene)</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scene_id, wbs_id, source, ai_progress_pct, cloud_cover, timestamp</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construction.ai.results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3 AI Engine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7 Risk Triggers, Module 4 Satellite Gate, Module 9 KPI Engine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~50/week</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wbs_id, ai_pct, contractor_claimed_pct, variance, encroachment_alert, cvi, edi</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schedule.spi.breach</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2 Scheduling Engine</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 Risk Triggers, Module 9 Alert Engine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~20/day</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wbs_id, spi_value, threshold, data_date, consecutive_breach_count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schedule.data.advance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2 Scheduling Engine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 (EVM), Module 8 (resource), Module 9 (DW ETL)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1/day (on advance)</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data_date_new, corridors_affected, activities_updated_count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payment.confirmed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4 Cost (PFMS callback)</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9 (fund utilisation KPI), Module 5 (contract payment log), Audit Log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~50/day</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bill_no, loa_no, amount_cr, pfms_ref, payment_date, wbs_id</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payment.events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9 Dashboard, Audit Log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~200/day</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RA bill state transitions: submitted, certified, approved, PFMS_submitted, paid, rejected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risk.alerts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 Alert Engine</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9 Alert Centre, SMS/Email Notification Service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~30/day (varies)</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risk_id, alert_type, severity, wbs_id, escalation_target, message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contract.milestones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5 Contract Engine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7 (milestone risk), Module 9 (milestone KPI)</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~20/day</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loa_no, milestone_type, due_date, actual_date, status, delay_days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bg.expiry.alerts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5 BG Monitor (daily job)</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7 Risk, Module 9 Alerts, Email Service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~5/day</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loa_no, bg_type, bg_expiry_date, days_remaining, renewal_status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module.triggers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modules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7 Risk Management (trigger processor)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~100/day</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source_module, trigger_type, wbs_id, value, threshold, timestamp, severity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notification.bus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modules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Email Service (SMTP), SMS Sevak API, In-app notification store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~500/day</w:t>
            </w:r>
          </w:p>
        </w:tc>
        <w:tc>
          <w:tcPr>
            <w:tcW w:type="dxa" w:w="2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recipient_role, message_type, priority, content_json, delivery_channels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audit.log</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modules, API Gateway</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Elasticsearch (immutable audit store)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~10,000/day</w:t>
            </w:r>
          </w:p>
        </w:tc>
        <w:tc>
          <w:tcPr>
            <w:tcW w:type="dxa" w:w="2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user_id, action, entity_type, entity_id, before_state, after_state, timestamp, ip_address</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5.8.3  Event Schema Standards</w:t>
      </w:r>
    </w:p>
    <w:p>
      <w:pPr>
        <w:spacing w:before="80" w:after="80"/>
        <w:jc w:val="both"/>
      </w:pPr>
      <w:r>
        <w:rPr>
          <w:rFonts w:ascii="Arial" w:cs="Arial" w:eastAsia="Arial" w:hAnsi="Arial"/>
          <w:color w:val="404040"/>
          <w:sz w:val="20"/>
          <w:szCs w:val="20"/>
        </w:rPr>
        <w:t xml:space="preserve">All Kafka messages in IC-PMS follow the CloudEvents v1.0 specification — a CNCF standard for event data that ensures interoperability and consistent audit logging. Every message includes a standard envelope with: specversion, id (UUID), source (module URL), type (event type string), time (ISO 8601), datacontenttype (application/json), and the event-specific data payload.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CloudEvents Field</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Convention</w:t>
            </w:r>
          </w:p>
        </w:tc>
        <w:tc>
          <w:tcPr>
            <w:tcW w:type="dxa" w:w="4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Example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specversion</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Always '1.0'</w:t>
            </w:r>
          </w:p>
        </w:tc>
        <w:tc>
          <w:tcPr>
            <w:tcW w:type="dxa" w:w="4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"specversion": "1.0"</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UUID v4 — unique per message</w:t>
            </w:r>
          </w:p>
        </w:tc>
        <w:tc>
          <w:tcPr>
            <w:tcW w:type="dxa" w:w="4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"id": "550e8400-e29b-41d4-a716-446655440000"</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source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URL format: /icpms/{module}/{service}</w:t>
            </w:r>
          </w:p>
        </w:tc>
        <w:tc>
          <w:tcPr>
            <w:tcW w:type="dxa" w:w="4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"source": "/icpms/m3/satellite-pipeline"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type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com.nicdc.icpms.{module}.{event}</w:t>
            </w:r>
          </w:p>
        </w:tc>
        <w:tc>
          <w:tcPr>
            <w:tcW w:type="dxa" w:w="4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"type": "com.nicdc.icpms.m3.ai.progress.updated"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time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ISO 8601 UTC timestamp</w:t>
            </w:r>
          </w:p>
        </w:tc>
        <w:tc>
          <w:tcPr>
            <w:tcW w:type="dxa" w:w="4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"time": "2026-03-28T14:32:00Z"</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datacontenttype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Always application/json</w:t>
            </w:r>
          </w:p>
        </w:tc>
        <w:tc>
          <w:tcPr>
            <w:tcW w:type="dxa" w:w="4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"datacontenttype": "application/json"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subject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ID or entity ID the event relates to</w:t>
            </w:r>
          </w:p>
        </w:tc>
        <w:tc>
          <w:tcPr>
            <w:tcW w:type="dxa" w:w="4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"subject": "DMIC-N03-P07"</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Event-specific JSON payload — module-defined schema</w:t>
            </w:r>
          </w:p>
        </w:tc>
        <w:tc>
          <w:tcPr>
            <w:tcW w:type="dxa" w:w="4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 {"ai_progress_pct": 54, "variance": 7, ...}</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5.9  Integration Error Handling &amp; Resilience</w:t>
      </w:r>
    </w:p>
    <w:p>
      <w:pPr>
        <w:spacing w:before="80" w:after="80"/>
        <w:jc w:val="both"/>
      </w:pPr>
      <w:r>
        <w:rPr>
          <w:rFonts w:ascii="Arial" w:cs="Arial" w:eastAsia="Arial" w:hAnsi="Arial"/>
          <w:color w:val="404040"/>
          <w:sz w:val="20"/>
          <w:szCs w:val="20"/>
        </w:rPr>
        <w:t xml:space="preserve">The most critical design requirement for IC-PMS integration is: no single external system failure should prevent IC-PMS operations. A PFMS outage should not stop the RA bill review process. A PARIVESH API outage should not block risk register updates. An ISRO satellite delivery delay should not prevent schedule updates. This resilience is achieved through a combination of Circuit Breakers, manual fallback forms, graceful degradation, and Kafka-based asynchronous retry.</w:t>
      </w:r>
    </w:p>
    <w:p>
      <w:pPr>
        <w:pStyle w:val="Heading2"/>
        <w:spacing w:before="320" w:after="140"/>
      </w:pPr>
      <w:r>
        <w:rPr>
          <w:rFonts w:ascii="Arial" w:cs="Arial" w:eastAsia="Arial" w:hAnsi="Arial"/>
          <w:b/>
          <w:bCs/>
          <w:color w:val="2E75B6"/>
          <w:sz w:val="25"/>
          <w:szCs w:val="25"/>
        </w:rPr>
        <w:t xml:space="preserve">5.9.1  Circuit Breaker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800"/>
        <w:gridCol w:w="170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Failure Threshold</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Circuit Open Duration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Fallback Behaviour</w:t>
            </w:r>
          </w:p>
        </w:tc>
        <w:tc>
          <w:tcPr>
            <w:tcW w:type="dxa" w:w="1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Alert Triggered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PFMS (CGA)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 consecutive failures in 60 seconds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30 minutes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DPA form enabled in Module 4; PMC Finance notified; Finance Director alert</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P2 Urgent — NICDC Finance Director + NICDC IT</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GeM Portal</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3 consecutive failures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15 minutes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procurement entry form; GeM order tracked outside IC-PMS until API restored</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P3 Warning — Module 5 admins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CPPP e-Procurement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 consecutive failures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15 minutes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Draft NIT created locally; CPPP publish queued for auto-retry on circuit close</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P3 Warning — Module 5 admins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UIDAI Aadhaar OTP</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 consecutive failures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10 minutes (retry every 2 minutes)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DSC token alternative enabled; email OTP fallback for non-financial operations</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P2 Urgent — all affected users notified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PARIVESH / DLRMS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10 consecutive failures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 hour</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clearance status update form in Module 7; last known status retained with staleness warning</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P4 Info — Module 7 risk team</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ISRO Bhuvan Satellite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Unavailability of new scenes &gt; 14 days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N/A (data-dependent)</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3 uses last available scene; 'Stale Data' warning on all Module 3 views</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P3 Warning — Module 3 PMC Lead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Oracle Primavera P6</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 consecutive XER/REST failures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30 minutes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schedule entry in Module 2; P6 sync queued; P6 users continue working independently</w:t>
            </w:r>
          </w:p>
        </w:tc>
        <w:tc>
          <w:tcPr>
            <w:tcW w:type="dxa" w:w="1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P3 Warning — PMC Planning Lead</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DigiLocker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5 consecutive failures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15 minutes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Documents cached locally in MinIO; upload to DigiLocker queued and retried</w:t>
            </w:r>
          </w:p>
        </w:tc>
        <w:tc>
          <w:tcPr>
            <w:tcW w:type="dxa" w:w="1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P3 Warning — Module 6 DMS admin</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5.9.2  Data Quality &amp; Validation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1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Validation Type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is Checked</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Where Enforced</w:t>
            </w:r>
          </w:p>
        </w:tc>
        <w:tc>
          <w:tcPr>
            <w:tcW w:type="dxa" w:w="3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Action on Failure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Schema validation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Every inbound API response validates against JSON Schema before being processed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Gateway (Kong) + application layer</w:t>
            </w:r>
          </w:p>
        </w:tc>
        <w:tc>
          <w:tcPr>
            <w:tcW w:type="dxa" w:w="3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Reject message; alert to integration admin; log to Elasticsearch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Field completeness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Mandatory fields in module data entries validated before saving</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Form-level (frontend + backend)</w:t>
            </w:r>
          </w:p>
        </w:tc>
        <w:tc>
          <w:tcPr>
            <w:tcW w:type="dxa" w:w="3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Blocking validation — user cannot save incomplete records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Cross-module consistency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code in Module 2 activity must exist in Module 1; Resource code in M8 must exist in Resource Library</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Business logic layer on save</w:t>
            </w:r>
          </w:p>
        </w:tc>
        <w:tc>
          <w:tcPr>
            <w:tcW w:type="dxa" w:w="3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Blocking validation with error message referencing the required master data</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PFMS DPA accuracy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DPA amount must equal IC-PMS computed Net Payable; DDO code must be in approved list</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4 pre-submission check</w:t>
            </w:r>
          </w:p>
        </w:tc>
        <w:tc>
          <w:tcPr>
            <w:tcW w:type="dxa" w:w="3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Blocking — DPA not submitted until amount reconciles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Satellite AI confidence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AI segmentation confidence score must be &gt; 70% for AI progress % to be used in automated gate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Module 3 pipeline (post-inference)</w:t>
            </w:r>
          </w:p>
        </w:tc>
        <w:tc>
          <w:tcPr>
            <w:tcW w:type="dxa" w:w="3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Low-confidence scenes flagged as 'Manual Review Required'; AI% not used in billing gate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ETL data freshness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DW data for each module must not be &gt; 48 hours old for dashboard display</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Module 9 ETL monitor (Airflow health check)</w:t>
            </w:r>
          </w:p>
        </w:tc>
        <w:tc>
          <w:tcPr>
            <w:tcW w:type="dxa" w:w="3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Stale data warning on dashboards; alert to NICDC IT; forced ETL retry triggered</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5.9.3  Integration Monitoring &amp; Observability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9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Monitoring Tool</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What it Monitors</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Dashboard Location</w:t>
            </w:r>
          </w:p>
        </w:tc>
        <w:tc>
          <w:tcPr>
            <w:tcW w:type="dxa" w:w="1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Alert Threshold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Prometheus + Grafana</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Gateway metrics: req/sec, error rate, latency P95/P99; Kafka consumer lag; ETL job duration</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MeghRaj Operations Centre</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error rate &gt; 1%; P95 latency &gt; 3s; consumer lag &gt; 1,000 messages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Apache Airflow UI</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ETL pipeline health: last run status, duration, row counts, failed tasks</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IC-PMS Admin → Integration → ETL Monitor</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Any failed Airflow DAG task; ETL duration &gt; 2× normal</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Elasticsearch (APM)</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Application-level traces: API call chains, external system call times, database query times</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Admin → Integration → APM Traces</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External API call &gt; 10 seconds; database query &gt; 5 seconds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Kafka Manager (Kafdrop)</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Kafka broker health, topic offsets, consumer group lag, message rates</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IC-PMS Admin → Integration → Kafka Monitor</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Broker disk &gt; 80%; consumer lag &gt; 5,000; replication lag &gt; 1,000</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Synthetic Monitoring (Pingdom)</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Availability of all IC-PMS production endpoints; end-to-end login flow; key API health checks</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IT Operations Centre</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Any endpoint unavailable &gt; 2 minutes; login flow failure</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5.10  Complete Integration Register</w:t>
      </w:r>
    </w:p>
    <w:p>
      <w:pPr>
        <w:spacing w:before="80" w:after="80"/>
        <w:jc w:val="both"/>
      </w:pPr>
      <w:r>
        <w:rPr>
          <w:rFonts w:ascii="Arial" w:cs="Arial" w:eastAsia="Arial" w:hAnsi="Arial"/>
          <w:color w:val="404040"/>
          <w:sz w:val="20"/>
          <w:szCs w:val="20"/>
        </w:rPr>
        <w:t xml:space="preserve">The following table is the authoritative register of all IC-PMS integrations — both inter-module (internal) and external. It serves as the integration reference for System Integrators, NICDC IT, and NIC teams.</w:t>
      </w:r>
    </w:p>
    <w:p>
      <w:pPr>
        <w:pStyle w:val="Heading2"/>
        <w:spacing w:before="320" w:after="140"/>
      </w:pPr>
      <w:r>
        <w:rPr>
          <w:rFonts w:ascii="Arial" w:cs="Arial" w:eastAsia="Arial" w:hAnsi="Arial"/>
          <w:b/>
          <w:bCs/>
          <w:color w:val="2E75B6"/>
          <w:sz w:val="25"/>
          <w:szCs w:val="25"/>
        </w:rPr>
        <w:t xml:space="preserve">5.10.1  External System Integration Register</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400"/>
        <w:gridCol w:w="1200"/>
        <w:gridCol w:w="1300"/>
        <w:gridCol w:w="1500"/>
        <w:gridCol w:w="1500"/>
        <w:gridCol w:w="1300"/>
      </w:tblGrid>
      <w:tr>
        <w:tc>
          <w:tcPr>
            <w:tcW w:type="dxa" w:w="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w:t>
            </w:r>
          </w:p>
        </w:tc>
        <w:tc>
          <w:tcPr>
            <w:tcW w:type="dxa" w:w="1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System</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Category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Direction</w:t>
            </w:r>
          </w:p>
        </w:tc>
        <w:tc>
          <w:tcPr>
            <w:tcW w:type="dxa" w:w="1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Protocol</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Auth Method</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Module(s)</w:t>
            </w:r>
          </w:p>
        </w:tc>
        <w:tc>
          <w:tcPr>
            <w:tcW w:type="dxa" w:w="1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SLA / Fallback</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PFMS (CGA)</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Financial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 PFMS-XML</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mTLS Client Cert</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 Cost</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DPA form fallback</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GeM Portal</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Procurement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 Bearer</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M5 Contracts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order entry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CPPP / e-Procurement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Procurement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 NIT XML</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M5 Tenders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Draft NIT local; queued publish</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4</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MoEFCC PARIVESH</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Regulatory</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(read-only)</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M7 Risk</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clearance update</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5</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DLRMS (State Land Records)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Regulatory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REST/JSON (state APIs)</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 per state</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M7 Risk</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LA status update</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6</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GSTN</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Compliance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(CBIC)</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M5 Org, M8 Labour</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GSTIN verify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7</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UIDAI Aadhaar OTP</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Identity / Auth</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NICDC AUA API Key</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modules (auth)</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DSC + email OTP fallback</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8</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LDAP / SSO</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Identity / Auth</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LDAP + SAML 2.0</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Client credentials</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modules (auth)</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Local auth fallback</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9</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DigiLocker</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Document Storage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OAuth 2.0 REST</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Access + Refresh token</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M6 DMS, M4, M9</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MinIO local cache; queued sync</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10</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NIC e-Office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Workflow</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JWT</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M5, M7 (approvals)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Email notification fallback</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11</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NIC SMS Sevak</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Notification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DLT Sender ID</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M7, M9 Alerts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Email fallback</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12</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EPFO Portal</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Labour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M8 Resources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compliance entry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13</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ESIC Portal</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Labour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M8 Resources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compliance entry</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14</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MoL e-Shram</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Labour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M8 Resources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worker reg. entry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15</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RBI Open Data (WPI/CPI)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Financial Rates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Inbound (read)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Open Data REST</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 (optional)</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 M8 Rates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rate update</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16</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ISRO Bhuvan / Cartosat-3</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Satellite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WMTS + STAC API</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SSO (Institutional)</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M3 Satellite</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Last scene retained; manual upload</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17</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Planet Labs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Satellite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Planet API v1 REST</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Planet API Key</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M3 Satellite</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ISRO fallback</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18</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Maxar WorldView</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Satellite (optional)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Client Key</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M3 Satellite</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Optional; not on critical path</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19</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IMD Weather Data</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Environmental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REST/JSON</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Key (IMD)</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M7 Risk (monsoon)</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weather entry</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20</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Survey of India (DEM/Topo)</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Geospatial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Inbound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WFS / REST</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Institutional account</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M3 GIS base layers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Static DEM pre-loaded; updates annually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21</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Oracle Primavera P6</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PM Tool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XER + REST API</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P6 API Key + JWT</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M2 Schedule, M8 Resources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IC-PMS native entry</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22</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Oracle Primavera Unifier</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PM Tool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Bidirectional</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 (Unifier IF)</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OAuth 2.0</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M4 Cost, M5 Contracts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IC-PMS native entry</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23</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CAG Digital Audit System</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Audit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SFTP (Secure)</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SSH key + certificate</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 M6, M9 Reporting</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Encrypted package; manual delivery</w:t>
            </w:r>
          </w:p>
        </w:tc>
      </w:tr>
      <w:tr>
        <w:tc>
          <w:tcPr>
            <w:tcW w:type="dxa" w:w="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24</w:t>
            </w:r>
          </w:p>
        </w:tc>
        <w:tc>
          <w:tcPr>
            <w:tcW w:type="dxa" w:w="1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Lenders (ADB/JICA/WB)</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Reporting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 + SFTP</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API key + lender cert</w:t>
            </w:r>
          </w:p>
        </w:tc>
        <w:tc>
          <w:tcPr>
            <w:tcW w:type="dxa" w:w="15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M9 Reports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Manual report delivery via email</w:t>
            </w:r>
          </w:p>
        </w:tc>
      </w:tr>
      <w:tr>
        <w:tc>
          <w:tcPr>
            <w:tcW w:type="dxa" w:w="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25</w:t>
            </w:r>
          </w:p>
        </w:tc>
        <w:tc>
          <w:tcPr>
            <w:tcW w:type="dxa" w:w="1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Ministry of Commerce PIMS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Reporting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Outbound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PIMS API key</w:t>
            </w:r>
          </w:p>
        </w:tc>
        <w:tc>
          <w:tcPr>
            <w:tcW w:type="dxa" w:w="15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M9 Reports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Manual data submission</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5.10.2  Inter-Module Integration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00"/>
        <w:gridCol w:w="2400"/>
        <w:gridCol w:w="1600"/>
        <w:gridCol w:w="13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Integration</w:t>
            </w:r>
          </w:p>
        </w:tc>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From</w:t>
            </w:r>
          </w:p>
        </w:tc>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To</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Data Exchanged</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Mechanism</w:t>
            </w:r>
          </w:p>
        </w:tc>
        <w:tc>
          <w:tcPr>
            <w:tcW w:type="dxa" w:w="13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to Schedule</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M1</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M2</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hierarchy, phase/status, start/completion dates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(on publish) + DW sync</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WBS publish; daily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 to Cost</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M1</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 cost account codes, PFMS Demand No., budget ceiling</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WBS publish</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to Risk</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M1</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M7</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WBS linkage for risk records, OBS organisation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Real-time on risk save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 to Resources</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M1</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M8</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WBS resource pool allocation, package calendar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Schedule EVM → Cost</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M2</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BCWP per activity (% complete × BAC), schedule milestones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Kafka: schedule.data.advance + REST</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on data advance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Cost ACWP → Schedule</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M2</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ACWP from RA bill payments, resource cost actuals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RA bill approval; daily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Satellite AI → Schedule Gap</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M3</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M2</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AI progress % vs Contractor claimed — discrepancy flag</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Kafka: construction.ai.results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Weekly (per satellite scene)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Satellite → Risk Triggers</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M3</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M7</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Encroachment, idle zone, NDVI exceedance alerts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Kafka: module.triggers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Real-time (on anomaly detection)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Cost VO → Risk</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M7</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CPI breach, VO % approaching limit triggers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Kafka: module.triggers</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Daily; real-time on threshold breach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 Score → Risk</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M5</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M7</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Contractor performance scorecard &lt; 60 trigger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Kafka: module.triggers</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Monthly scorecard compute + real-time trigger</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Contract → Cost</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M5</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LOA value, deduction rates, BG expiry, VO approvals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(bidirectional)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contract event; daily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Documents → Cost</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M6</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M4</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Drawing IFC confirmation gating bill for drawing-dependent activities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 API</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On IFC status change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Modules → Reports</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M1–M8</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M9</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programme data via ETL to Data Warehouse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Apache Airflow ETL</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Per-module frequency (15min to daily)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Risk → Reports</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M7</w:t>
            </w:r>
          </w:p>
        </w:tc>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M9</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Risk register, MC P80, trigger log, opportunity register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Airflow ETL + real-time Kafka</w:t>
            </w:r>
          </w:p>
        </w:tc>
        <w:tc>
          <w:tcPr>
            <w:tcW w:type="dxa" w:w="13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Daily ETL; real-time for P1/P2 alerts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Reports → DMS</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M9</w:t>
            </w:r>
          </w:p>
        </w:tc>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M6</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Published MPRs, custom reports, lender reports auto-archived</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(DMS upload)</w:t>
            </w:r>
          </w:p>
        </w:tc>
        <w:tc>
          <w:tcPr>
            <w:tcW w:type="dxa" w:w="13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On each report publication</w:t>
            </w:r>
          </w:p>
        </w:tc>
      </w:tr>
    </w:tbl>
    <w:p>
      <w:r>
        <w:br w:type="page"/>
      </w:r>
    </w:p>
    <w:p>
      <w:pPr>
        <w:pStyle w:val="Heading1"/>
        <w:pBdr>
          <w:bottom w:val="single" w:color="C9A227" w:sz="12" w:space="4"/>
        </w:pBdr>
        <w:spacing w:before="480" w:after="180"/>
      </w:pPr>
      <w:r>
        <w:rPr>
          <w:rFonts w:ascii="Arial" w:cs="Arial" w:eastAsia="Arial" w:hAnsi="Arial"/>
          <w:b/>
          <w:bCs/>
          <w:color w:val="1A3C5E"/>
          <w:sz w:val="30"/>
          <w:szCs w:val="30"/>
        </w:rPr>
        <w:t xml:space="preserve">5.11  NeSDA Compliance &amp; Integration Standards</w:t>
      </w:r>
    </w:p>
    <w:p>
      <w:pPr>
        <w:spacing w:before="80" w:after="80"/>
        <w:jc w:val="both"/>
      </w:pPr>
      <w:r>
        <w:rPr>
          <w:rFonts w:ascii="Arial" w:cs="Arial" w:eastAsia="Arial" w:hAnsi="Arial"/>
          <w:color w:val="404040"/>
          <w:sz w:val="20"/>
          <w:szCs w:val="20"/>
        </w:rPr>
        <w:t xml:space="preserve">All IC-PMS integrations are designed to comply with the National e-Governance Service Delivery Assessment (NeSDA) framework published by MeitY, which defines standards for government digital services including API design, data sharing, security, and availability.</w:t>
      </w:r>
    </w:p>
    <w:p>
      <w:pPr>
        <w:pStyle w:val="Heading2"/>
        <w:spacing w:before="320" w:after="140"/>
      </w:pPr>
      <w:r>
        <w:rPr>
          <w:rFonts w:ascii="Arial" w:cs="Arial" w:eastAsia="Arial" w:hAnsi="Arial"/>
          <w:b/>
          <w:bCs/>
          <w:color w:val="2E75B6"/>
          <w:sz w:val="25"/>
          <w:szCs w:val="25"/>
        </w:rPr>
        <w:t xml:space="preserve">5.11.1  NeSDA Alignment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NeSDA Principle</w:t>
            </w:r>
          </w:p>
        </w:tc>
        <w:tc>
          <w:tcPr>
            <w:tcW w:type="dxa" w:w="71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IC-PMS Implementation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First</w:t>
            </w:r>
          </w:p>
        </w:tc>
        <w:tc>
          <w:tcPr>
            <w:tcW w:type="dxa" w:w="7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IC-PMS capabilities exposed as documented REST APIs; OpenAPI (Swagger) specification published for all endpoints; enables third-party NICDC tools and state government systems to integrate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Open Standards</w:t>
            </w:r>
          </w:p>
        </w:tc>
        <w:tc>
          <w:tcPr>
            <w:tcW w:type="dxa" w:w="7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REST/JSON for all APIs; OAuth 2.0 for authentication; OpenID Connect for SSO federation; CloudEvents v1.0 for Kafka messages; GeoJSON/WKT for spatial data; XER for Primavera compatibility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Interoperability</w:t>
            </w:r>
          </w:p>
        </w:tc>
        <w:tc>
          <w:tcPr>
            <w:tcW w:type="dxa" w:w="7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contracts versioned and backward-compatible; deprecated APIs maintained for 24 months; integration register published and maintained; schema registry (Confluent/Apicurio) for Kafka message schemas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Data Sovereignty</w:t>
            </w:r>
          </w:p>
        </w:tc>
        <w:tc>
          <w:tcPr>
            <w:tcW w:type="dxa" w:w="7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data stored on NIC MeghRaj (NIC data centres, India); no personal data or classified project data on foreign cloud; DigiLocker/Bharat Cloud for document archival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Accessibility</w:t>
            </w:r>
          </w:p>
        </w:tc>
        <w:tc>
          <w:tcPr>
            <w:tcW w:type="dxa" w:w="7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WCAG 2.1 Level AA compliance for all web interfaces; mobile PWA for field access; offline data entry capability (48-hour buffer for labour/equipment logs); Hindi language support in Phase 2</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Security by Design</w:t>
            </w:r>
          </w:p>
        </w:tc>
        <w:tc>
          <w:tcPr>
            <w:tcW w:type="dxa" w:w="71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Zero-trust architecture; MFA for all users; AES-256 at rest; TLS 1.3 in transit; VAPT every 6 months; CERT-In empanelled auditors; ISO 27001:2022 target certification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Audit &amp; Transparency</w:t>
            </w:r>
          </w:p>
        </w:tc>
        <w:tc>
          <w:tcPr>
            <w:tcW w:type="dxa" w:w="71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30-year WORM audit log (GFR mandate); all data changes traceable to user, timestamp, and pre/post state; full API request log in Elasticsearch; data lineage tracked in Data Warehouse</w:t>
            </w:r>
          </w:p>
        </w:tc>
      </w:tr>
    </w:tbl>
    <w:p>
      <w:pPr>
        <w:spacing w:before="80" w:after="80"/>
      </w:pPr>
      <w:r>
        <w:t xml:space="preserve"/>
      </w:r>
    </w:p>
    <w:p>
      <w:pPr>
        <w:pStyle w:val="Heading2"/>
        <w:spacing w:before="320" w:after="140"/>
      </w:pPr>
      <w:r>
        <w:rPr>
          <w:rFonts w:ascii="Arial" w:cs="Arial" w:eastAsia="Arial" w:hAnsi="Arial"/>
          <w:b/>
          <w:bCs/>
          <w:color w:val="2E75B6"/>
          <w:sz w:val="25"/>
          <w:szCs w:val="25"/>
        </w:rPr>
        <w:t xml:space="preserve">5.11.2  Integration Architecture Principles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Principle</w:t>
            </w:r>
          </w:p>
        </w:tc>
        <w:tc>
          <w:tcPr>
            <w:tcW w:type="dxa" w:w="69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API Gateway as Single Enforcement Point</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inbound and outbound API traffic passes through Kong API Gateway; no direct database connections permitted from external systems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Event-Driven for Loose Coupling</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Kafka used for all cross-module triggers and notifications; modules do not call each other directly for async operations — this enables independent module deployment and scaling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Synchronous only for Real-Time Lookups</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REST API direct calls used only where immediate response is required (e.g., GSTIN validation at registration time, UIDAI OTP verification, PFMS fund availability check)</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Fallback for All External Integrations</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Every external system integration has a documented manual fallback form; IC-PMS operations must continue during any external system outage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Idempotency for All Integration Endpoints</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All POST/PUT operations in IC-PMS APIs are idempotent — repeat calls with the same payload produce the same result without duplicate records (deduplicated by idempotency key in request header)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Schema Registry for All Events</w:t>
            </w:r>
          </w:p>
        </w:tc>
        <w:tc>
          <w:tcPr>
            <w:tcW w:type="dxa" w:w="69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color w:val="404040"/>
                <w:sz w:val="18"/>
                <w:szCs w:val="18"/>
              </w:rPr>
              <w:t xml:space="preserve">All Kafka message schemas registered in Confluent Schema Registry / Apicurio; consumers validated against registered schema; schema evolution managed with backward compatibility guarantee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Data Lineage from Source to Report</w:t>
            </w:r>
          </w:p>
        </w:tc>
        <w:tc>
          <w:tcPr>
            <w:tcW w:type="dxa" w:w="69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color w:val="404040"/>
                <w:sz w:val="18"/>
                <w:szCs w:val="18"/>
              </w:rPr>
              <w:t xml:space="preserve">Every data point in Module 9 reports can be traced back through the DW ETL log to the originating operational module record; this is the foundation of the IC-PMS audit architecture</w:t>
            </w:r>
          </w:p>
        </w:tc>
      </w:tr>
    </w:tbl>
    <w:p>
      <w:r>
        <w:br w:type="page"/>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IC-PMS Integration Architecture  |  v1.0  |  March 2026  |  NICDC  |  Restricted – Government Use Only</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Section 5: Integration Architecture  |  Detailed Technical Documentation</w:t>
    </w:r>
    <w:r>
      <w:rPr>
        <w:rFonts w:ascii="Arial" w:cs="Arial" w:eastAsia="Arial" w:hAnsi="Arial"/>
        <w:sz w:val="16"/>
        <w:szCs w:val="16"/>
      </w:rPr>
      <w:t xml:space="preserve">	</w:t>
    </w:r>
    <w:r>
      <w:rPr>
        <w:rFonts w:ascii="Arial" w:cs="Arial" w:eastAsia="Arial" w:hAnsi="Arial"/>
        <w:i/>
        <w:iCs/>
        <w:color w:val="999999"/>
        <w:sz w:val="16"/>
        <w:szCs w:val="16"/>
      </w:rPr>
      <w:t xml:space="preserve">NICDC / Ministry of Commerce &amp; Industry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sz w:val="30"/>
      <w:szCs w:val="30"/>
    </w:rPr>
  </w:style>
  <w:style w:type="paragraph" w:styleId="Heading2">
    <w:name w:val="Heading 2"/>
    <w:basedOn w:val="Normal"/>
    <w:next w:val="Normal"/>
    <w:qFormat/>
    <w:pPr>
      <w:spacing w:before="320" w:after="140"/>
      <w:outlineLvl w:val="1"/>
    </w:pPr>
    <w:rPr>
      <w:rFonts w:ascii="Arial" w:cs="Arial" w:eastAsia="Arial" w:hAnsi="Arial"/>
      <w:b/>
      <w:bCs/>
      <w:sz w:val="25"/>
      <w:szCs w:val="25"/>
    </w:rPr>
  </w:style>
  <w:style w:type="paragraph" w:styleId="Heading3">
    <w:name w:val="Heading 3"/>
    <w:basedOn w:val="Normal"/>
    <w:next w:val="Normal"/>
    <w:qFormat/>
    <w:pPr>
      <w:spacing w:before="22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48e37e880eee3bdece69c6475c4ac9e19284f73.png"/><Relationship Id="rId9" Type="http://schemas.openxmlformats.org/officeDocument/2006/relationships/image" Target="media/90d651f21c87484f4c9bf63e334d9fa3f94f754f.png"/><Relationship Id="rId10" Type="http://schemas.openxmlformats.org/officeDocument/2006/relationships/image" Target="media/5a249f2ff7b2e7996e8f2ce53efea0e460bcde78.png"/><Relationship Id="rId11" Type="http://schemas.openxmlformats.org/officeDocument/2006/relationships/image" Target="media/3faa1b43a32591cf4a124b7e9f766567ca481b7b.png"/><Relationship Id="rId12" Type="http://schemas.openxmlformats.org/officeDocument/2006/relationships/image" Target="media/b095ed9fae0455b76a7a5d8bcfe6a972f4e074e6.png"/><Relationship Id="rId13" Type="http://schemas.openxmlformats.org/officeDocument/2006/relationships/image" Target="media/0fc8c0fef30f3dd6f493248ce466e4397921435b.png"/><Relationship Id="rId14" Type="http://schemas.openxmlformats.org/officeDocument/2006/relationships/image" Target="media/6bf9242800ce0b04c707897eb7d77ab7a9d161f9.png"/><Relationship Id="rId15" Type="http://schemas.openxmlformats.org/officeDocument/2006/relationships/image" Target="media/2f9993dd7187424587d107e1571f6c57552346c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2026-03-28T17:47:36.727Z</dcterms:created>
  <dcterms:modified xsi:type="dcterms:W3CDTF">2026-03-28T17:47:36.727Z</dcterms:modified>
</cp:coreProperties>
</file>

<file path=docProps/custom.xml><?xml version="1.0" encoding="utf-8"?>
<Properties xmlns="http://schemas.openxmlformats.org/officeDocument/2006/custom-properties" xmlns:vt="http://schemas.openxmlformats.org/officeDocument/2006/docPropsVTypes"/>
</file>