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before="0"/>
        <w:jc w:val="center"/>
      </w:pPr>
      <w:r>
        <w:rPr>
          <w:rFonts w:ascii="Arial" w:cs="Arial" w:eastAsia="Arial" w:hAnsi="Arial"/>
          <w:b/>
          <w:bCs/>
          <w:color w:val="1F3864"/>
          <w:sz w:val="56"/>
          <w:szCs w:val="56"/>
        </w:rPr>
        <w:t xml:space="preserve">RISK MASTER METADATA</w:t>
      </w:r>
    </w:p>
    <w:p>
      <w:pPr>
        <w:spacing w:after="200" w:before="80"/>
        <w:jc w:val="center"/>
      </w:pPr>
      <w:r>
        <w:rPr>
          <w:rFonts w:ascii="Arial" w:cs="Arial" w:eastAsia="Arial" w:hAnsi="Arial"/>
          <w:b w:val="false"/>
          <w:bCs w:val="false"/>
          <w:color w:val="2E5C8A"/>
          <w:sz w:val="36"/>
          <w:szCs w:val="36"/>
        </w:rPr>
        <w:t xml:space="preserve">Large-Scale Road Construction Project</w:t>
      </w:r>
    </w:p>
    <w:p>
      <w:pPr>
        <w:pBdr>
          <w:bottom w:val="single" w:color="C55A11" w:sz="8"/>
        </w:pBdr>
        <w:spacing w:after="80" w:before="80"/>
      </w:pPr>
    </w:p>
    <w:p>
      <w:pPr>
        <w:spacing w:after="40" w:before="120"/>
      </w:pPr>
    </w:p>
    <w:p>
      <w:pPr>
        <w:jc w:val="center"/>
      </w:pPr>
      <w:r>
        <w:rPr>
          <w:rFonts w:ascii="Arial" w:cs="Arial" w:eastAsia="Arial" w:hAnsi="Arial"/>
          <w:color w:val="595959"/>
          <w:sz w:val="24"/>
          <w:szCs w:val="24"/>
        </w:rPr>
        <w:t xml:space="preserve">National Highway Infrastructure | NHAI / EPC Contractor Framework</w:t>
      </w:r>
    </w:p>
    <w:p>
      <w:pPr>
        <w:spacing w:before="4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Project</w:t>
            </w:r>
          </w:p>
        </w:tc>
        <w:tc>
          <w:tcPr>
            <w:tcW w:type="dxa" w:w="5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NH-48 Highway Widening — Rajasthan Corridor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Client</w:t>
            </w:r>
          </w:p>
        </w:tc>
        <w:tc>
          <w:tcPr>
            <w:tcW w:type="dxa" w:w="5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National Highways Authority of India (NHAI)</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Contractor</w:t>
            </w:r>
          </w:p>
        </w:tc>
        <w:tc>
          <w:tcPr>
            <w:tcW w:type="dxa" w:w="5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ABC Infracon Pvt. Ltd.</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Document Type</w:t>
            </w:r>
          </w:p>
        </w:tc>
        <w:tc>
          <w:tcPr>
            <w:tcW w:type="dxa" w:w="5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Risk Master Metadata &amp; Mitigation Framework</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Version</w:t>
            </w:r>
          </w:p>
        </w:tc>
        <w:tc>
          <w:tcPr>
            <w:tcW w:type="dxa" w:w="5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v1.0 — April 2025</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Classification</w:t>
            </w:r>
          </w:p>
        </w:tc>
        <w:tc>
          <w:tcPr>
            <w:tcW w:type="dxa" w:w="5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Project Confidential</w:t>
            </w:r>
          </w:p>
        </w:tc>
      </w:tr>
    </w:tbl>
    <w:p>
      <w:r>
        <w:br w:type="page"/>
      </w:r>
    </w:p>
    <w:p>
      <w:pPr>
        <w:pStyle w:val="Heading1"/>
        <w:spacing w:after="160" w:before="320"/>
      </w:pPr>
      <w:r>
        <w:rPr>
          <w:rFonts w:ascii="Arial" w:cs="Arial" w:eastAsia="Arial" w:hAnsi="Arial"/>
          <w:b/>
          <w:bCs/>
          <w:color w:val="1F3864"/>
          <w:sz w:val="36"/>
          <w:szCs w:val="36"/>
        </w:rPr>
        <w:t xml:space="preserve">1. Introduction &amp; Purpose</w:t>
      </w:r>
    </w:p>
    <w:p>
      <w:pPr>
        <w:pBdr>
          <w:bottom w:val="single" w:color="2E75B6" w:sz="8"/>
        </w:pBdr>
        <w:spacing w:after="80" w:before="80"/>
      </w:pPr>
    </w:p>
    <w:p>
      <w:pPr>
        <w:spacing w:after="80" w:before="60"/>
      </w:pPr>
      <w:r>
        <w:rPr>
          <w:rFonts w:ascii="Arial" w:cs="Arial" w:eastAsia="Arial" w:hAnsi="Arial"/>
          <w:color w:val="595959"/>
          <w:sz w:val="20"/>
          <w:szCs w:val="20"/>
        </w:rPr>
        <w:t xml:space="preserve">This Risk Master Metadata document establishes a comprehensive framework for identifying, classifying, assessing, and mitigating risks associated with large-scale road construction projects. The document is structured to serve as a master reference for Project Management Consultants (PMC), NHAI supervision teams, EPC contractors, and project financiers.</w:t>
      </w:r>
    </w:p>
    <w:p>
      <w:pPr>
        <w:spacing w:after="80" w:before="60"/>
      </w:pPr>
      <w:r>
        <w:rPr>
          <w:rFonts w:ascii="Arial" w:cs="Arial" w:eastAsia="Arial" w:hAnsi="Arial"/>
          <w:color w:val="595959"/>
          <w:sz w:val="20"/>
          <w:szCs w:val="20"/>
        </w:rPr>
        <w:t xml:space="preserve"/>
      </w:r>
    </w:p>
    <w:p>
      <w:pPr>
        <w:spacing w:after="80" w:before="60"/>
      </w:pPr>
      <w:r>
        <w:rPr>
          <w:rFonts w:ascii="Arial" w:cs="Arial" w:eastAsia="Arial" w:hAnsi="Arial"/>
          <w:color w:val="595959"/>
          <w:sz w:val="20"/>
          <w:szCs w:val="20"/>
        </w:rPr>
        <w:t xml:space="preserve">The framework aligns with:</w:t>
      </w:r>
    </w:p>
    <w:p>
      <w:pPr>
        <w:pStyle w:val="ListParagraph"/>
        <w:numPr>
          <w:ilvl w:val="0"/>
          <w:numId w:val="2"/>
        </w:numPr>
        <w:spacing w:after="40" w:before="40"/>
      </w:pPr>
      <w:r>
        <w:rPr>
          <w:rFonts w:ascii="Arial" w:cs="Arial" w:eastAsia="Arial" w:hAnsi="Arial"/>
          <w:color w:val="595959"/>
          <w:sz w:val="20"/>
          <w:szCs w:val="20"/>
        </w:rPr>
        <w:t xml:space="preserve">IS 15883 (Project Risk Management Guidelines)</w:t>
      </w:r>
    </w:p>
    <w:p>
      <w:pPr>
        <w:pStyle w:val="ListParagraph"/>
        <w:numPr>
          <w:ilvl w:val="0"/>
          <w:numId w:val="2"/>
        </w:numPr>
        <w:spacing w:after="40" w:before="40"/>
      </w:pPr>
      <w:r>
        <w:rPr>
          <w:rFonts w:ascii="Arial" w:cs="Arial" w:eastAsia="Arial" w:hAnsi="Arial"/>
          <w:color w:val="595959"/>
          <w:sz w:val="20"/>
          <w:szCs w:val="20"/>
        </w:rPr>
        <w:t xml:space="preserve">NHAI EPC Contract Conditions — Clause 19 (Force Majeure) and Clause 21 (Risk Allocation)</w:t>
      </w:r>
    </w:p>
    <w:p>
      <w:pPr>
        <w:pStyle w:val="ListParagraph"/>
        <w:numPr>
          <w:ilvl w:val="0"/>
          <w:numId w:val="2"/>
        </w:numPr>
        <w:spacing w:after="40" w:before="40"/>
      </w:pPr>
      <w:r>
        <w:rPr>
          <w:rFonts w:ascii="Arial" w:cs="Arial" w:eastAsia="Arial" w:hAnsi="Arial"/>
          <w:color w:val="595959"/>
          <w:sz w:val="20"/>
          <w:szCs w:val="20"/>
        </w:rPr>
        <w:t xml:space="preserve">World Bank Operational Policy OP 4.01 for Environmental Assessment</w:t>
      </w:r>
    </w:p>
    <w:p>
      <w:pPr>
        <w:pStyle w:val="ListParagraph"/>
        <w:numPr>
          <w:ilvl w:val="0"/>
          <w:numId w:val="2"/>
        </w:numPr>
        <w:spacing w:after="40" w:before="40"/>
      </w:pPr>
      <w:r>
        <w:rPr>
          <w:rFonts w:ascii="Arial" w:cs="Arial" w:eastAsia="Arial" w:hAnsi="Arial"/>
          <w:color w:val="595959"/>
          <w:sz w:val="20"/>
          <w:szCs w:val="20"/>
        </w:rPr>
        <w:t xml:space="preserve">IRC:SP:84 — Manual on Operation &amp; Maintenance of NH Roads</w:t>
      </w:r>
    </w:p>
    <w:p>
      <w:pPr>
        <w:pStyle w:val="ListParagraph"/>
        <w:numPr>
          <w:ilvl w:val="0"/>
          <w:numId w:val="2"/>
        </w:numPr>
        <w:spacing w:after="40" w:before="40"/>
      </w:pPr>
      <w:r>
        <w:rPr>
          <w:rFonts w:ascii="Arial" w:cs="Arial" w:eastAsia="Arial" w:hAnsi="Arial"/>
          <w:color w:val="595959"/>
          <w:sz w:val="20"/>
          <w:szCs w:val="20"/>
        </w:rPr>
        <w:t xml:space="preserve">MOSRT&amp;H Standard Bidding Documents for EPC Contracts</w:t>
      </w:r>
    </w:p>
    <w:p>
      <w:pPr>
        <w:spacing w:after="80" w:before="60"/>
      </w:pPr>
      <w:r>
        <w:rPr>
          <w:rFonts w:ascii="Arial" w:cs="Arial" w:eastAsia="Arial" w:hAnsi="Arial"/>
          <w:color w:val="595959"/>
          <w:sz w:val="20"/>
          <w:szCs w:val="20"/>
        </w:rPr>
        <w:t xml:space="preserve"/>
      </w:r>
    </w:p>
    <w:p>
      <w:pPr>
        <w:spacing w:after="80" w:before="60"/>
      </w:pPr>
      <w:r>
        <w:rPr>
          <w:rFonts w:ascii="Arial" w:cs="Arial" w:eastAsia="Arial" w:hAnsi="Arial"/>
          <w:color w:val="595959"/>
          <w:sz w:val="20"/>
          <w:szCs w:val="20"/>
        </w:rPr>
        <w:t xml:space="preserve">Risk management is an iterative and continuous process spanning all project phases — from pre-construction through commissioning and the defects liability period. This document defines the complete metadata schema, risk categories, risk register structure, and mitigation plans for each risk type.</w:t>
      </w:r>
    </w:p>
    <w:p>
      <w:r>
        <w:br w:type="page"/>
      </w:r>
    </w:p>
    <w:p>
      <w:pPr>
        <w:pStyle w:val="Heading1"/>
        <w:spacing w:after="160" w:before="320"/>
      </w:pPr>
      <w:r>
        <w:rPr>
          <w:rFonts w:ascii="Arial" w:cs="Arial" w:eastAsia="Arial" w:hAnsi="Arial"/>
          <w:b/>
          <w:bCs/>
          <w:color w:val="1F3864"/>
          <w:sz w:val="36"/>
          <w:szCs w:val="36"/>
        </w:rPr>
        <w:t xml:space="preserve">2. Risk Master Metadata Schema</w:t>
      </w:r>
    </w:p>
    <w:p>
      <w:pPr>
        <w:pBdr>
          <w:bottom w:val="single" w:color="2E75B6" w:sz="8"/>
        </w:pBdr>
        <w:spacing w:after="80" w:before="80"/>
      </w:pPr>
    </w:p>
    <w:p>
      <w:pPr>
        <w:spacing w:after="80" w:before="60"/>
      </w:pPr>
      <w:r>
        <w:rPr>
          <w:rFonts w:ascii="Arial" w:cs="Arial" w:eastAsia="Arial" w:hAnsi="Arial"/>
          <w:color w:val="595959"/>
          <w:sz w:val="20"/>
          <w:szCs w:val="20"/>
        </w:rPr>
        <w:t xml:space="preserve">The Risk Master Metadata schema captures all attributes necessary for full lifecycle management of a project risk. The schema is divided into six logical groups.</w:t>
      </w:r>
    </w:p>
    <w:p>
      <w:pPr>
        <w:spacing w:after="80" w:before="60"/>
      </w:pPr>
      <w:r>
        <w:rPr>
          <w:rFonts w:ascii="Arial" w:cs="Arial" w:eastAsia="Arial" w:hAnsi="Arial"/>
          <w:color w:val="595959"/>
          <w:sz w:val="20"/>
          <w:szCs w:val="20"/>
        </w:rPr>
        <w:t xml:space="preserve"/>
      </w:r>
    </w:p>
    <w:p>
      <w:pPr>
        <w:pStyle w:val="Heading3"/>
        <w:spacing w:after="100" w:before="200"/>
      </w:pPr>
      <w:r>
        <w:rPr>
          <w:rFonts w:ascii="Arial" w:cs="Arial" w:eastAsia="Arial" w:hAnsi="Arial"/>
          <w:b/>
          <w:bCs/>
          <w:color w:val="1F6B75"/>
          <w:sz w:val="24"/>
          <w:szCs w:val="24"/>
        </w:rPr>
        <w:t xml:space="preserve">2.1 Risk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Field Name</w:t>
            </w:r>
          </w:p>
        </w:tc>
        <w:tc>
          <w:tcPr>
            <w:tcW w:type="dxa" w:w="28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24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Data Type / Format</w:t>
            </w:r>
          </w:p>
        </w:tc>
        <w:tc>
          <w:tcPr>
            <w:tcW w:type="dxa" w:w="256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Example Values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risk_id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Unique system-generated identifier</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VARCHAR(20)</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RK-2025-001</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risk_title</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Short, descriptive risk name</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VARCHAR(150)</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Monsoon Delay Risk</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risk_description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Detailed narrative of the risk event and potential impact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TEXT</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Extended rainfall causing stoppage of earthwork and subgrade preparation</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risk_category</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Top-level classification of risk type</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ENUM</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Technical / Financial / Environmental / Legal / Force Majeure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risk_sub_category</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Granular risk type within category</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VARCHAR(100)</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Geotechnical / Utility Conflict / Land Acquisition</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risk_source</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Point of origin of the risk</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ENUM</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Design / Contractor / Regulatory / External / Client</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work_package_id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Linked WBS element identifier</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VARCHAR(30)</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WP-04 (Earthwork)</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chainage_from</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Start chainage of affected road stretch</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DECIMAL</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142+000</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chainage_to</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End chainage of affected road stretch</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DECIMAL</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155+000</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project_phase</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Phase during which risk may be realized</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ENUM</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Pre-Construction / Construction / Commissioning / DLP</w:t>
            </w:r>
          </w:p>
        </w:tc>
      </w:tr>
    </w:tbl>
    <w:p>
      <w:pPr>
        <w:spacing w:after="80" w:before="60"/>
      </w:pPr>
      <w:r>
        <w:rPr>
          <w:rFonts w:ascii="Arial" w:cs="Arial" w:eastAsia="Arial" w:hAnsi="Arial"/>
          <w:color w:val="595959"/>
          <w:sz w:val="20"/>
          <w:szCs w:val="20"/>
        </w:rPr>
        <w:t xml:space="preserve"/>
      </w:r>
    </w:p>
    <w:p>
      <w:pPr>
        <w:pStyle w:val="Heading3"/>
        <w:spacing w:after="100" w:before="200"/>
      </w:pPr>
      <w:r>
        <w:rPr>
          <w:rFonts w:ascii="Arial" w:cs="Arial" w:eastAsia="Arial" w:hAnsi="Arial"/>
          <w:b/>
          <w:bCs/>
          <w:color w:val="1F6B75"/>
          <w:sz w:val="24"/>
          <w:szCs w:val="24"/>
        </w:rPr>
        <w:t xml:space="preserve">2.2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Field Name</w:t>
            </w:r>
          </w:p>
        </w:tc>
        <w:tc>
          <w:tcPr>
            <w:tcW w:type="dxa" w:w="28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24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Data Type / Format</w:t>
            </w:r>
          </w:p>
        </w:tc>
        <w:tc>
          <w:tcPr>
            <w:tcW w:type="dxa" w:w="256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Example Values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probability_score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Likelihood of risk occurrence on a 1–5 scale</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INT (1–5)</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 — Possible</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impact_score</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Severity of consequence on a 1–5 scale</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INT (1–5)</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4 — Major</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risk_rating</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Composite P×I matrix result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ENUM</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Critical / High / Medium / Low</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cost_impact_inr</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Estimated financial exposure in Indian Rupees</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DECIMAL</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45,00,000</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schedule_impact_days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Estimated delay in working days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INT</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21 days</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quality_impact_flag</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Boolean flag for quality consequence</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BOOLEAN + TEXT</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Yes — Sub-grade compaction failure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safety_impact_level</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HSE consequence level</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ENUM</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Fatality / Injury / Near Miss / None</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risk_score_composite</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Calculated risk score (P × I)</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INT (1–25)</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12</w:t>
            </w:r>
          </w:p>
        </w:tc>
      </w:tr>
    </w:tbl>
    <w:p>
      <w:pPr>
        <w:spacing w:after="80" w:before="60"/>
      </w:pPr>
      <w:r>
        <w:rPr>
          <w:rFonts w:ascii="Arial" w:cs="Arial" w:eastAsia="Arial" w:hAnsi="Arial"/>
          <w:color w:val="595959"/>
          <w:sz w:val="20"/>
          <w:szCs w:val="20"/>
        </w:rPr>
        <w:t xml:space="preserve"/>
      </w:r>
    </w:p>
    <w:p>
      <w:pPr>
        <w:pStyle w:val="Heading3"/>
        <w:spacing w:after="100" w:before="200"/>
      </w:pPr>
      <w:r>
        <w:rPr>
          <w:rFonts w:ascii="Arial" w:cs="Arial" w:eastAsia="Arial" w:hAnsi="Arial"/>
          <w:b/>
          <w:bCs/>
          <w:color w:val="1F6B75"/>
          <w:sz w:val="24"/>
          <w:szCs w:val="24"/>
        </w:rPr>
        <w:t xml:space="preserve">2.3 Risk Ownership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Field Name</w:t>
            </w:r>
          </w:p>
        </w:tc>
        <w:tc>
          <w:tcPr>
            <w:tcW w:type="dxa" w:w="28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24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Data Type / Format</w:t>
            </w:r>
          </w:p>
        </w:tc>
        <w:tc>
          <w:tcPr>
            <w:tcW w:type="dxa" w:w="256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Example Values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risk_owner_id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FK to project personnel — responsible for mitigation</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FK → Personnel</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ENG-047 (Site Engineer)</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risk_raised_by</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Person or team who identified the risk</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VARCHAR(100)</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PMC Inspection Team</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raised_date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Date risk was first logged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DATE</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2025-03-15</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review_date</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Next scheduled review date</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DATE</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2025-04-15</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closure_date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Date when risk was resolved or formally closed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DATE</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NULL (Open)</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risk_status</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Current lifecycle state of the risk</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ENUM</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Open / Monitoring / Escalated / Closed / Realized</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is_realized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Boolean — has the risk become an actual issue?</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BOOLEAN</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FALSE</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linked_issue_id</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FK to Issue Register if risk is realized</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FK → Issues</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ISS-2025-012</w:t>
            </w:r>
          </w:p>
        </w:tc>
      </w:tr>
    </w:tbl>
    <w:p>
      <w:pPr>
        <w:spacing w:after="80" w:before="60"/>
      </w:pPr>
      <w:r>
        <w:rPr>
          <w:rFonts w:ascii="Arial" w:cs="Arial" w:eastAsia="Arial" w:hAnsi="Arial"/>
          <w:color w:val="595959"/>
          <w:sz w:val="20"/>
          <w:szCs w:val="20"/>
        </w:rPr>
        <w:t xml:space="preserve"/>
      </w:r>
    </w:p>
    <w:p>
      <w:pPr>
        <w:pStyle w:val="Heading3"/>
        <w:spacing w:after="100" w:before="200"/>
      </w:pPr>
      <w:r>
        <w:rPr>
          <w:rFonts w:ascii="Arial" w:cs="Arial" w:eastAsia="Arial" w:hAnsi="Arial"/>
          <w:b/>
          <w:bCs/>
          <w:color w:val="1F6B75"/>
          <w:sz w:val="24"/>
          <w:szCs w:val="24"/>
        </w:rPr>
        <w:t xml:space="preserve">2.4 Mitigation &amp;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Field Name</w:t>
            </w:r>
          </w:p>
        </w:tc>
        <w:tc>
          <w:tcPr>
            <w:tcW w:type="dxa" w:w="28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24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Data Type / Format</w:t>
            </w:r>
          </w:p>
        </w:tc>
        <w:tc>
          <w:tcPr>
            <w:tcW w:type="dxa" w:w="256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Example Values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response_strategy</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Primary risk treatment approach</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ENUM</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Avoid / Mitigate / Transfer / Accept</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mitigation_action</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Specific action plan to reduce probability or impact</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TEXT</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Pre-position dewatering pumps before monsoon onset; build drainage channels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contingency_plan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Fallback action if risk is triggered despite mitigation</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TEXT</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Activate extended night-shift schedule; deploy reserve plant</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residual_risk_rating</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Post-mitigation risk rating</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ENUM</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Medium</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mitigation_cost_inr</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Estimated cost of implementing mitigation measures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DECIMAL</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8,00,000</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insurance_applicable</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Whether risk is transferable via insurance/bond</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BOOLEAN</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Yes — CAR Policy</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contract_clause_ref</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Relevant NHAI/EPC contract clause reference</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VARCHAR(50)</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Clause 19.4 — Force Majeure</w:t>
            </w:r>
          </w:p>
        </w:tc>
      </w:tr>
    </w:tbl>
    <w:p>
      <w:pPr>
        <w:spacing w:after="80" w:before="60"/>
      </w:pPr>
      <w:r>
        <w:rPr>
          <w:rFonts w:ascii="Arial" w:cs="Arial" w:eastAsia="Arial" w:hAnsi="Arial"/>
          <w:color w:val="595959"/>
          <w:sz w:val="20"/>
          <w:szCs w:val="20"/>
        </w:rPr>
        <w:t xml:space="preserve"/>
      </w:r>
    </w:p>
    <w:p>
      <w:pPr>
        <w:pStyle w:val="Heading3"/>
        <w:spacing w:after="100" w:before="200"/>
      </w:pPr>
      <w:r>
        <w:rPr>
          <w:rFonts w:ascii="Arial" w:cs="Arial" w:eastAsia="Arial" w:hAnsi="Arial"/>
          <w:b/>
          <w:bCs/>
          <w:color w:val="1F6B75"/>
          <w:sz w:val="24"/>
          <w:szCs w:val="24"/>
        </w:rPr>
        <w:t xml:space="preserve">2.5 Classification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Field Name</w:t>
            </w:r>
          </w:p>
        </w:tc>
        <w:tc>
          <w:tcPr>
            <w:tcW w:type="dxa" w:w="28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24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Data Type / Format</w:t>
            </w:r>
          </w:p>
        </w:tc>
        <w:tc>
          <w:tcPr>
            <w:tcW w:type="dxa" w:w="256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Example Values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risk_type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Nature of the risk</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ENUM</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Pure / Speculative</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trigger_event</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Specific event or condition that activates the risk</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TEXT</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IMD forecast: rainfall &gt; 50mm in 24 hrs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early_warning_indicator</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Leading signal to monitor proactively</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TEXT</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Weekly soil moisture readings; IMD 5-day forecast</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affected_stakeholder</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Primary stakeholder impacted</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MULTI-SELECT</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Contractor / NHAI / Environment / Public / Subcontractor</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escalation_level</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Level at which risk must be escalated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ENUM</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Site / PMC / NHAI RO / NHAI HQ</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is_critical_path_risk</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Boolean — does risk affect critical path activity?</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BOOLEAN</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TRUE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risk_zone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Geographic/administrative zone of the project affected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VARCHAR(100)</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Zone B — Ajmer District</w:t>
            </w:r>
          </w:p>
        </w:tc>
      </w:tr>
    </w:tbl>
    <w:p>
      <w:pPr>
        <w:spacing w:after="80" w:before="60"/>
      </w:pPr>
      <w:r>
        <w:rPr>
          <w:rFonts w:ascii="Arial" w:cs="Arial" w:eastAsia="Arial" w:hAnsi="Arial"/>
          <w:color w:val="595959"/>
          <w:sz w:val="20"/>
          <w:szCs w:val="20"/>
        </w:rPr>
        <w:t xml:space="preserve"/>
      </w:r>
    </w:p>
    <w:p>
      <w:pPr>
        <w:pStyle w:val="Heading3"/>
        <w:spacing w:after="100" w:before="200"/>
      </w:pPr>
      <w:r>
        <w:rPr>
          <w:rFonts w:ascii="Arial" w:cs="Arial" w:eastAsia="Arial" w:hAnsi="Arial"/>
          <w:b/>
          <w:bCs/>
          <w:color w:val="1F6B75"/>
          <w:sz w:val="24"/>
          <w:szCs w:val="24"/>
        </w:rPr>
        <w:t xml:space="preserve">2.6 Audit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Field Name</w:t>
            </w:r>
          </w:p>
        </w:tc>
        <w:tc>
          <w:tcPr>
            <w:tcW w:type="dxa" w:w="28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24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Data Type / Format</w:t>
            </w:r>
          </w:p>
        </w:tc>
        <w:tc>
          <w:tcPr>
            <w:tcW w:type="dxa" w:w="256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Example Values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created_by</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User who created the risk record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VARCHAR(100)</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PMC Risk Manager</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created_at</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Timestamp of creation</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DATETIME</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2025-03-15T09:30:00</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last_updated_by</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Last person to modify the record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VARCHAR(100)</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Project Director</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last_updated_at</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Timestamp of last update</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DATETIME</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2025-03-28T14:00:00</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version_number</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Revision number of the risk record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INT</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approval_status</w:t>
            </w:r>
          </w:p>
        </w:tc>
        <w:tc>
          <w:tcPr>
            <w:tcW w:type="dxa" w:w="2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Current approval workflow status</w:t>
            </w:r>
          </w:p>
        </w:tc>
        <w:tc>
          <w:tcPr>
            <w:tcW w:type="dxa" w:w="2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ENUM</w:t>
            </w:r>
          </w:p>
        </w:tc>
        <w:tc>
          <w:tcPr>
            <w:tcW w:type="dxa" w:w="2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Draft / Under Review / Approved / Archived</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approved_by</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Name/ID of approving authority</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F6B75"/>
                <w:sz w:val="18"/>
                <w:szCs w:val="18"/>
              </w:rPr>
              <w:t xml:space="preserve">VARCHAR(100)</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DGM — Project Management, NHAI</w:t>
            </w:r>
          </w:p>
        </w:tc>
      </w:tr>
    </w:tbl>
    <w:p>
      <w:pPr>
        <w:spacing w:after="80" w:before="60"/>
      </w:pPr>
      <w:r>
        <w:rPr>
          <w:rFonts w:ascii="Arial" w:cs="Arial" w:eastAsia="Arial" w:hAnsi="Arial"/>
          <w:color w:val="595959"/>
          <w:sz w:val="20"/>
          <w:szCs w:val="20"/>
        </w:rPr>
        <w:t xml:space="preserve"/>
      </w:r>
    </w:p>
    <w:p>
      <w:r>
        <w:br w:type="page"/>
      </w:r>
    </w:p>
    <w:p>
      <w:pPr>
        <w:pStyle w:val="Heading1"/>
        <w:spacing w:after="160" w:before="320"/>
      </w:pPr>
      <w:r>
        <w:rPr>
          <w:rFonts w:ascii="Arial" w:cs="Arial" w:eastAsia="Arial" w:hAnsi="Arial"/>
          <w:b/>
          <w:bCs/>
          <w:color w:val="1F3864"/>
          <w:sz w:val="36"/>
          <w:szCs w:val="36"/>
        </w:rPr>
        <w:t xml:space="preserve">3. Risk Probability × Impact Matrix</w:t>
      </w:r>
    </w:p>
    <w:p>
      <w:pPr>
        <w:pBdr>
          <w:bottom w:val="single" w:color="2E75B6" w:sz="8"/>
        </w:pBdr>
        <w:spacing w:after="80" w:before="80"/>
      </w:pPr>
    </w:p>
    <w:p>
      <w:pPr>
        <w:spacing w:after="80" w:before="60"/>
      </w:pPr>
      <w:r>
        <w:rPr>
          <w:rFonts w:ascii="Arial" w:cs="Arial" w:eastAsia="Arial" w:hAnsi="Arial"/>
          <w:color w:val="595959"/>
          <w:sz w:val="20"/>
          <w:szCs w:val="20"/>
        </w:rPr>
        <w:t xml:space="preserve">The 5×5 Probability-Impact Matrix below is used to calculate the composite Risk Score. Scores are colour-coded to indicate risk severity and required escalation level.</w:t>
      </w:r>
    </w:p>
    <w:p>
      <w:pPr>
        <w:spacing w:after="80" w:before="60"/>
      </w:pPr>
      <w:r>
        <w:rPr>
          <w:rFonts w:ascii="Arial" w:cs="Arial" w:eastAsia="Arial" w:hAnsi="Arial"/>
          <w:color w:val="59595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72"/>
        <w:gridCol w:w="1472"/>
        <w:gridCol w:w="1472"/>
        <w:gridCol w:w="1472"/>
        <w:gridCol w:w="1472"/>
      </w:tblGrid>
      <w:tr>
        <w:tc>
          <w:tcPr>
            <w:tcW w:type="dxa" w:w="20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Probability \ Impact</w:t>
            </w:r>
          </w:p>
        </w:tc>
        <w:tc>
          <w:tcPr>
            <w:tcW w:type="dxa" w:w="1472"/>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1 Negligible</w:t>
            </w:r>
          </w:p>
        </w:tc>
        <w:tc>
          <w:tcPr>
            <w:tcW w:type="dxa" w:w="1472"/>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2 Minor</w:t>
            </w:r>
          </w:p>
        </w:tc>
        <w:tc>
          <w:tcPr>
            <w:tcW w:type="dxa" w:w="1472"/>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3 Moderate</w:t>
            </w:r>
          </w:p>
        </w:tc>
        <w:tc>
          <w:tcPr>
            <w:tcW w:type="dxa" w:w="1472"/>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4 Major</w:t>
            </w:r>
          </w:p>
        </w:tc>
        <w:tc>
          <w:tcPr>
            <w:tcW w:type="dxa" w:w="1472"/>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5 Catastrophic</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00"/>
            </w:tcMar>
          </w:tcPr>
          <w:p>
            <w:r>
              <w:rPr>
                <w:rFonts w:ascii="Arial" w:cs="Arial" w:eastAsia="Arial" w:hAnsi="Arial"/>
                <w:b/>
                <w:bCs/>
                <w:color w:val="1F3864"/>
                <w:sz w:val="18"/>
                <w:szCs w:val="18"/>
              </w:rPr>
              <w:t xml:space="preserve">5 — Almost Certain</w:t>
            </w:r>
          </w:p>
        </w:tc>
        <w:tc>
          <w:tcPr>
            <w:tcW w:type="dxa" w:w="1472"/>
            <w:tcBorders>
              <w:top w:val="single" w:color="AAAAAA" w:sz="4"/>
              <w:left w:val="single" w:color="AAAAAA" w:sz="4"/>
              <w:bottom w:val="single" w:color="AAAAAA" w:sz="4"/>
              <w:right w:val="single" w:color="AAAAAA"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1472"/>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10</w:t>
            </w:r>
          </w:p>
        </w:tc>
        <w:tc>
          <w:tcPr>
            <w:tcW w:type="dxa" w:w="1472"/>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15</w:t>
            </w:r>
          </w:p>
        </w:tc>
        <w:tc>
          <w:tcPr>
            <w:tcW w:type="dxa" w:w="1472"/>
            <w:tcBorders>
              <w:top w:val="single" w:color="AAAAAA" w:sz="4"/>
              <w:left w:val="single" w:color="AAAAAA" w:sz="4"/>
              <w:bottom w:val="single" w:color="AAAAAA" w:sz="4"/>
              <w:right w:val="single" w:color="AAAAAA"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20</w:t>
            </w:r>
          </w:p>
        </w:tc>
        <w:tc>
          <w:tcPr>
            <w:tcW w:type="dxa" w:w="1472"/>
            <w:tcBorders>
              <w:top w:val="single" w:color="AAAAAA" w:sz="4"/>
              <w:left w:val="single" w:color="AAAAAA" w:sz="4"/>
              <w:bottom w:val="single" w:color="AAAAAA" w:sz="4"/>
              <w:right w:val="single" w:color="AAAAAA"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25</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00"/>
            </w:tcMar>
          </w:tcPr>
          <w:p>
            <w:r>
              <w:rPr>
                <w:rFonts w:ascii="Arial" w:cs="Arial" w:eastAsia="Arial" w:hAnsi="Arial"/>
                <w:b/>
                <w:bCs/>
                <w:color w:val="1F3864"/>
                <w:sz w:val="18"/>
                <w:szCs w:val="18"/>
              </w:rPr>
              <w:t xml:space="preserve">4 — Likely</w:t>
            </w:r>
          </w:p>
        </w:tc>
        <w:tc>
          <w:tcPr>
            <w:tcW w:type="dxa" w:w="1472"/>
            <w:tcBorders>
              <w:top w:val="single" w:color="AAAAAA" w:sz="4"/>
              <w:left w:val="single" w:color="AAAAAA" w:sz="4"/>
              <w:bottom w:val="single" w:color="AAAAAA" w:sz="4"/>
              <w:right w:val="single" w:color="AAAAAA"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1472"/>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8</w:t>
            </w:r>
          </w:p>
        </w:tc>
        <w:tc>
          <w:tcPr>
            <w:tcW w:type="dxa" w:w="1472"/>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12</w:t>
            </w:r>
          </w:p>
        </w:tc>
        <w:tc>
          <w:tcPr>
            <w:tcW w:type="dxa" w:w="1472"/>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16</w:t>
            </w:r>
          </w:p>
        </w:tc>
        <w:tc>
          <w:tcPr>
            <w:tcW w:type="dxa" w:w="1472"/>
            <w:tcBorders>
              <w:top w:val="single" w:color="AAAAAA" w:sz="4"/>
              <w:left w:val="single" w:color="AAAAAA" w:sz="4"/>
              <w:bottom w:val="single" w:color="AAAAAA" w:sz="4"/>
              <w:right w:val="single" w:color="AAAAAA"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20</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00"/>
            </w:tcMar>
          </w:tcPr>
          <w:p>
            <w:r>
              <w:rPr>
                <w:rFonts w:ascii="Arial" w:cs="Arial" w:eastAsia="Arial" w:hAnsi="Arial"/>
                <w:b/>
                <w:bCs/>
                <w:color w:val="1F3864"/>
                <w:sz w:val="18"/>
                <w:szCs w:val="18"/>
              </w:rPr>
              <w:t xml:space="preserve">3 — Possible</w:t>
            </w:r>
          </w:p>
        </w:tc>
        <w:tc>
          <w:tcPr>
            <w:tcW w:type="dxa" w:w="1472"/>
            <w:tcBorders>
              <w:top w:val="single" w:color="AAAAAA" w:sz="4"/>
              <w:left w:val="single" w:color="AAAAAA" w:sz="4"/>
              <w:bottom w:val="single" w:color="AAAAAA" w:sz="4"/>
              <w:right w:val="single" w:color="AAAAAA"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1472"/>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6</w:t>
            </w:r>
          </w:p>
        </w:tc>
        <w:tc>
          <w:tcPr>
            <w:tcW w:type="dxa" w:w="1472"/>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9</w:t>
            </w:r>
          </w:p>
        </w:tc>
        <w:tc>
          <w:tcPr>
            <w:tcW w:type="dxa" w:w="1472"/>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12</w:t>
            </w:r>
          </w:p>
        </w:tc>
        <w:tc>
          <w:tcPr>
            <w:tcW w:type="dxa" w:w="1472"/>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15</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00"/>
            </w:tcMar>
          </w:tcPr>
          <w:p>
            <w:r>
              <w:rPr>
                <w:rFonts w:ascii="Arial" w:cs="Arial" w:eastAsia="Arial" w:hAnsi="Arial"/>
                <w:b/>
                <w:bCs/>
                <w:color w:val="1F3864"/>
                <w:sz w:val="18"/>
                <w:szCs w:val="18"/>
              </w:rPr>
              <w:t xml:space="preserve">2 — Unlikely</w:t>
            </w:r>
          </w:p>
        </w:tc>
        <w:tc>
          <w:tcPr>
            <w:tcW w:type="dxa" w:w="1472"/>
            <w:tcBorders>
              <w:top w:val="single" w:color="AAAAAA" w:sz="4"/>
              <w:left w:val="single" w:color="AAAAAA" w:sz="4"/>
              <w:bottom w:val="single" w:color="AAAAAA" w:sz="4"/>
              <w:right w:val="single" w:color="AAAAAA"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1472"/>
            <w:tcBorders>
              <w:top w:val="single" w:color="AAAAAA" w:sz="4"/>
              <w:left w:val="single" w:color="AAAAAA" w:sz="4"/>
              <w:bottom w:val="single" w:color="AAAAAA" w:sz="4"/>
              <w:right w:val="single" w:color="AAAAAA"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1472"/>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6</w:t>
            </w:r>
          </w:p>
        </w:tc>
        <w:tc>
          <w:tcPr>
            <w:tcW w:type="dxa" w:w="1472"/>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8</w:t>
            </w:r>
          </w:p>
        </w:tc>
        <w:tc>
          <w:tcPr>
            <w:tcW w:type="dxa" w:w="1472"/>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10</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00"/>
            </w:tcMar>
          </w:tcPr>
          <w:p>
            <w:r>
              <w:rPr>
                <w:rFonts w:ascii="Arial" w:cs="Arial" w:eastAsia="Arial" w:hAnsi="Arial"/>
                <w:b/>
                <w:bCs/>
                <w:color w:val="1F3864"/>
                <w:sz w:val="18"/>
                <w:szCs w:val="18"/>
              </w:rPr>
              <w:t xml:space="preserve">1 — Rare</w:t>
            </w:r>
          </w:p>
        </w:tc>
        <w:tc>
          <w:tcPr>
            <w:tcW w:type="dxa" w:w="1472"/>
            <w:tcBorders>
              <w:top w:val="single" w:color="AAAAAA" w:sz="4"/>
              <w:left w:val="single" w:color="AAAAAA" w:sz="4"/>
              <w:bottom w:val="single" w:color="AAAAAA" w:sz="4"/>
              <w:right w:val="single" w:color="AAAAAA"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1472"/>
            <w:tcBorders>
              <w:top w:val="single" w:color="AAAAAA" w:sz="4"/>
              <w:left w:val="single" w:color="AAAAAA" w:sz="4"/>
              <w:bottom w:val="single" w:color="AAAAAA" w:sz="4"/>
              <w:right w:val="single" w:color="AAAAAA"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1472"/>
            <w:tcBorders>
              <w:top w:val="single" w:color="AAAAAA" w:sz="4"/>
              <w:left w:val="single" w:color="AAAAAA" w:sz="4"/>
              <w:bottom w:val="single" w:color="AAAAAA" w:sz="4"/>
              <w:right w:val="single" w:color="AAAAAA"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1472"/>
            <w:tcBorders>
              <w:top w:val="single" w:color="AAAAAA" w:sz="4"/>
              <w:left w:val="single" w:color="AAAAAA" w:sz="4"/>
              <w:bottom w:val="single" w:color="AAAAAA" w:sz="4"/>
              <w:right w:val="single" w:color="AAAAAA"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1472"/>
            <w:tcBorders>
              <w:top w:val="single" w:color="AAAAAA" w:sz="4"/>
              <w:left w:val="single" w:color="AAAAAA" w:sz="4"/>
              <w:bottom w:val="single" w:color="AAAAAA" w:sz="4"/>
              <w:right w:val="single" w:color="AAAAAA"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r>
    </w:tbl>
    <w:p>
      <w:pPr>
        <w:spacing w:after="80" w:before="60"/>
      </w:pPr>
      <w:r>
        <w:rPr>
          <w:rFonts w:ascii="Arial" w:cs="Arial" w:eastAsia="Arial" w:hAnsi="Arial"/>
          <w:color w:val="59595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AAAAAA" w:sz="4"/>
              <w:left w:val="single" w:color="AAAAAA" w:sz="4"/>
              <w:bottom w:val="single" w:color="AAAAAA" w:sz="4"/>
              <w:right w:val="single" w:color="AAAAAA" w:sz="4"/>
            </w:tcBorders>
            <w:shd w:fill="1F3864"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Score Range</w:t>
            </w:r>
          </w:p>
        </w:tc>
        <w:tc>
          <w:tcPr>
            <w:tcW w:type="dxa" w:w="2340"/>
            <w:gridSpan w:val="1"/>
            <w:tcBorders>
              <w:top w:val="single" w:color="AAAAAA" w:sz="4"/>
              <w:left w:val="single" w:color="AAAAAA" w:sz="4"/>
              <w:bottom w:val="single" w:color="AAAAAA" w:sz="4"/>
              <w:right w:val="single" w:color="AAAAAA" w:sz="4"/>
            </w:tcBorders>
            <w:shd w:fill="1F3864"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Rating</w:t>
            </w:r>
          </w:p>
        </w:tc>
        <w:tc>
          <w:tcPr>
            <w:tcW w:type="dxa" w:w="2340"/>
            <w:gridSpan w:val="1"/>
            <w:tcBorders>
              <w:top w:val="single" w:color="AAAAAA" w:sz="4"/>
              <w:left w:val="single" w:color="AAAAAA" w:sz="4"/>
              <w:bottom w:val="single" w:color="AAAAAA" w:sz="4"/>
              <w:right w:val="single" w:color="AAAAAA" w:sz="4"/>
            </w:tcBorders>
            <w:shd w:fill="1F3864"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Escalation Level</w:t>
            </w:r>
          </w:p>
        </w:tc>
        <w:tc>
          <w:tcPr>
            <w:tcW w:type="dxa" w:w="2340"/>
            <w:gridSpan w:val="1"/>
            <w:tcBorders>
              <w:top w:val="single" w:color="AAAAAA" w:sz="4"/>
              <w:left w:val="single" w:color="AAAAAA" w:sz="4"/>
              <w:bottom w:val="single" w:color="AAAAAA" w:sz="4"/>
              <w:right w:val="single" w:color="AAAAAA" w:sz="4"/>
            </w:tcBorders>
            <w:shd w:fill="1F3864"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Review Frequency</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20 – 25</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C00000"/>
                <w:sz w:val="18"/>
                <w:szCs w:val="18"/>
              </w:rPr>
              <w:t xml:space="preserve">CRITICAL</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NHAI HQ / MD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Daily</w:t>
            </w:r>
          </w:p>
        </w:tc>
      </w:tr>
      <w:tr>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12 – 19</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C55A11"/>
                <w:sz w:val="18"/>
                <w:szCs w:val="18"/>
              </w:rPr>
              <w:t xml:space="preserve">HIGH</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PMC / NHAI RO</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Weekly</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6 – 11</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CC8800"/>
                <w:sz w:val="18"/>
                <w:szCs w:val="18"/>
              </w:rPr>
              <w:t xml:space="preserve">MEDIUM</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Site / PMC</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Fortnightly</w:t>
            </w:r>
          </w:p>
        </w:tc>
      </w:tr>
      <w:tr>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1 – 5</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375623"/>
                <w:sz w:val="18"/>
                <w:szCs w:val="18"/>
              </w:rPr>
              <w:t xml:space="preserve">LOW</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Site Engineer</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Monthly</w:t>
            </w:r>
          </w:p>
        </w:tc>
      </w:tr>
    </w:tbl>
    <w:p>
      <w:r>
        <w:br w:type="page"/>
      </w:r>
    </w:p>
    <w:p>
      <w:pPr>
        <w:pStyle w:val="Heading1"/>
        <w:spacing w:after="160" w:before="320"/>
      </w:pPr>
      <w:r>
        <w:rPr>
          <w:rFonts w:ascii="Arial" w:cs="Arial" w:eastAsia="Arial" w:hAnsi="Arial"/>
          <w:b/>
          <w:bCs/>
          <w:color w:val="1F3864"/>
          <w:sz w:val="36"/>
          <w:szCs w:val="36"/>
        </w:rPr>
        <w:t xml:space="preserve">4. Risk Categories, Register &amp; Mitigation Plans</w:t>
      </w:r>
    </w:p>
    <w:p>
      <w:pPr>
        <w:pBdr>
          <w:bottom w:val="single" w:color="2E75B6" w:sz="8"/>
        </w:pBdr>
        <w:spacing w:after="80" w:before="80"/>
      </w:pPr>
    </w:p>
    <w:p>
      <w:pPr>
        <w:spacing w:after="80" w:before="60"/>
      </w:pPr>
      <w:r>
        <w:rPr>
          <w:rFonts w:ascii="Arial" w:cs="Arial" w:eastAsia="Arial" w:hAnsi="Arial"/>
          <w:color w:val="595959"/>
          <w:sz w:val="20"/>
          <w:szCs w:val="20"/>
        </w:rPr>
        <w:t xml:space="preserve">This section provides a detailed breakdown of each risk category, including individual risks with their probability/impact ratings, and comprehensive risk mitigation plans covering strategy, action, ownership, and timeline.</w:t>
      </w:r>
    </w:p>
    <w:p>
      <w:pPr>
        <w:spacing w:after="80" w:before="60"/>
      </w:pPr>
      <w:r>
        <w:rPr>
          <w:rFonts w:ascii="Arial" w:cs="Arial" w:eastAsia="Arial" w:hAnsi="Arial"/>
          <w:color w:val="595959"/>
          <w:sz w:val="20"/>
          <w:szCs w:val="20"/>
        </w:rPr>
        <w:t xml:space="preserve"/>
      </w:r>
    </w:p>
    <w:p>
      <w:pPr>
        <w:pStyle w:val="Heading2"/>
        <w:spacing w:after="120" w:before="280"/>
      </w:pPr>
      <w:r>
        <w:rPr>
          <w:rFonts w:ascii="Arial" w:cs="Arial" w:eastAsia="Arial" w:hAnsi="Arial"/>
          <w:b/>
          <w:bCs/>
          <w:color w:val="2E5C8A"/>
          <w:sz w:val="28"/>
          <w:szCs w:val="28"/>
        </w:rPr>
        <w:t xml:space="preserve">4.1 Land Acquisition &amp; Utility Shifting Risks</w:t>
      </w:r>
    </w:p>
    <w:p>
      <w:pPr>
        <w:spacing w:after="80" w:before="60"/>
      </w:pPr>
      <w:r>
        <w:rPr>
          <w:rFonts w:ascii="Arial" w:cs="Arial" w:eastAsia="Arial" w:hAnsi="Arial"/>
          <w:color w:val="595959"/>
          <w:sz w:val="20"/>
          <w:szCs w:val="20"/>
        </w:rPr>
        <w:t xml:space="preserve">Land acquisition delays and utility conflicts are the most common causes of cost overrun and schedule slippage in Indian NH projects. Forest and Revenue land involvement, ROW encroachments, and underground utilities create compounding delays.</w:t>
      </w:r>
    </w:p>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1F4E79"/>
          <w:sz w:val="22"/>
          <w:szCs w:val="22"/>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60"/>
        <w:gridCol w:w="900"/>
        <w:gridCol w:w="1000"/>
        <w:gridCol w:w="1460"/>
        <w:gridCol w:w="1500"/>
        <w:gridCol w:w="1100"/>
        <w:gridCol w:w="1040"/>
      </w:tblGrid>
      <w:tr>
        <w:tc>
          <w:tcPr>
            <w:tcW w:type="dxa" w:w="9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ID</w:t>
            </w:r>
          </w:p>
        </w:tc>
        <w:tc>
          <w:tcPr>
            <w:tcW w:type="dxa" w:w="146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Title</w:t>
            </w:r>
          </w:p>
        </w:tc>
        <w:tc>
          <w:tcPr>
            <w:tcW w:type="dxa" w:w="9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Probability</w:t>
            </w:r>
          </w:p>
        </w:tc>
        <w:tc>
          <w:tcPr>
            <w:tcW w:type="dxa" w:w="10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Impact</w:t>
            </w:r>
          </w:p>
        </w:tc>
        <w:tc>
          <w:tcPr>
            <w:tcW w:type="dxa" w:w="146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Cost Impact</w:t>
            </w:r>
          </w:p>
        </w:tc>
        <w:tc>
          <w:tcPr>
            <w:tcW w:type="dxa" w:w="15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Schedule Impact</w:t>
            </w:r>
          </w:p>
        </w:tc>
        <w:tc>
          <w:tcPr>
            <w:tcW w:type="dxa" w:w="11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Rating</w:t>
            </w:r>
          </w:p>
        </w:tc>
        <w:tc>
          <w:tcPr>
            <w:tcW w:type="dxa" w:w="104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Phase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4E79"/>
                <w:sz w:val="18"/>
                <w:szCs w:val="18"/>
              </w:rPr>
              <w:t xml:space="preserve">RK-LA-01</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Delayed Handover of Right-of-Way (ROW)</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5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 Cr / month delay</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60–120 days</w:t>
            </w:r>
          </w:p>
        </w:tc>
        <w:tc>
          <w:tcPr>
            <w:tcW w:type="dxa" w:w="1000"/>
            <w:tcBorders>
              <w:top w:val="single" w:color="AAAAAA" w:sz="4"/>
              <w:left w:val="single" w:color="AAAAAA" w:sz="4"/>
              <w:bottom w:val="single" w:color="AAAAAA" w:sz="4"/>
              <w:right w:val="single" w:color="AAAAAA"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CRITICAL</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4E79"/>
                <w:sz w:val="18"/>
                <w:szCs w:val="18"/>
              </w:rPr>
              <w:t xml:space="preserve">RK-LA-02</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Encroachment by Structures / Jhuggi Settlements</w:t>
            </w:r>
          </w:p>
        </w:tc>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₹30–60 Lakhs</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30–60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4E79"/>
                <w:sz w:val="18"/>
                <w:szCs w:val="18"/>
              </w:rPr>
              <w:t xml:space="preserve">RK-LA-03</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Underground Utility Conflict (OFC, Pipeline, HT Cable)</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₹20–80 Lakhs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15–45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bl>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1F4E79"/>
          <w:sz w:val="22"/>
          <w:szCs w:val="22"/>
        </w:rPr>
        <w:t xml:space="preserve">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000"/>
        <w:gridCol w:w="2060"/>
      </w:tblGrid>
      <w:tr>
        <w:tc>
          <w:tcPr>
            <w:tcW w:type="dxa" w:w="11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Strategy</w:t>
            </w:r>
          </w:p>
        </w:tc>
        <w:tc>
          <w:tcPr>
            <w:tcW w:type="dxa" w:w="42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Mitigation Action</w:t>
            </w:r>
          </w:p>
        </w:tc>
        <w:tc>
          <w:tcPr>
            <w:tcW w:type="dxa" w:w="20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Responsible Owner</w:t>
            </w:r>
          </w:p>
        </w:tc>
        <w:tc>
          <w:tcPr>
            <w:tcW w:type="dxa" w:w="206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Timeline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375623"/>
                <w:sz w:val="18"/>
                <w:szCs w:val="18"/>
              </w:rPr>
              <w:t xml:space="preserve">Avoid</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Prioritize ROW clearance verification before mobilization. Conduct drone-based ROW survey in pre-construction phase.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PMC / NHAI RO</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Pre-Construction</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Engage District Collector and SDM for expedited LA proceedings under RFCTLARR Act 2013. Issue Section 3A notifications with adequate lead time.</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NHAI Project Director</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Month 1–3</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1F6B75"/>
                <w:sz w:val="18"/>
                <w:szCs w:val="18"/>
              </w:rPr>
              <w:t xml:space="preserve">Transfer</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Include utility shifting as a NHAI-borne obligation in the EPC contract. Engage BSNL/PGCIL/GAIL for advance shifting agreements.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NHAI Authority Engineer</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Pre-Award</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C55A11"/>
                <w:sz w:val="18"/>
                <w:szCs w:val="18"/>
              </w:rPr>
              <w:t xml:space="preserve">Contingency</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Re-sequence construction to work in cleared stretches first. Maintain alternate work fronts. Invoke EOT provisions under Clause 40.</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EPC Contractor</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 Trigger</w:t>
            </w:r>
          </w:p>
        </w:tc>
      </w:tr>
    </w:tbl>
    <w:p>
      <w:pPr>
        <w:spacing w:after="80" w:before="60"/>
      </w:pPr>
      <w:r>
        <w:rPr>
          <w:rFonts w:ascii="Arial" w:cs="Arial" w:eastAsia="Arial" w:hAnsi="Arial"/>
          <w:color w:val="595959"/>
          <w:sz w:val="20"/>
          <w:szCs w:val="20"/>
        </w:rPr>
        <w:t xml:space="preserve"/>
      </w:r>
    </w:p>
    <w:p>
      <w:pPr>
        <w:spacing w:after="20" w:before="40"/>
      </w:pPr>
      <w:r>
        <w:rPr>
          <w:rFonts w:ascii="Arial" w:cs="Arial" w:eastAsia="Arial" w:hAnsi="Arial"/>
          <w:b/>
          <w:bCs/>
          <w:color w:val="1F4E79"/>
          <w:sz w:val="20"/>
          <w:szCs w:val="20"/>
        </w:rPr>
        <w:t xml:space="preserve">Early Warning Indicators:</w:t>
      </w:r>
    </w:p>
    <w:p>
      <w:pPr>
        <w:pStyle w:val="ListParagraph"/>
        <w:numPr>
          <w:ilvl w:val="0"/>
          <w:numId w:val="2"/>
        </w:numPr>
        <w:spacing w:after="40" w:before="40"/>
      </w:pPr>
      <w:r>
        <w:rPr>
          <w:rFonts w:ascii="Arial" w:cs="Arial" w:eastAsia="Arial" w:hAnsi="Arial"/>
          <w:color w:val="595959"/>
          <w:sz w:val="20"/>
          <w:szCs w:val="20"/>
        </w:rPr>
        <w:t xml:space="preserve">Less than 80% ROW cleared at mobilization minus 30 days</w:t>
      </w:r>
    </w:p>
    <w:p>
      <w:pPr>
        <w:pStyle w:val="ListParagraph"/>
        <w:numPr>
          <w:ilvl w:val="0"/>
          <w:numId w:val="2"/>
        </w:numPr>
        <w:spacing w:after="40" w:before="40"/>
      </w:pPr>
      <w:r>
        <w:rPr>
          <w:rFonts w:ascii="Arial" w:cs="Arial" w:eastAsia="Arial" w:hAnsi="Arial"/>
          <w:color w:val="595959"/>
          <w:sz w:val="20"/>
          <w:szCs w:val="20"/>
        </w:rPr>
        <w:t xml:space="preserve">More than 3 utility conflicts per km unresolved</w:t>
      </w:r>
    </w:p>
    <w:p>
      <w:pPr>
        <w:pStyle w:val="ListParagraph"/>
        <w:numPr>
          <w:ilvl w:val="0"/>
          <w:numId w:val="2"/>
        </w:numPr>
        <w:spacing w:after="40" w:before="40"/>
      </w:pPr>
      <w:r>
        <w:rPr>
          <w:rFonts w:ascii="Arial" w:cs="Arial" w:eastAsia="Arial" w:hAnsi="Arial"/>
          <w:color w:val="595959"/>
          <w:sz w:val="20"/>
          <w:szCs w:val="20"/>
        </w:rPr>
        <w:t xml:space="preserve">Any litigation filed against LA award</w:t>
      </w:r>
    </w:p>
    <w:p>
      <w:pPr>
        <w:spacing w:after="80" w:before="60"/>
      </w:pPr>
      <w:r>
        <w:rPr>
          <w:rFonts w:ascii="Arial" w:cs="Arial" w:eastAsia="Arial" w:hAnsi="Arial"/>
          <w:color w:val="595959"/>
          <w:sz w:val="20"/>
          <w:szCs w:val="20"/>
        </w:rPr>
        <w:t xml:space="preserve"/>
      </w:r>
    </w:p>
    <w:p>
      <w:pPr>
        <w:pBdr>
          <w:bottom w:val="single" w:color="1F4E79" w:sz="8"/>
        </w:pBdr>
        <w:spacing w:after="80" w:before="80"/>
      </w:pPr>
    </w:p>
    <w:p>
      <w:pPr>
        <w:spacing w:after="80" w:before="60"/>
      </w:pPr>
      <w:r>
        <w:rPr>
          <w:rFonts w:ascii="Arial" w:cs="Arial" w:eastAsia="Arial" w:hAnsi="Arial"/>
          <w:color w:val="595959"/>
          <w:sz w:val="20"/>
          <w:szCs w:val="20"/>
        </w:rPr>
        <w:t xml:space="preserve"/>
      </w:r>
    </w:p>
    <w:p>
      <w:pPr>
        <w:pStyle w:val="Heading2"/>
        <w:spacing w:after="120" w:before="280"/>
      </w:pPr>
      <w:r>
        <w:rPr>
          <w:rFonts w:ascii="Arial" w:cs="Arial" w:eastAsia="Arial" w:hAnsi="Arial"/>
          <w:b/>
          <w:bCs/>
          <w:color w:val="2E5C8A"/>
          <w:sz w:val="28"/>
          <w:szCs w:val="28"/>
        </w:rPr>
        <w:t xml:space="preserve">4.2 Geological &amp; Geotechnical Risks</w:t>
      </w:r>
    </w:p>
    <w:p>
      <w:pPr>
        <w:spacing w:after="80" w:before="60"/>
      </w:pPr>
      <w:r>
        <w:rPr>
          <w:rFonts w:ascii="Arial" w:cs="Arial" w:eastAsia="Arial" w:hAnsi="Arial"/>
          <w:color w:val="595959"/>
          <w:sz w:val="20"/>
          <w:szCs w:val="20"/>
        </w:rPr>
        <w:t xml:space="preserve">Subsurface conditions different from those assumed during design are a perennial risk in NH projects, particularly in Rajasthan where hard rock strata, expansive soils (kota stone, black cotton soil zones), and unexpected groundwater can severely impact earthwork productivity and foundation design.</w:t>
      </w:r>
    </w:p>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1F6B75"/>
          <w:sz w:val="22"/>
          <w:szCs w:val="22"/>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60"/>
        <w:gridCol w:w="900"/>
        <w:gridCol w:w="1000"/>
        <w:gridCol w:w="1460"/>
        <w:gridCol w:w="1500"/>
        <w:gridCol w:w="1100"/>
        <w:gridCol w:w="1040"/>
      </w:tblGrid>
      <w:tr>
        <w:tc>
          <w:tcPr>
            <w:tcW w:type="dxa" w:w="9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ID</w:t>
            </w:r>
          </w:p>
        </w:tc>
        <w:tc>
          <w:tcPr>
            <w:tcW w:type="dxa" w:w="146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Title</w:t>
            </w:r>
          </w:p>
        </w:tc>
        <w:tc>
          <w:tcPr>
            <w:tcW w:type="dxa" w:w="9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Probability</w:t>
            </w:r>
          </w:p>
        </w:tc>
        <w:tc>
          <w:tcPr>
            <w:tcW w:type="dxa" w:w="10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Impact</w:t>
            </w:r>
          </w:p>
        </w:tc>
        <w:tc>
          <w:tcPr>
            <w:tcW w:type="dxa" w:w="146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Cost Impact</w:t>
            </w:r>
          </w:p>
        </w:tc>
        <w:tc>
          <w:tcPr>
            <w:tcW w:type="dxa" w:w="15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Schedule Impact</w:t>
            </w:r>
          </w:p>
        </w:tc>
        <w:tc>
          <w:tcPr>
            <w:tcW w:type="dxa" w:w="11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Rating</w:t>
            </w:r>
          </w:p>
        </w:tc>
        <w:tc>
          <w:tcPr>
            <w:tcW w:type="dxa" w:w="104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Phase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6B75"/>
                <w:sz w:val="18"/>
                <w:szCs w:val="18"/>
              </w:rPr>
              <w:t xml:space="preserve">RK-GEO-01</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Unexpected Rock Formation in Cut Sections</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₹50 Lakhs – 2 Cr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20–45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6B75"/>
                <w:sz w:val="18"/>
                <w:szCs w:val="18"/>
              </w:rPr>
              <w:t xml:space="preserve">RK-GEO-02</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Black Cotton / Expansive Soil Subgrade</w:t>
            </w:r>
          </w:p>
        </w:tc>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₹20–60 Lakhs</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10–30 days</w:t>
            </w:r>
          </w:p>
        </w:tc>
        <w:tc>
          <w:tcPr>
            <w:tcW w:type="dxa" w:w="1000"/>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c>
          <w:tcPr>
            <w:tcW w:type="dxa" w:w="10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6B75"/>
                <w:sz w:val="18"/>
                <w:szCs w:val="18"/>
              </w:rPr>
              <w:t xml:space="preserve">RK-GEO-03</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Groundwater Ingress in Embankment / Foundation Zone</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2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₹30–90 Lakhs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15–40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bl>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1F6B75"/>
          <w:sz w:val="22"/>
          <w:szCs w:val="22"/>
        </w:rPr>
        <w:t xml:space="preserve">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000"/>
        <w:gridCol w:w="2060"/>
      </w:tblGrid>
      <w:tr>
        <w:tc>
          <w:tcPr>
            <w:tcW w:type="dxa" w:w="11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Strategy</w:t>
            </w:r>
          </w:p>
        </w:tc>
        <w:tc>
          <w:tcPr>
            <w:tcW w:type="dxa" w:w="42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Mitigation Action</w:t>
            </w:r>
          </w:p>
        </w:tc>
        <w:tc>
          <w:tcPr>
            <w:tcW w:type="dxa" w:w="20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Responsible Owner</w:t>
            </w:r>
          </w:p>
        </w:tc>
        <w:tc>
          <w:tcPr>
            <w:tcW w:type="dxa" w:w="206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Timeline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375623"/>
                <w:sz w:val="18"/>
                <w:szCs w:val="18"/>
              </w:rPr>
              <w:t xml:space="preserve">Avoid</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Commission comprehensive sub-surface investigation at 500m intervals before finalization of design. Use seismic refraction surveys in suspected rock zones.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Design Consultant / PMC</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Pre-Construction</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Provide for rock excavation BOQ with blasting permits pre-arranged with district mining office. Stockpile lime/fly ash for soil stabilization.</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EPC Contractor</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Month 2–6</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Provide French drains, interceptor drains, and blanket drainage layers in high water table zones. Maintain groundwater level monitoring wells.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EPC Site Engineer</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Ongoing</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1F6B75"/>
                <w:sz w:val="18"/>
                <w:szCs w:val="18"/>
              </w:rPr>
              <w:t xml:space="preserve">Transfer</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Invoke price escalation provisions for excess rock exceeding threshold quantities defined in BOQ.</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Contracts Manager</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 Trigger</w:t>
            </w:r>
          </w:p>
        </w:tc>
      </w:tr>
    </w:tbl>
    <w:p>
      <w:pPr>
        <w:spacing w:after="80" w:before="60"/>
      </w:pPr>
      <w:r>
        <w:rPr>
          <w:rFonts w:ascii="Arial" w:cs="Arial" w:eastAsia="Arial" w:hAnsi="Arial"/>
          <w:color w:val="595959"/>
          <w:sz w:val="20"/>
          <w:szCs w:val="20"/>
        </w:rPr>
        <w:t xml:space="preserve"/>
      </w:r>
    </w:p>
    <w:p>
      <w:pPr>
        <w:spacing w:after="20" w:before="40"/>
      </w:pPr>
      <w:r>
        <w:rPr>
          <w:rFonts w:ascii="Arial" w:cs="Arial" w:eastAsia="Arial" w:hAnsi="Arial"/>
          <w:b/>
          <w:bCs/>
          <w:color w:val="1F6B75"/>
          <w:sz w:val="20"/>
          <w:szCs w:val="20"/>
        </w:rPr>
        <w:t xml:space="preserve">Early Warning Indicators:</w:t>
      </w:r>
    </w:p>
    <w:p>
      <w:pPr>
        <w:pStyle w:val="ListParagraph"/>
        <w:numPr>
          <w:ilvl w:val="0"/>
          <w:numId w:val="2"/>
        </w:numPr>
        <w:spacing w:after="40" w:before="40"/>
      </w:pPr>
      <w:r>
        <w:rPr>
          <w:rFonts w:ascii="Arial" w:cs="Arial" w:eastAsia="Arial" w:hAnsi="Arial"/>
          <w:color w:val="595959"/>
          <w:sz w:val="20"/>
          <w:szCs w:val="20"/>
        </w:rPr>
        <w:t xml:space="preserve">GI borehole data showing rock at less than 1.5m depth</w:t>
      </w:r>
    </w:p>
    <w:p>
      <w:pPr>
        <w:pStyle w:val="ListParagraph"/>
        <w:numPr>
          <w:ilvl w:val="0"/>
          <w:numId w:val="2"/>
        </w:numPr>
        <w:spacing w:after="40" w:before="40"/>
      </w:pPr>
      <w:r>
        <w:rPr>
          <w:rFonts w:ascii="Arial" w:cs="Arial" w:eastAsia="Arial" w:hAnsi="Arial"/>
          <w:color w:val="595959"/>
          <w:sz w:val="20"/>
          <w:szCs w:val="20"/>
        </w:rPr>
        <w:t xml:space="preserve">Field CBR below 2% in subgrade zone</w:t>
      </w:r>
    </w:p>
    <w:p>
      <w:pPr>
        <w:pStyle w:val="ListParagraph"/>
        <w:numPr>
          <w:ilvl w:val="0"/>
          <w:numId w:val="2"/>
        </w:numPr>
        <w:spacing w:after="40" w:before="40"/>
      </w:pPr>
      <w:r>
        <w:rPr>
          <w:rFonts w:ascii="Arial" w:cs="Arial" w:eastAsia="Arial" w:hAnsi="Arial"/>
          <w:color w:val="595959"/>
          <w:sz w:val="20"/>
          <w:szCs w:val="20"/>
        </w:rPr>
        <w:t xml:space="preserve">Groundwater level less than 2m below FGL in embankment zone</w:t>
      </w:r>
    </w:p>
    <w:p>
      <w:pPr>
        <w:spacing w:after="80" w:before="60"/>
      </w:pPr>
      <w:r>
        <w:rPr>
          <w:rFonts w:ascii="Arial" w:cs="Arial" w:eastAsia="Arial" w:hAnsi="Arial"/>
          <w:color w:val="595959"/>
          <w:sz w:val="20"/>
          <w:szCs w:val="20"/>
        </w:rPr>
        <w:t xml:space="preserve"/>
      </w:r>
    </w:p>
    <w:p>
      <w:pPr>
        <w:pBdr>
          <w:bottom w:val="single" w:color="1F6B75" w:sz="8"/>
        </w:pBdr>
        <w:spacing w:after="80" w:before="80"/>
      </w:pPr>
    </w:p>
    <w:p>
      <w:pPr>
        <w:spacing w:after="80" w:before="60"/>
      </w:pPr>
      <w:r>
        <w:rPr>
          <w:rFonts w:ascii="Arial" w:cs="Arial" w:eastAsia="Arial" w:hAnsi="Arial"/>
          <w:color w:val="595959"/>
          <w:sz w:val="20"/>
          <w:szCs w:val="20"/>
        </w:rPr>
        <w:t xml:space="preserve"/>
      </w:r>
    </w:p>
    <w:p>
      <w:pPr>
        <w:pStyle w:val="Heading2"/>
        <w:spacing w:after="120" w:before="280"/>
      </w:pPr>
      <w:r>
        <w:rPr>
          <w:rFonts w:ascii="Arial" w:cs="Arial" w:eastAsia="Arial" w:hAnsi="Arial"/>
          <w:b/>
          <w:bCs/>
          <w:color w:val="2E5C8A"/>
          <w:sz w:val="28"/>
          <w:szCs w:val="28"/>
        </w:rPr>
        <w:t xml:space="preserve">4.3 Monsoon &amp; Adverse Weather Risks</w:t>
      </w:r>
    </w:p>
    <w:p>
      <w:pPr>
        <w:spacing w:after="80" w:before="60"/>
      </w:pPr>
      <w:r>
        <w:rPr>
          <w:rFonts w:ascii="Arial" w:cs="Arial" w:eastAsia="Arial" w:hAnsi="Arial"/>
          <w:color w:val="595959"/>
          <w:sz w:val="20"/>
          <w:szCs w:val="20"/>
        </w:rPr>
        <w:t xml:space="preserve">The NH-48 Rajasthan corridor is subject to Southwest monsoon from July to September. Flash floods and desert weather extremes (dust storms, extreme heat) can suspend critical activities including earthwork, bituminous paving, and bridge concreting.</w:t>
      </w:r>
    </w:p>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2E5C8A"/>
          <w:sz w:val="22"/>
          <w:szCs w:val="22"/>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60"/>
        <w:gridCol w:w="900"/>
        <w:gridCol w:w="1000"/>
        <w:gridCol w:w="1460"/>
        <w:gridCol w:w="1500"/>
        <w:gridCol w:w="1100"/>
        <w:gridCol w:w="1040"/>
      </w:tblGrid>
      <w:tr>
        <w:tc>
          <w:tcPr>
            <w:tcW w:type="dxa" w:w="9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ID</w:t>
            </w:r>
          </w:p>
        </w:tc>
        <w:tc>
          <w:tcPr>
            <w:tcW w:type="dxa" w:w="146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Title</w:t>
            </w:r>
          </w:p>
        </w:tc>
        <w:tc>
          <w:tcPr>
            <w:tcW w:type="dxa" w:w="9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Probability</w:t>
            </w:r>
          </w:p>
        </w:tc>
        <w:tc>
          <w:tcPr>
            <w:tcW w:type="dxa" w:w="10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Impact</w:t>
            </w:r>
          </w:p>
        </w:tc>
        <w:tc>
          <w:tcPr>
            <w:tcW w:type="dxa" w:w="146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Cost Impact</w:t>
            </w:r>
          </w:p>
        </w:tc>
        <w:tc>
          <w:tcPr>
            <w:tcW w:type="dxa" w:w="15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Schedule Impact</w:t>
            </w:r>
          </w:p>
        </w:tc>
        <w:tc>
          <w:tcPr>
            <w:tcW w:type="dxa" w:w="11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Rating</w:t>
            </w:r>
          </w:p>
        </w:tc>
        <w:tc>
          <w:tcPr>
            <w:tcW w:type="dxa" w:w="104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Phase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2E5C8A"/>
                <w:sz w:val="18"/>
                <w:szCs w:val="18"/>
              </w:rPr>
              <w:t xml:space="preserve">RK-MW-01</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Monsoon Flooding of Work Sites / Embankments</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₹40–80 Lakhs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21–45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2E5C8A"/>
                <w:sz w:val="18"/>
                <w:szCs w:val="18"/>
              </w:rPr>
              <w:t xml:space="preserve">RK-MW-02</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Extreme Heat (&gt;45°C) Suspending Bituminous Paving</w:t>
            </w:r>
          </w:p>
        </w:tc>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₹10–25 Lakhs</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10–20 days</w:t>
            </w:r>
          </w:p>
        </w:tc>
        <w:tc>
          <w:tcPr>
            <w:tcW w:type="dxa" w:w="1000"/>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c>
          <w:tcPr>
            <w:tcW w:type="dxa" w:w="10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2E5C8A"/>
                <w:sz w:val="18"/>
                <w:szCs w:val="18"/>
              </w:rPr>
              <w:t xml:space="preserve">RK-MW-03</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Dust Storms (Andhi) Disrupting Operations</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2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₹5–15 Lakhs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3–7 days</w:t>
            </w:r>
          </w:p>
        </w:tc>
        <w:tc>
          <w:tcPr>
            <w:tcW w:type="dxa" w:w="1000"/>
            <w:tcBorders>
              <w:top w:val="single" w:color="AAAAAA" w:sz="4"/>
              <w:left w:val="single" w:color="AAAAAA" w:sz="4"/>
              <w:bottom w:val="single" w:color="AAAAAA" w:sz="4"/>
              <w:right w:val="single" w:color="AAAAAA"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LOW</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bl>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2E5C8A"/>
          <w:sz w:val="22"/>
          <w:szCs w:val="22"/>
        </w:rPr>
        <w:t xml:space="preserve">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000"/>
        <w:gridCol w:w="2060"/>
      </w:tblGrid>
      <w:tr>
        <w:tc>
          <w:tcPr>
            <w:tcW w:type="dxa" w:w="11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Strategy</w:t>
            </w:r>
          </w:p>
        </w:tc>
        <w:tc>
          <w:tcPr>
            <w:tcW w:type="dxa" w:w="42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Mitigation Action</w:t>
            </w:r>
          </w:p>
        </w:tc>
        <w:tc>
          <w:tcPr>
            <w:tcW w:type="dxa" w:w="20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Responsible Owner</w:t>
            </w:r>
          </w:p>
        </w:tc>
        <w:tc>
          <w:tcPr>
            <w:tcW w:type="dxa" w:w="206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Timeline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375623"/>
                <w:sz w:val="18"/>
                <w:szCs w:val="18"/>
              </w:rPr>
              <w:t xml:space="preserve">Avoid</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Schedule all earthwork and embankment filling to be completed by end of June. Maintain monsoon-free work schedule for critical earthwork.</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Planning Engineer</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Month 1–5</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Pre-position dewatering pumps (minimum 2 per active work front). Construct temporary berms and silt traps. Engage IMD 5-day weather advisory service.</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Site Manager</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Pre-Monsoon</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Shift bituminous paving to early morning operations (4 AM to 9 AM) during summer months to maintain mat temperature. Use high-viscosity VG-40 grade bitumen.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QC Engineer</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April–June</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595959"/>
                <w:sz w:val="18"/>
                <w:szCs w:val="18"/>
              </w:rPr>
              <w:t xml:space="preserve">Accept</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Maintain weather log and claim Force Majeure EOT provisions under contract for rainfall exceeding recorded 10-year average.</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Contracts Manager</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 Trigger</w:t>
            </w:r>
          </w:p>
        </w:tc>
      </w:tr>
    </w:tbl>
    <w:p>
      <w:pPr>
        <w:spacing w:after="80" w:before="60"/>
      </w:pPr>
      <w:r>
        <w:rPr>
          <w:rFonts w:ascii="Arial" w:cs="Arial" w:eastAsia="Arial" w:hAnsi="Arial"/>
          <w:color w:val="595959"/>
          <w:sz w:val="20"/>
          <w:szCs w:val="20"/>
        </w:rPr>
        <w:t xml:space="preserve"/>
      </w:r>
    </w:p>
    <w:p>
      <w:pPr>
        <w:spacing w:after="20" w:before="40"/>
      </w:pPr>
      <w:r>
        <w:rPr>
          <w:rFonts w:ascii="Arial" w:cs="Arial" w:eastAsia="Arial" w:hAnsi="Arial"/>
          <w:b/>
          <w:bCs/>
          <w:color w:val="2E5C8A"/>
          <w:sz w:val="20"/>
          <w:szCs w:val="20"/>
        </w:rPr>
        <w:t xml:space="preserve">Early Warning Indicators:</w:t>
      </w:r>
    </w:p>
    <w:p>
      <w:pPr>
        <w:pStyle w:val="ListParagraph"/>
        <w:numPr>
          <w:ilvl w:val="0"/>
          <w:numId w:val="2"/>
        </w:numPr>
        <w:spacing w:after="40" w:before="40"/>
      </w:pPr>
      <w:r>
        <w:rPr>
          <w:rFonts w:ascii="Arial" w:cs="Arial" w:eastAsia="Arial" w:hAnsi="Arial"/>
          <w:color w:val="595959"/>
          <w:sz w:val="20"/>
          <w:szCs w:val="20"/>
        </w:rPr>
        <w:t xml:space="preserve">IMD orange/red rainfall alert for project district</w:t>
      </w:r>
    </w:p>
    <w:p>
      <w:pPr>
        <w:pStyle w:val="ListParagraph"/>
        <w:numPr>
          <w:ilvl w:val="0"/>
          <w:numId w:val="2"/>
        </w:numPr>
        <w:spacing w:after="40" w:before="40"/>
      </w:pPr>
      <w:r>
        <w:rPr>
          <w:rFonts w:ascii="Arial" w:cs="Arial" w:eastAsia="Arial" w:hAnsi="Arial"/>
          <w:color w:val="595959"/>
          <w:sz w:val="20"/>
          <w:szCs w:val="20"/>
        </w:rPr>
        <w:t xml:space="preserve">River gauge at upstream bridge crossing exceeding 60% of HFL</w:t>
      </w:r>
    </w:p>
    <w:p>
      <w:pPr>
        <w:pStyle w:val="ListParagraph"/>
        <w:numPr>
          <w:ilvl w:val="0"/>
          <w:numId w:val="2"/>
        </w:numPr>
        <w:spacing w:after="40" w:before="40"/>
      </w:pPr>
      <w:r>
        <w:rPr>
          <w:rFonts w:ascii="Arial" w:cs="Arial" w:eastAsia="Arial" w:hAnsi="Arial"/>
          <w:color w:val="595959"/>
          <w:sz w:val="20"/>
          <w:szCs w:val="20"/>
        </w:rPr>
        <w:t xml:space="preserve">Temperature forecast exceeding 44°C for 3+ consecutive days</w:t>
      </w:r>
    </w:p>
    <w:p>
      <w:pPr>
        <w:spacing w:after="80" w:before="60"/>
      </w:pPr>
      <w:r>
        <w:rPr>
          <w:rFonts w:ascii="Arial" w:cs="Arial" w:eastAsia="Arial" w:hAnsi="Arial"/>
          <w:color w:val="595959"/>
          <w:sz w:val="20"/>
          <w:szCs w:val="20"/>
        </w:rPr>
        <w:t xml:space="preserve"/>
      </w:r>
    </w:p>
    <w:p>
      <w:pPr>
        <w:pBdr>
          <w:bottom w:val="single" w:color="2E5C8A" w:sz="8"/>
        </w:pBdr>
        <w:spacing w:after="80" w:before="80"/>
      </w:pPr>
    </w:p>
    <w:p>
      <w:pPr>
        <w:spacing w:after="80" w:before="60"/>
      </w:pPr>
      <w:r>
        <w:rPr>
          <w:rFonts w:ascii="Arial" w:cs="Arial" w:eastAsia="Arial" w:hAnsi="Arial"/>
          <w:color w:val="595959"/>
          <w:sz w:val="20"/>
          <w:szCs w:val="20"/>
        </w:rPr>
        <w:t xml:space="preserve"/>
      </w:r>
    </w:p>
    <w:p>
      <w:pPr>
        <w:pStyle w:val="Heading2"/>
        <w:spacing w:after="120" w:before="280"/>
      </w:pPr>
      <w:r>
        <w:rPr>
          <w:rFonts w:ascii="Arial" w:cs="Arial" w:eastAsia="Arial" w:hAnsi="Arial"/>
          <w:b/>
          <w:bCs/>
          <w:color w:val="2E5C8A"/>
          <w:sz w:val="28"/>
          <w:szCs w:val="28"/>
        </w:rPr>
        <w:t xml:space="preserve">4.4 Material Availability &amp; Price Escalation Risks</w:t>
      </w:r>
    </w:p>
    <w:p>
      <w:pPr>
        <w:spacing w:after="80" w:before="60"/>
      </w:pPr>
      <w:r>
        <w:rPr>
          <w:rFonts w:ascii="Arial" w:cs="Arial" w:eastAsia="Arial" w:hAnsi="Arial"/>
          <w:color w:val="595959"/>
          <w:sz w:val="20"/>
          <w:szCs w:val="20"/>
        </w:rPr>
        <w:t xml:space="preserve">Road construction is highly material-intensive. Volatility in bitumen, steel, cement, and aggregates — driven by global commodity cycles, GST amendments, OPEC decisions, and logistics disruptions — can severely impact project viability and contractor margins.</w:t>
      </w:r>
    </w:p>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C55A11"/>
          <w:sz w:val="22"/>
          <w:szCs w:val="22"/>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60"/>
        <w:gridCol w:w="900"/>
        <w:gridCol w:w="1000"/>
        <w:gridCol w:w="1460"/>
        <w:gridCol w:w="1500"/>
        <w:gridCol w:w="1100"/>
        <w:gridCol w:w="1040"/>
      </w:tblGrid>
      <w:tr>
        <w:tc>
          <w:tcPr>
            <w:tcW w:type="dxa" w:w="9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ID</w:t>
            </w:r>
          </w:p>
        </w:tc>
        <w:tc>
          <w:tcPr>
            <w:tcW w:type="dxa" w:w="146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Title</w:t>
            </w:r>
          </w:p>
        </w:tc>
        <w:tc>
          <w:tcPr>
            <w:tcW w:type="dxa" w:w="9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Probability</w:t>
            </w:r>
          </w:p>
        </w:tc>
        <w:tc>
          <w:tcPr>
            <w:tcW w:type="dxa" w:w="10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Impact</w:t>
            </w:r>
          </w:p>
        </w:tc>
        <w:tc>
          <w:tcPr>
            <w:tcW w:type="dxa" w:w="146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Cost Impact</w:t>
            </w:r>
          </w:p>
        </w:tc>
        <w:tc>
          <w:tcPr>
            <w:tcW w:type="dxa" w:w="15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Schedule Impact</w:t>
            </w:r>
          </w:p>
        </w:tc>
        <w:tc>
          <w:tcPr>
            <w:tcW w:type="dxa" w:w="11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Rating</w:t>
            </w:r>
          </w:p>
        </w:tc>
        <w:tc>
          <w:tcPr>
            <w:tcW w:type="dxa" w:w="104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Phase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C55A11"/>
                <w:sz w:val="18"/>
                <w:szCs w:val="18"/>
              </w:rPr>
              <w:t xml:space="preserve">RK-MAT-01</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Bitumen Price Escalation / Shortage</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₹80 Lakhs – 2.5 Cr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5–15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C55A11"/>
                <w:sz w:val="18"/>
                <w:szCs w:val="18"/>
              </w:rPr>
              <w:t xml:space="preserve">RK-MAT-02</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Steel / Reinforcement Non-Availability for Bridges</w:t>
            </w:r>
          </w:p>
        </w:tc>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2 / 5</w:t>
            </w:r>
          </w:p>
        </w:tc>
        <w:tc>
          <w:tcPr>
            <w:tcW w:type="dxa" w:w="1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₹60 Lakhs – 1.5 Cr</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10–30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C55A11"/>
                <w:sz w:val="18"/>
                <w:szCs w:val="18"/>
              </w:rPr>
              <w:t xml:space="preserve">RK-MAT-03</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Quarry Closure / Aggregate Shortage</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₹30–70 Lakhs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15–25 days</w:t>
            </w:r>
          </w:p>
        </w:tc>
        <w:tc>
          <w:tcPr>
            <w:tcW w:type="dxa" w:w="1000"/>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bl>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C55A11"/>
          <w:sz w:val="22"/>
          <w:szCs w:val="22"/>
        </w:rPr>
        <w:t xml:space="preserve">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000"/>
        <w:gridCol w:w="2060"/>
      </w:tblGrid>
      <w:tr>
        <w:tc>
          <w:tcPr>
            <w:tcW w:type="dxa" w:w="11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Strategy</w:t>
            </w:r>
          </w:p>
        </w:tc>
        <w:tc>
          <w:tcPr>
            <w:tcW w:type="dxa" w:w="42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Mitigation Action</w:t>
            </w:r>
          </w:p>
        </w:tc>
        <w:tc>
          <w:tcPr>
            <w:tcW w:type="dxa" w:w="20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Responsible Owner</w:t>
            </w:r>
          </w:p>
        </w:tc>
        <w:tc>
          <w:tcPr>
            <w:tcW w:type="dxa" w:w="206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Timeline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Procure bitumen on quarterly forward contracts from IOC/HPCL with contractual price lock. Maintain minimum 30-day buffer stock.</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Procurement Manager</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Month 1 onwards</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1F6B75"/>
                <w:sz w:val="18"/>
                <w:szCs w:val="18"/>
              </w:rPr>
              <w:t xml:space="preserve">Transfer</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Invoke NHAI price escalation formula (MOSRT&amp;H circular) for bitumen and steel exceeding 5% base price variation.</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Contracts Manager</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Per billing cycle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375623"/>
                <w:sz w:val="18"/>
                <w:szCs w:val="18"/>
              </w:rPr>
              <w:t xml:space="preserve">Avoid</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Identify at least 2 approved quarry sources per material category. Obtain advance approval from PMC for all material sources.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QC Manager</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Pre-Construction</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Utilize recycled asphalt pavement (RAP) up to 20% in bituminous base course where DPR permits. Explore pre-qualification of secondary aggregates.</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Design / QC</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 Trigger</w:t>
            </w:r>
          </w:p>
        </w:tc>
      </w:tr>
    </w:tbl>
    <w:p>
      <w:pPr>
        <w:spacing w:after="80" w:before="60"/>
      </w:pPr>
      <w:r>
        <w:rPr>
          <w:rFonts w:ascii="Arial" w:cs="Arial" w:eastAsia="Arial" w:hAnsi="Arial"/>
          <w:color w:val="595959"/>
          <w:sz w:val="20"/>
          <w:szCs w:val="20"/>
        </w:rPr>
        <w:t xml:space="preserve"/>
      </w:r>
    </w:p>
    <w:p>
      <w:pPr>
        <w:spacing w:after="20" w:before="40"/>
      </w:pPr>
      <w:r>
        <w:rPr>
          <w:rFonts w:ascii="Arial" w:cs="Arial" w:eastAsia="Arial" w:hAnsi="Arial"/>
          <w:b/>
          <w:bCs/>
          <w:color w:val="C55A11"/>
          <w:sz w:val="20"/>
          <w:szCs w:val="20"/>
        </w:rPr>
        <w:t xml:space="preserve">Early Warning Indicators:</w:t>
      </w:r>
    </w:p>
    <w:p>
      <w:pPr>
        <w:pStyle w:val="ListParagraph"/>
        <w:numPr>
          <w:ilvl w:val="0"/>
          <w:numId w:val="2"/>
        </w:numPr>
        <w:spacing w:after="40" w:before="40"/>
      </w:pPr>
      <w:r>
        <w:rPr>
          <w:rFonts w:ascii="Arial" w:cs="Arial" w:eastAsia="Arial" w:hAnsi="Arial"/>
          <w:color w:val="595959"/>
          <w:sz w:val="20"/>
          <w:szCs w:val="20"/>
        </w:rPr>
        <w:t xml:space="preserve">Bitumen price variance greater than 8% MoM on IOC schedule</w:t>
      </w:r>
    </w:p>
    <w:p>
      <w:pPr>
        <w:pStyle w:val="ListParagraph"/>
        <w:numPr>
          <w:ilvl w:val="0"/>
          <w:numId w:val="2"/>
        </w:numPr>
        <w:spacing w:after="40" w:before="40"/>
      </w:pPr>
      <w:r>
        <w:rPr>
          <w:rFonts w:ascii="Arial" w:cs="Arial" w:eastAsia="Arial" w:hAnsi="Arial"/>
          <w:color w:val="595959"/>
          <w:sz w:val="20"/>
          <w:szCs w:val="20"/>
        </w:rPr>
        <w:t xml:space="preserve">Any quarry receiving show-cause or closure notice from district mining authority</w:t>
      </w:r>
    </w:p>
    <w:p>
      <w:pPr>
        <w:pStyle w:val="ListParagraph"/>
        <w:numPr>
          <w:ilvl w:val="0"/>
          <w:numId w:val="2"/>
        </w:numPr>
        <w:spacing w:after="40" w:before="40"/>
      </w:pPr>
      <w:r>
        <w:rPr>
          <w:rFonts w:ascii="Arial" w:cs="Arial" w:eastAsia="Arial" w:hAnsi="Arial"/>
          <w:color w:val="595959"/>
          <w:sz w:val="20"/>
          <w:szCs w:val="20"/>
        </w:rPr>
        <w:t xml:space="preserve">National steel price index exceeding 10% above base month</w:t>
      </w:r>
    </w:p>
    <w:p>
      <w:pPr>
        <w:spacing w:after="80" w:before="60"/>
      </w:pPr>
      <w:r>
        <w:rPr>
          <w:rFonts w:ascii="Arial" w:cs="Arial" w:eastAsia="Arial" w:hAnsi="Arial"/>
          <w:color w:val="595959"/>
          <w:sz w:val="20"/>
          <w:szCs w:val="20"/>
        </w:rPr>
        <w:t xml:space="preserve"/>
      </w:r>
    </w:p>
    <w:p>
      <w:pPr>
        <w:pBdr>
          <w:bottom w:val="single" w:color="C55A11" w:sz="8"/>
        </w:pBdr>
        <w:spacing w:after="80" w:before="80"/>
      </w:pPr>
    </w:p>
    <w:p>
      <w:pPr>
        <w:spacing w:after="80" w:before="60"/>
      </w:pPr>
      <w:r>
        <w:rPr>
          <w:rFonts w:ascii="Arial" w:cs="Arial" w:eastAsia="Arial" w:hAnsi="Arial"/>
          <w:color w:val="595959"/>
          <w:sz w:val="20"/>
          <w:szCs w:val="20"/>
        </w:rPr>
        <w:t xml:space="preserve"/>
      </w:r>
    </w:p>
    <w:p>
      <w:pPr>
        <w:pStyle w:val="Heading2"/>
        <w:spacing w:after="120" w:before="280"/>
      </w:pPr>
      <w:r>
        <w:rPr>
          <w:rFonts w:ascii="Arial" w:cs="Arial" w:eastAsia="Arial" w:hAnsi="Arial"/>
          <w:b/>
          <w:bCs/>
          <w:color w:val="2E5C8A"/>
          <w:sz w:val="28"/>
          <w:szCs w:val="28"/>
        </w:rPr>
        <w:t xml:space="preserve">4.5 Labour &amp; Equipment Risks</w:t>
      </w:r>
    </w:p>
    <w:p>
      <w:pPr>
        <w:spacing w:after="80" w:before="60"/>
      </w:pPr>
      <w:r>
        <w:rPr>
          <w:rFonts w:ascii="Arial" w:cs="Arial" w:eastAsia="Arial" w:hAnsi="Arial"/>
          <w:color w:val="595959"/>
          <w:sz w:val="20"/>
          <w:szCs w:val="20"/>
        </w:rPr>
        <w:t xml:space="preserve">Availability of skilled and unskilled labour — particularly in remote NH corridors — and equipment reliability are critical to maintaining productivity targets. Labour law compliance, migrant worker welfare, and equipment breakdown management are key sub-risks.</w:t>
      </w:r>
    </w:p>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1F4E79"/>
          <w:sz w:val="22"/>
          <w:szCs w:val="22"/>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60"/>
        <w:gridCol w:w="900"/>
        <w:gridCol w:w="1000"/>
        <w:gridCol w:w="1460"/>
        <w:gridCol w:w="1500"/>
        <w:gridCol w:w="1100"/>
        <w:gridCol w:w="1040"/>
      </w:tblGrid>
      <w:tr>
        <w:tc>
          <w:tcPr>
            <w:tcW w:type="dxa" w:w="9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ID</w:t>
            </w:r>
          </w:p>
        </w:tc>
        <w:tc>
          <w:tcPr>
            <w:tcW w:type="dxa" w:w="146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Title</w:t>
            </w:r>
          </w:p>
        </w:tc>
        <w:tc>
          <w:tcPr>
            <w:tcW w:type="dxa" w:w="9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Probability</w:t>
            </w:r>
          </w:p>
        </w:tc>
        <w:tc>
          <w:tcPr>
            <w:tcW w:type="dxa" w:w="10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Impact</w:t>
            </w:r>
          </w:p>
        </w:tc>
        <w:tc>
          <w:tcPr>
            <w:tcW w:type="dxa" w:w="146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Cost Impact</w:t>
            </w:r>
          </w:p>
        </w:tc>
        <w:tc>
          <w:tcPr>
            <w:tcW w:type="dxa" w:w="15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Schedule Impact</w:t>
            </w:r>
          </w:p>
        </w:tc>
        <w:tc>
          <w:tcPr>
            <w:tcW w:type="dxa" w:w="11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Rating</w:t>
            </w:r>
          </w:p>
        </w:tc>
        <w:tc>
          <w:tcPr>
            <w:tcW w:type="dxa" w:w="104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Phase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4E79"/>
                <w:sz w:val="18"/>
                <w:szCs w:val="18"/>
              </w:rPr>
              <w:t xml:space="preserve">RK-LAB-01</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Labour Shortage / Seasonal Migration</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₹20–50 Lakhs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15–30 days</w:t>
            </w:r>
          </w:p>
        </w:tc>
        <w:tc>
          <w:tcPr>
            <w:tcW w:type="dxa" w:w="1000"/>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4E79"/>
                <w:sz w:val="18"/>
                <w:szCs w:val="18"/>
              </w:rPr>
              <w:t xml:space="preserve">RK-LAB-02</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Labour Unrest / Strike</w:t>
            </w:r>
          </w:p>
        </w:tc>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2 / 5</w:t>
            </w:r>
          </w:p>
        </w:tc>
        <w:tc>
          <w:tcPr>
            <w:tcW w:type="dxa" w:w="1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₹40–1.2 Cr</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5–30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4E79"/>
                <w:sz w:val="18"/>
                <w:szCs w:val="18"/>
              </w:rPr>
              <w:t xml:space="preserve">RK-LAB-03</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Critical Equipment Breakdown (Motor Grader, Paver, Roller)</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₹15–40 Lakhs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5–15 days</w:t>
            </w:r>
          </w:p>
        </w:tc>
        <w:tc>
          <w:tcPr>
            <w:tcW w:type="dxa" w:w="1000"/>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bl>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1F4E79"/>
          <w:sz w:val="22"/>
          <w:szCs w:val="22"/>
        </w:rPr>
        <w:t xml:space="preserve">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000"/>
        <w:gridCol w:w="2060"/>
      </w:tblGrid>
      <w:tr>
        <w:tc>
          <w:tcPr>
            <w:tcW w:type="dxa" w:w="11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Strategy</w:t>
            </w:r>
          </w:p>
        </w:tc>
        <w:tc>
          <w:tcPr>
            <w:tcW w:type="dxa" w:w="42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Mitigation Action</w:t>
            </w:r>
          </w:p>
        </w:tc>
        <w:tc>
          <w:tcPr>
            <w:tcW w:type="dxa" w:w="20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Responsible Owner</w:t>
            </w:r>
          </w:p>
        </w:tc>
        <w:tc>
          <w:tcPr>
            <w:tcW w:type="dxa" w:w="206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Timeline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Engage minimum 2 registered labour contractors from Rajasthan, UP, and Odisha. Provide dignified camp facilities, ESIC/PF coverage, and contract wage transparency.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HR / Admin Manager</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Month 1</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375623"/>
                <w:sz w:val="18"/>
                <w:szCs w:val="18"/>
              </w:rPr>
              <w:t xml:space="preserve">Avoid</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Implement Grievance Redressal Mechanism with 24-hour hotline. Conduct fortnightly labour welfare meetings. Ensure timely wage disbursement via DBT.</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Labour Welfare Officer</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Ongoing</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Maintain AMC agreements with OEM for all critical equipment. Pre-position minimum 15% spare critical components (slat conveyor, vibration drum bearings). Identify and empanel 2 local equipment hire agencies.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Plant &amp; Machinery Manager</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Month 1 onwards</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1F6B75"/>
                <w:sz w:val="18"/>
                <w:szCs w:val="18"/>
              </w:rPr>
              <w:t xml:space="preserve">Transfer</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Obtain Contractors' All Risk (CAR) insurance and Equipment Breakdown insurance for all plant above Rs. 25 Lakhs in value.</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Finance / Insurance</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Pre-Mobilization</w:t>
            </w:r>
          </w:p>
        </w:tc>
      </w:tr>
    </w:tbl>
    <w:p>
      <w:pPr>
        <w:spacing w:after="80" w:before="60"/>
      </w:pPr>
      <w:r>
        <w:rPr>
          <w:rFonts w:ascii="Arial" w:cs="Arial" w:eastAsia="Arial" w:hAnsi="Arial"/>
          <w:color w:val="595959"/>
          <w:sz w:val="20"/>
          <w:szCs w:val="20"/>
        </w:rPr>
        <w:t xml:space="preserve"/>
      </w:r>
    </w:p>
    <w:p>
      <w:pPr>
        <w:spacing w:after="20" w:before="40"/>
      </w:pPr>
      <w:r>
        <w:rPr>
          <w:rFonts w:ascii="Arial" w:cs="Arial" w:eastAsia="Arial" w:hAnsi="Arial"/>
          <w:b/>
          <w:bCs/>
          <w:color w:val="1F4E79"/>
          <w:sz w:val="20"/>
          <w:szCs w:val="20"/>
        </w:rPr>
        <w:t xml:space="preserve">Early Warning Indicators:</w:t>
      </w:r>
    </w:p>
    <w:p>
      <w:pPr>
        <w:pStyle w:val="ListParagraph"/>
        <w:numPr>
          <w:ilvl w:val="0"/>
          <w:numId w:val="2"/>
        </w:numPr>
        <w:spacing w:after="40" w:before="40"/>
      </w:pPr>
      <w:r>
        <w:rPr>
          <w:rFonts w:ascii="Arial" w:cs="Arial" w:eastAsia="Arial" w:hAnsi="Arial"/>
          <w:color w:val="595959"/>
          <w:sz w:val="20"/>
          <w:szCs w:val="20"/>
        </w:rPr>
        <w:t xml:space="preserve">Daily labour attendance below 75% of planned deployment for 3 consecutive days</w:t>
      </w:r>
    </w:p>
    <w:p>
      <w:pPr>
        <w:pStyle w:val="ListParagraph"/>
        <w:numPr>
          <w:ilvl w:val="0"/>
          <w:numId w:val="2"/>
        </w:numPr>
        <w:spacing w:after="40" w:before="40"/>
      </w:pPr>
      <w:r>
        <w:rPr>
          <w:rFonts w:ascii="Arial" w:cs="Arial" w:eastAsia="Arial" w:hAnsi="Arial"/>
          <w:color w:val="595959"/>
          <w:sz w:val="20"/>
          <w:szCs w:val="20"/>
        </w:rPr>
        <w:t xml:space="preserve">Any written complaint submitted to Labour Commissioner</w:t>
      </w:r>
    </w:p>
    <w:p>
      <w:pPr>
        <w:pStyle w:val="ListParagraph"/>
        <w:numPr>
          <w:ilvl w:val="0"/>
          <w:numId w:val="2"/>
        </w:numPr>
        <w:spacing w:after="40" w:before="40"/>
      </w:pPr>
      <w:r>
        <w:rPr>
          <w:rFonts w:ascii="Arial" w:cs="Arial" w:eastAsia="Arial" w:hAnsi="Arial"/>
          <w:color w:val="595959"/>
          <w:sz w:val="20"/>
          <w:szCs w:val="20"/>
        </w:rPr>
        <w:t xml:space="preserve">Equipment utilization rate below 60% for critical plant</w:t>
      </w:r>
    </w:p>
    <w:p>
      <w:pPr>
        <w:spacing w:after="80" w:before="60"/>
      </w:pPr>
      <w:r>
        <w:rPr>
          <w:rFonts w:ascii="Arial" w:cs="Arial" w:eastAsia="Arial" w:hAnsi="Arial"/>
          <w:color w:val="595959"/>
          <w:sz w:val="20"/>
          <w:szCs w:val="20"/>
        </w:rPr>
        <w:t xml:space="preserve"/>
      </w:r>
    </w:p>
    <w:p>
      <w:pPr>
        <w:pBdr>
          <w:bottom w:val="single" w:color="1F4E79" w:sz="8"/>
        </w:pBdr>
        <w:spacing w:after="80" w:before="80"/>
      </w:pPr>
    </w:p>
    <w:p>
      <w:pPr>
        <w:spacing w:after="80" w:before="60"/>
      </w:pPr>
      <w:r>
        <w:rPr>
          <w:rFonts w:ascii="Arial" w:cs="Arial" w:eastAsia="Arial" w:hAnsi="Arial"/>
          <w:color w:val="595959"/>
          <w:sz w:val="20"/>
          <w:szCs w:val="20"/>
        </w:rPr>
        <w:t xml:space="preserve"/>
      </w:r>
    </w:p>
    <w:p>
      <w:pPr>
        <w:pStyle w:val="Heading2"/>
        <w:spacing w:after="120" w:before="280"/>
      </w:pPr>
      <w:r>
        <w:rPr>
          <w:rFonts w:ascii="Arial" w:cs="Arial" w:eastAsia="Arial" w:hAnsi="Arial"/>
          <w:b/>
          <w:bCs/>
          <w:color w:val="2E5C8A"/>
          <w:sz w:val="28"/>
          <w:szCs w:val="28"/>
        </w:rPr>
        <w:t xml:space="preserve">4.6 Environmental &amp; Forest Clearance Risks</w:t>
      </w:r>
    </w:p>
    <w:p>
      <w:pPr>
        <w:spacing w:after="80" w:before="60"/>
      </w:pPr>
      <w:r>
        <w:rPr>
          <w:rFonts w:ascii="Arial" w:cs="Arial" w:eastAsia="Arial" w:hAnsi="Arial"/>
          <w:color w:val="595959"/>
          <w:sz w:val="20"/>
          <w:szCs w:val="20"/>
        </w:rPr>
        <w:t xml:space="preserve">Projects traversing or adjoining forest/wildlife zones in Rajasthan require Stage-I and Stage-II Forest Clearance under the Forest Conservation Act 1980. Non-compliance with EMP conditions, wildlife crossings, or tree felling orders can trigger work stoppage orders and litigation.</w:t>
      </w:r>
    </w:p>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1F6B75"/>
          <w:sz w:val="22"/>
          <w:szCs w:val="22"/>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60"/>
        <w:gridCol w:w="900"/>
        <w:gridCol w:w="1000"/>
        <w:gridCol w:w="1460"/>
        <w:gridCol w:w="1500"/>
        <w:gridCol w:w="1100"/>
        <w:gridCol w:w="1040"/>
      </w:tblGrid>
      <w:tr>
        <w:tc>
          <w:tcPr>
            <w:tcW w:type="dxa" w:w="9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ID</w:t>
            </w:r>
          </w:p>
        </w:tc>
        <w:tc>
          <w:tcPr>
            <w:tcW w:type="dxa" w:w="146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Title</w:t>
            </w:r>
          </w:p>
        </w:tc>
        <w:tc>
          <w:tcPr>
            <w:tcW w:type="dxa" w:w="9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Probability</w:t>
            </w:r>
          </w:p>
        </w:tc>
        <w:tc>
          <w:tcPr>
            <w:tcW w:type="dxa" w:w="10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Impact</w:t>
            </w:r>
          </w:p>
        </w:tc>
        <w:tc>
          <w:tcPr>
            <w:tcW w:type="dxa" w:w="146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Cost Impact</w:t>
            </w:r>
          </w:p>
        </w:tc>
        <w:tc>
          <w:tcPr>
            <w:tcW w:type="dxa" w:w="15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Schedule Impact</w:t>
            </w:r>
          </w:p>
        </w:tc>
        <w:tc>
          <w:tcPr>
            <w:tcW w:type="dxa" w:w="11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Rating</w:t>
            </w:r>
          </w:p>
        </w:tc>
        <w:tc>
          <w:tcPr>
            <w:tcW w:type="dxa" w:w="104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Phase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6B75"/>
                <w:sz w:val="18"/>
                <w:szCs w:val="18"/>
              </w:rPr>
              <w:t xml:space="preserve">RK-ENV-01</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Delay in Forest / Wildlife Clearance</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5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₹1–3 Cr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90–180 days</w:t>
            </w:r>
          </w:p>
        </w:tc>
        <w:tc>
          <w:tcPr>
            <w:tcW w:type="dxa" w:w="1000"/>
            <w:tcBorders>
              <w:top w:val="single" w:color="AAAAAA" w:sz="4"/>
              <w:left w:val="single" w:color="AAAAAA" w:sz="4"/>
              <w:bottom w:val="single" w:color="AAAAAA" w:sz="4"/>
              <w:right w:val="single" w:color="AAAAAA"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CRITICAL</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6B75"/>
                <w:sz w:val="18"/>
                <w:szCs w:val="18"/>
              </w:rPr>
              <w:t xml:space="preserve">RK-ENV-02</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Non-Compliance with EMP / ESMP Conditions</w:t>
            </w:r>
          </w:p>
        </w:tc>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2 / 5</w:t>
            </w:r>
          </w:p>
        </w:tc>
        <w:tc>
          <w:tcPr>
            <w:tcW w:type="dxa" w:w="1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₹30–80 Lakhs</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15–30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6B75"/>
                <w:sz w:val="18"/>
                <w:szCs w:val="18"/>
              </w:rPr>
              <w:t xml:space="preserve">RK-ENV-03</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Discovery of Archaeological / Heritage Assets in Excavation</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1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5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₹50 Lakhs – 2 Cr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30–180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bl>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1F6B75"/>
          <w:sz w:val="22"/>
          <w:szCs w:val="22"/>
        </w:rPr>
        <w:t xml:space="preserve">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000"/>
        <w:gridCol w:w="2060"/>
      </w:tblGrid>
      <w:tr>
        <w:tc>
          <w:tcPr>
            <w:tcW w:type="dxa" w:w="11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Strategy</w:t>
            </w:r>
          </w:p>
        </w:tc>
        <w:tc>
          <w:tcPr>
            <w:tcW w:type="dxa" w:w="42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Mitigation Action</w:t>
            </w:r>
          </w:p>
        </w:tc>
        <w:tc>
          <w:tcPr>
            <w:tcW w:type="dxa" w:w="20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Responsible Owner</w:t>
            </w:r>
          </w:p>
        </w:tc>
        <w:tc>
          <w:tcPr>
            <w:tcW w:type="dxa" w:w="206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Timeline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375623"/>
                <w:sz w:val="18"/>
                <w:szCs w:val="18"/>
              </w:rPr>
              <w:t xml:space="preserve">Avoid</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Initiate forest diversion proposals and wildlife NOC applications minimum 24 months before project mobilization. Engage MoEFCC-empanelled consultant for EIA.</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NHAI / PMC Environment</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Pre-Award</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Establish Environment &amp; Social Management Unit on site with dedicated Environment Officer. Conduct monthly EMP compliance audits and submit quarterly DEIAA reports.</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Environment Officer</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Ongoing</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Conduct preliminary archaeological survey along alignment in collaboration with ASI. Include contingency clause in construction schedule for heritage zone encounters.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PMC / Design</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Pre-Construction</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1F6B75"/>
                <w:sz w:val="18"/>
                <w:szCs w:val="18"/>
              </w:rPr>
              <w:t xml:space="preserve">Transfer</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Forest clearance condition remains NHAI's responsibility under EPC contract. Claim EOT and additional costs for delays attributable to NHAI obligations.</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Contracts Manager</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 Trigger</w:t>
            </w:r>
          </w:p>
        </w:tc>
      </w:tr>
    </w:tbl>
    <w:p>
      <w:pPr>
        <w:spacing w:after="80" w:before="60"/>
      </w:pPr>
      <w:r>
        <w:rPr>
          <w:rFonts w:ascii="Arial" w:cs="Arial" w:eastAsia="Arial" w:hAnsi="Arial"/>
          <w:color w:val="595959"/>
          <w:sz w:val="20"/>
          <w:szCs w:val="20"/>
        </w:rPr>
        <w:t xml:space="preserve"/>
      </w:r>
    </w:p>
    <w:p>
      <w:pPr>
        <w:spacing w:after="20" w:before="40"/>
      </w:pPr>
      <w:r>
        <w:rPr>
          <w:rFonts w:ascii="Arial" w:cs="Arial" w:eastAsia="Arial" w:hAnsi="Arial"/>
          <w:b/>
          <w:bCs/>
          <w:color w:val="1F6B75"/>
          <w:sz w:val="20"/>
          <w:szCs w:val="20"/>
        </w:rPr>
        <w:t xml:space="preserve">Early Warning Indicators:</w:t>
      </w:r>
    </w:p>
    <w:p>
      <w:pPr>
        <w:pStyle w:val="ListParagraph"/>
        <w:numPr>
          <w:ilvl w:val="0"/>
          <w:numId w:val="2"/>
        </w:numPr>
        <w:spacing w:after="40" w:before="40"/>
      </w:pPr>
      <w:r>
        <w:rPr>
          <w:rFonts w:ascii="Arial" w:cs="Arial" w:eastAsia="Arial" w:hAnsi="Arial"/>
          <w:color w:val="595959"/>
          <w:sz w:val="20"/>
          <w:szCs w:val="20"/>
        </w:rPr>
        <w:t xml:space="preserve">Any green bench petition filed against the project in NGT</w:t>
      </w:r>
    </w:p>
    <w:p>
      <w:pPr>
        <w:pStyle w:val="ListParagraph"/>
        <w:numPr>
          <w:ilvl w:val="0"/>
          <w:numId w:val="2"/>
        </w:numPr>
        <w:spacing w:after="40" w:before="40"/>
      </w:pPr>
      <w:r>
        <w:rPr>
          <w:rFonts w:ascii="Arial" w:cs="Arial" w:eastAsia="Arial" w:hAnsi="Arial"/>
          <w:color w:val="595959"/>
          <w:sz w:val="20"/>
          <w:szCs w:val="20"/>
        </w:rPr>
        <w:t xml:space="preserve">MoEFCC inspection notice received</w:t>
      </w:r>
    </w:p>
    <w:p>
      <w:pPr>
        <w:pStyle w:val="ListParagraph"/>
        <w:numPr>
          <w:ilvl w:val="0"/>
          <w:numId w:val="2"/>
        </w:numPr>
        <w:spacing w:after="40" w:before="40"/>
      </w:pPr>
      <w:r>
        <w:rPr>
          <w:rFonts w:ascii="Arial" w:cs="Arial" w:eastAsia="Arial" w:hAnsi="Arial"/>
          <w:color w:val="595959"/>
          <w:sz w:val="20"/>
          <w:szCs w:val="20"/>
        </w:rPr>
        <w:t xml:space="preserve">Tree felling more than 15 days behind schedule</w:t>
      </w:r>
    </w:p>
    <w:p>
      <w:pPr>
        <w:spacing w:after="80" w:before="60"/>
      </w:pPr>
      <w:r>
        <w:rPr>
          <w:rFonts w:ascii="Arial" w:cs="Arial" w:eastAsia="Arial" w:hAnsi="Arial"/>
          <w:color w:val="595959"/>
          <w:sz w:val="20"/>
          <w:szCs w:val="20"/>
        </w:rPr>
        <w:t xml:space="preserve"/>
      </w:r>
    </w:p>
    <w:p>
      <w:pPr>
        <w:pBdr>
          <w:bottom w:val="single" w:color="1F6B75" w:sz="8"/>
        </w:pBdr>
        <w:spacing w:after="80" w:before="80"/>
      </w:pPr>
    </w:p>
    <w:p>
      <w:pPr>
        <w:spacing w:after="80" w:before="60"/>
      </w:pPr>
      <w:r>
        <w:rPr>
          <w:rFonts w:ascii="Arial" w:cs="Arial" w:eastAsia="Arial" w:hAnsi="Arial"/>
          <w:color w:val="595959"/>
          <w:sz w:val="20"/>
          <w:szCs w:val="20"/>
        </w:rPr>
        <w:t xml:space="preserve"/>
      </w:r>
    </w:p>
    <w:p>
      <w:pPr>
        <w:pStyle w:val="Heading2"/>
        <w:spacing w:after="120" w:before="280"/>
      </w:pPr>
      <w:r>
        <w:rPr>
          <w:rFonts w:ascii="Arial" w:cs="Arial" w:eastAsia="Arial" w:hAnsi="Arial"/>
          <w:b/>
          <w:bCs/>
          <w:color w:val="2E5C8A"/>
          <w:sz w:val="28"/>
          <w:szCs w:val="28"/>
        </w:rPr>
        <w:t xml:space="preserve">4.7 Financial &amp; Contractor Default Risks</w:t>
      </w:r>
    </w:p>
    <w:p>
      <w:pPr>
        <w:spacing w:after="80" w:before="60"/>
      </w:pPr>
      <w:r>
        <w:rPr>
          <w:rFonts w:ascii="Arial" w:cs="Arial" w:eastAsia="Arial" w:hAnsi="Arial"/>
          <w:color w:val="595959"/>
          <w:sz w:val="20"/>
          <w:szCs w:val="20"/>
        </w:rPr>
        <w:t xml:space="preserve">Contractor financial distress — arising from delayed payments, inadequate working capital, or over-leveraged balance sheets — can cause project abandonment, quality compromise, and subcontractor cascading failures. This is increasingly prevalent in large NH EPC contracts in India.</w:t>
      </w:r>
    </w:p>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C00000"/>
          <w:sz w:val="22"/>
          <w:szCs w:val="22"/>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60"/>
        <w:gridCol w:w="900"/>
        <w:gridCol w:w="1000"/>
        <w:gridCol w:w="1460"/>
        <w:gridCol w:w="1500"/>
        <w:gridCol w:w="1100"/>
        <w:gridCol w:w="1040"/>
      </w:tblGrid>
      <w:tr>
        <w:tc>
          <w:tcPr>
            <w:tcW w:type="dxa" w:w="900"/>
            <w:gridSpan w:val="1"/>
            <w:tcBorders>
              <w:top w:val="single" w:color="AAAAAA" w:sz="4"/>
              <w:left w:val="single" w:color="AAAAAA" w:sz="4"/>
              <w:bottom w:val="single" w:color="AAAAAA" w:sz="4"/>
              <w:right w:val="single" w:color="AAAAAA" w:sz="4"/>
            </w:tcBorders>
            <w:shd w:fill="C00000"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ID</w:t>
            </w:r>
          </w:p>
        </w:tc>
        <w:tc>
          <w:tcPr>
            <w:tcW w:type="dxa" w:w="1460"/>
            <w:gridSpan w:val="1"/>
            <w:tcBorders>
              <w:top w:val="single" w:color="AAAAAA" w:sz="4"/>
              <w:left w:val="single" w:color="AAAAAA" w:sz="4"/>
              <w:bottom w:val="single" w:color="AAAAAA" w:sz="4"/>
              <w:right w:val="single" w:color="AAAAAA" w:sz="4"/>
            </w:tcBorders>
            <w:shd w:fill="C00000"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Title</w:t>
            </w:r>
          </w:p>
        </w:tc>
        <w:tc>
          <w:tcPr>
            <w:tcW w:type="dxa" w:w="900"/>
            <w:gridSpan w:val="1"/>
            <w:tcBorders>
              <w:top w:val="single" w:color="AAAAAA" w:sz="4"/>
              <w:left w:val="single" w:color="AAAAAA" w:sz="4"/>
              <w:bottom w:val="single" w:color="AAAAAA" w:sz="4"/>
              <w:right w:val="single" w:color="AAAAAA" w:sz="4"/>
            </w:tcBorders>
            <w:shd w:fill="C00000"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Probability</w:t>
            </w:r>
          </w:p>
        </w:tc>
        <w:tc>
          <w:tcPr>
            <w:tcW w:type="dxa" w:w="1000"/>
            <w:gridSpan w:val="1"/>
            <w:tcBorders>
              <w:top w:val="single" w:color="AAAAAA" w:sz="4"/>
              <w:left w:val="single" w:color="AAAAAA" w:sz="4"/>
              <w:bottom w:val="single" w:color="AAAAAA" w:sz="4"/>
              <w:right w:val="single" w:color="AAAAAA" w:sz="4"/>
            </w:tcBorders>
            <w:shd w:fill="C00000"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Impact</w:t>
            </w:r>
          </w:p>
        </w:tc>
        <w:tc>
          <w:tcPr>
            <w:tcW w:type="dxa" w:w="1460"/>
            <w:gridSpan w:val="1"/>
            <w:tcBorders>
              <w:top w:val="single" w:color="AAAAAA" w:sz="4"/>
              <w:left w:val="single" w:color="AAAAAA" w:sz="4"/>
              <w:bottom w:val="single" w:color="AAAAAA" w:sz="4"/>
              <w:right w:val="single" w:color="AAAAAA" w:sz="4"/>
            </w:tcBorders>
            <w:shd w:fill="C00000"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Cost Impact</w:t>
            </w:r>
          </w:p>
        </w:tc>
        <w:tc>
          <w:tcPr>
            <w:tcW w:type="dxa" w:w="1500"/>
            <w:gridSpan w:val="1"/>
            <w:tcBorders>
              <w:top w:val="single" w:color="AAAAAA" w:sz="4"/>
              <w:left w:val="single" w:color="AAAAAA" w:sz="4"/>
              <w:bottom w:val="single" w:color="AAAAAA" w:sz="4"/>
              <w:right w:val="single" w:color="AAAAAA" w:sz="4"/>
            </w:tcBorders>
            <w:shd w:fill="C00000"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Schedule Impact</w:t>
            </w:r>
          </w:p>
        </w:tc>
        <w:tc>
          <w:tcPr>
            <w:tcW w:type="dxa" w:w="1100"/>
            <w:gridSpan w:val="1"/>
            <w:tcBorders>
              <w:top w:val="single" w:color="AAAAAA" w:sz="4"/>
              <w:left w:val="single" w:color="AAAAAA" w:sz="4"/>
              <w:bottom w:val="single" w:color="AAAAAA" w:sz="4"/>
              <w:right w:val="single" w:color="AAAAAA" w:sz="4"/>
            </w:tcBorders>
            <w:shd w:fill="C00000"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Rating</w:t>
            </w:r>
          </w:p>
        </w:tc>
        <w:tc>
          <w:tcPr>
            <w:tcW w:type="dxa" w:w="1040"/>
            <w:gridSpan w:val="1"/>
            <w:tcBorders>
              <w:top w:val="single" w:color="AAAAAA" w:sz="4"/>
              <w:left w:val="single" w:color="AAAAAA" w:sz="4"/>
              <w:bottom w:val="single" w:color="AAAAAA" w:sz="4"/>
              <w:right w:val="single" w:color="AAAAAA" w:sz="4"/>
            </w:tcBorders>
            <w:shd w:fill="C00000"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Phase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C00000"/>
                <w:sz w:val="18"/>
                <w:szCs w:val="18"/>
              </w:rPr>
              <w:t xml:space="preserve">RK-FIN-01</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Contractor Cash Flow Stress / Delayed NHAI Payments</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₹2–8 Cr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30–90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C00000"/>
                <w:sz w:val="18"/>
                <w:szCs w:val="18"/>
              </w:rPr>
              <w:t xml:space="preserve">RK-FIN-02</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Contractor Financial Default / Insolvency</w:t>
            </w:r>
          </w:p>
        </w:tc>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2 / 5</w:t>
            </w:r>
          </w:p>
        </w:tc>
        <w:tc>
          <w:tcPr>
            <w:tcW w:type="dxa" w:w="1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5 / 5</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₹15–50 Cr</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180+ days</w:t>
            </w:r>
          </w:p>
        </w:tc>
        <w:tc>
          <w:tcPr>
            <w:tcW w:type="dxa" w:w="1000"/>
            <w:tcBorders>
              <w:top w:val="single" w:color="AAAAAA" w:sz="4"/>
              <w:left w:val="single" w:color="AAAAAA" w:sz="4"/>
              <w:bottom w:val="single" w:color="AAAAAA" w:sz="4"/>
              <w:right w:val="single" w:color="AAAAAA"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CRITICAL</w:t>
            </w:r>
          </w:p>
        </w:tc>
        <w:tc>
          <w:tcPr>
            <w:tcW w:type="dxa" w:w="10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C00000"/>
                <w:sz w:val="18"/>
                <w:szCs w:val="18"/>
              </w:rPr>
              <w:t xml:space="preserve">RK-FIN-03</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Subcontractor Payment Default / Walk-Off</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₹50 Lakhs – 2 Cr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15–45 days</w:t>
            </w:r>
          </w:p>
        </w:tc>
        <w:tc>
          <w:tcPr>
            <w:tcW w:type="dxa" w:w="1000"/>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bl>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C00000"/>
          <w:sz w:val="22"/>
          <w:szCs w:val="22"/>
        </w:rPr>
        <w:t xml:space="preserve">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000"/>
        <w:gridCol w:w="2060"/>
      </w:tblGrid>
      <w:tr>
        <w:tc>
          <w:tcPr>
            <w:tcW w:type="dxa" w:w="1100"/>
            <w:gridSpan w:val="1"/>
            <w:tcBorders>
              <w:top w:val="single" w:color="AAAAAA" w:sz="4"/>
              <w:left w:val="single" w:color="AAAAAA" w:sz="4"/>
              <w:bottom w:val="single" w:color="AAAAAA" w:sz="4"/>
              <w:right w:val="single" w:color="AAAAAA" w:sz="4"/>
            </w:tcBorders>
            <w:shd w:fill="C00000"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Strategy</w:t>
            </w:r>
          </w:p>
        </w:tc>
        <w:tc>
          <w:tcPr>
            <w:tcW w:type="dxa" w:w="4200"/>
            <w:gridSpan w:val="1"/>
            <w:tcBorders>
              <w:top w:val="single" w:color="AAAAAA" w:sz="4"/>
              <w:left w:val="single" w:color="AAAAAA" w:sz="4"/>
              <w:bottom w:val="single" w:color="AAAAAA" w:sz="4"/>
              <w:right w:val="single" w:color="AAAAAA" w:sz="4"/>
            </w:tcBorders>
            <w:shd w:fill="C00000"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Mitigation Action</w:t>
            </w:r>
          </w:p>
        </w:tc>
        <w:tc>
          <w:tcPr>
            <w:tcW w:type="dxa" w:w="2000"/>
            <w:gridSpan w:val="1"/>
            <w:tcBorders>
              <w:top w:val="single" w:color="AAAAAA" w:sz="4"/>
              <w:left w:val="single" w:color="AAAAAA" w:sz="4"/>
              <w:bottom w:val="single" w:color="AAAAAA" w:sz="4"/>
              <w:right w:val="single" w:color="AAAAAA" w:sz="4"/>
            </w:tcBorders>
            <w:shd w:fill="C00000"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Responsible Owner</w:t>
            </w:r>
          </w:p>
        </w:tc>
        <w:tc>
          <w:tcPr>
            <w:tcW w:type="dxa" w:w="2060"/>
            <w:gridSpan w:val="1"/>
            <w:tcBorders>
              <w:top w:val="single" w:color="AAAAAA" w:sz="4"/>
              <w:left w:val="single" w:color="AAAAAA" w:sz="4"/>
              <w:bottom w:val="single" w:color="AAAAAA" w:sz="4"/>
              <w:right w:val="single" w:color="AAAAAA" w:sz="4"/>
            </w:tcBorders>
            <w:shd w:fill="C00000"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Timeline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Ensure NHAI processes IPC within 28 days per contract. Implement e-measurement and e-billing to reduce payment cycle time. Maintain 3-month working capital reserve.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Finance / Contracts</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Ongoing</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1F6B75"/>
                <w:sz w:val="18"/>
                <w:szCs w:val="18"/>
              </w:rPr>
              <w:t xml:space="preserve">Transfer</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Obtain Performance Bank Guarantee of 10% contract value from scheduled bank. Include step-in rights and direct payment to critical subcontractors in contract.</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NHAI Legal</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Pre-Award</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375623"/>
                <w:sz w:val="18"/>
                <w:szCs w:val="18"/>
              </w:rPr>
              <w:t xml:space="preserve">Avoid</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Conduct rigorous financial due diligence at bid evaluation stage. Verify order-book-to-net-worth ratio and current ratio of shortlisted bidders.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NHAI / MEA</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Pre-Award</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C55A11"/>
                <w:sz w:val="18"/>
                <w:szCs w:val="18"/>
              </w:rPr>
              <w:t xml:space="preserve">Contingency</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Activate termination for convenience clause. Invoke PBG. Fast-track retendering with 6-month interim management by PMC team.</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NHAI PD / Legal</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 Trigger</w:t>
            </w:r>
          </w:p>
        </w:tc>
      </w:tr>
    </w:tbl>
    <w:p>
      <w:pPr>
        <w:spacing w:after="80" w:before="60"/>
      </w:pPr>
      <w:r>
        <w:rPr>
          <w:rFonts w:ascii="Arial" w:cs="Arial" w:eastAsia="Arial" w:hAnsi="Arial"/>
          <w:color w:val="595959"/>
          <w:sz w:val="20"/>
          <w:szCs w:val="20"/>
        </w:rPr>
        <w:t xml:space="preserve"/>
      </w:r>
    </w:p>
    <w:p>
      <w:pPr>
        <w:spacing w:after="20" w:before="40"/>
      </w:pPr>
      <w:r>
        <w:rPr>
          <w:rFonts w:ascii="Arial" w:cs="Arial" w:eastAsia="Arial" w:hAnsi="Arial"/>
          <w:b/>
          <w:bCs/>
          <w:color w:val="C00000"/>
          <w:sz w:val="20"/>
          <w:szCs w:val="20"/>
        </w:rPr>
        <w:t xml:space="preserve">Early Warning Indicators:</w:t>
      </w:r>
    </w:p>
    <w:p>
      <w:pPr>
        <w:pStyle w:val="ListParagraph"/>
        <w:numPr>
          <w:ilvl w:val="0"/>
          <w:numId w:val="2"/>
        </w:numPr>
        <w:spacing w:after="40" w:before="40"/>
      </w:pPr>
      <w:r>
        <w:rPr>
          <w:rFonts w:ascii="Arial" w:cs="Arial" w:eastAsia="Arial" w:hAnsi="Arial"/>
          <w:color w:val="595959"/>
          <w:sz w:val="20"/>
          <w:szCs w:val="20"/>
        </w:rPr>
        <w:t xml:space="preserve">IPC payment pending beyond 35 days</w:t>
      </w:r>
    </w:p>
    <w:p>
      <w:pPr>
        <w:pStyle w:val="ListParagraph"/>
        <w:numPr>
          <w:ilvl w:val="0"/>
          <w:numId w:val="2"/>
        </w:numPr>
        <w:spacing w:after="40" w:before="40"/>
      </w:pPr>
      <w:r>
        <w:rPr>
          <w:rFonts w:ascii="Arial" w:cs="Arial" w:eastAsia="Arial" w:hAnsi="Arial"/>
          <w:color w:val="595959"/>
          <w:sz w:val="20"/>
          <w:szCs w:val="20"/>
        </w:rPr>
        <w:t xml:space="preserve">Contractor submitting MIS with less than 30-day working capital</w:t>
      </w:r>
    </w:p>
    <w:p>
      <w:pPr>
        <w:pStyle w:val="ListParagraph"/>
        <w:numPr>
          <w:ilvl w:val="0"/>
          <w:numId w:val="2"/>
        </w:numPr>
        <w:spacing w:after="40" w:before="40"/>
      </w:pPr>
      <w:r>
        <w:rPr>
          <w:rFonts w:ascii="Arial" w:cs="Arial" w:eastAsia="Arial" w:hAnsi="Arial"/>
          <w:color w:val="595959"/>
          <w:sz w:val="20"/>
          <w:szCs w:val="20"/>
        </w:rPr>
        <w:t xml:space="preserve">More than 2 subcontractors filing payment claims</w:t>
      </w:r>
    </w:p>
    <w:p>
      <w:pPr>
        <w:spacing w:after="80" w:before="60"/>
      </w:pPr>
      <w:r>
        <w:rPr>
          <w:rFonts w:ascii="Arial" w:cs="Arial" w:eastAsia="Arial" w:hAnsi="Arial"/>
          <w:color w:val="595959"/>
          <w:sz w:val="20"/>
          <w:szCs w:val="20"/>
        </w:rPr>
        <w:t xml:space="preserve"/>
      </w:r>
    </w:p>
    <w:p>
      <w:pPr>
        <w:pBdr>
          <w:bottom w:val="single" w:color="C00000" w:sz="8"/>
        </w:pBdr>
        <w:spacing w:after="80" w:before="80"/>
      </w:pPr>
    </w:p>
    <w:p>
      <w:pPr>
        <w:spacing w:after="80" w:before="60"/>
      </w:pPr>
      <w:r>
        <w:rPr>
          <w:rFonts w:ascii="Arial" w:cs="Arial" w:eastAsia="Arial" w:hAnsi="Arial"/>
          <w:color w:val="595959"/>
          <w:sz w:val="20"/>
          <w:szCs w:val="20"/>
        </w:rPr>
        <w:t xml:space="preserve"/>
      </w:r>
    </w:p>
    <w:p>
      <w:pPr>
        <w:pStyle w:val="Heading2"/>
        <w:spacing w:after="120" w:before="280"/>
      </w:pPr>
      <w:r>
        <w:rPr>
          <w:rFonts w:ascii="Arial" w:cs="Arial" w:eastAsia="Arial" w:hAnsi="Arial"/>
          <w:b/>
          <w:bCs/>
          <w:color w:val="2E5C8A"/>
          <w:sz w:val="28"/>
          <w:szCs w:val="28"/>
        </w:rPr>
        <w:t xml:space="preserve">4.8 Design Change &amp; Scope Creep Risks</w:t>
      </w:r>
    </w:p>
    <w:p>
      <w:pPr>
        <w:spacing w:after="80" w:before="60"/>
      </w:pPr>
      <w:r>
        <w:rPr>
          <w:rFonts w:ascii="Arial" w:cs="Arial" w:eastAsia="Arial" w:hAnsi="Arial"/>
          <w:color w:val="595959"/>
          <w:sz w:val="20"/>
          <w:szCs w:val="20"/>
        </w:rPr>
        <w:t xml:space="preserve">Mid-project design changes driven by IRC standard revisions, NH classification upgrades, or utility discovery are a major source of variation orders (VOs) and time overruns in NHAI projects.</w:t>
      </w:r>
    </w:p>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2E5C8A"/>
          <w:sz w:val="22"/>
          <w:szCs w:val="22"/>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60"/>
        <w:gridCol w:w="900"/>
        <w:gridCol w:w="1000"/>
        <w:gridCol w:w="1460"/>
        <w:gridCol w:w="1500"/>
        <w:gridCol w:w="1100"/>
        <w:gridCol w:w="1040"/>
      </w:tblGrid>
      <w:tr>
        <w:tc>
          <w:tcPr>
            <w:tcW w:type="dxa" w:w="9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ID</w:t>
            </w:r>
          </w:p>
        </w:tc>
        <w:tc>
          <w:tcPr>
            <w:tcW w:type="dxa" w:w="146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Title</w:t>
            </w:r>
          </w:p>
        </w:tc>
        <w:tc>
          <w:tcPr>
            <w:tcW w:type="dxa" w:w="9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Probability</w:t>
            </w:r>
          </w:p>
        </w:tc>
        <w:tc>
          <w:tcPr>
            <w:tcW w:type="dxa" w:w="10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Impact</w:t>
            </w:r>
          </w:p>
        </w:tc>
        <w:tc>
          <w:tcPr>
            <w:tcW w:type="dxa" w:w="146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Cost Impact</w:t>
            </w:r>
          </w:p>
        </w:tc>
        <w:tc>
          <w:tcPr>
            <w:tcW w:type="dxa" w:w="15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Schedule Impact</w:t>
            </w:r>
          </w:p>
        </w:tc>
        <w:tc>
          <w:tcPr>
            <w:tcW w:type="dxa" w:w="11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Rating</w:t>
            </w:r>
          </w:p>
        </w:tc>
        <w:tc>
          <w:tcPr>
            <w:tcW w:type="dxa" w:w="104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Phase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2E5C8A"/>
                <w:sz w:val="18"/>
                <w:szCs w:val="18"/>
              </w:rPr>
              <w:t xml:space="preserve">RK-DES-01</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Change in Geometric Design Standards (IRC Update)</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2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₹30–80 Lakhs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15–30 days</w:t>
            </w:r>
          </w:p>
        </w:tc>
        <w:tc>
          <w:tcPr>
            <w:tcW w:type="dxa" w:w="1000"/>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2E5C8A"/>
                <w:sz w:val="18"/>
                <w:szCs w:val="18"/>
              </w:rPr>
              <w:t xml:space="preserve">RK-DES-02</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Grade Separator / Flyover Addition by NHAI</w:t>
            </w:r>
          </w:p>
        </w:tc>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2 / 5</w:t>
            </w:r>
          </w:p>
        </w:tc>
        <w:tc>
          <w:tcPr>
            <w:tcW w:type="dxa" w:w="1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₹5–20 Cr</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60–180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2E5C8A"/>
                <w:sz w:val="18"/>
                <w:szCs w:val="18"/>
              </w:rPr>
              <w:t xml:space="preserve">RK-DES-03</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Pavement Design Revision due to Traffic Data Update</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2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 Cr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20–45 days</w:t>
            </w:r>
          </w:p>
        </w:tc>
        <w:tc>
          <w:tcPr>
            <w:tcW w:type="dxa" w:w="1000"/>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bl>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2E5C8A"/>
          <w:sz w:val="22"/>
          <w:szCs w:val="22"/>
        </w:rPr>
        <w:t xml:space="preserve">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000"/>
        <w:gridCol w:w="2060"/>
      </w:tblGrid>
      <w:tr>
        <w:tc>
          <w:tcPr>
            <w:tcW w:type="dxa" w:w="11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Strategy</w:t>
            </w:r>
          </w:p>
        </w:tc>
        <w:tc>
          <w:tcPr>
            <w:tcW w:type="dxa" w:w="42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Mitigation Action</w:t>
            </w:r>
          </w:p>
        </w:tc>
        <w:tc>
          <w:tcPr>
            <w:tcW w:type="dxa" w:w="200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Responsible Owner</w:t>
            </w:r>
          </w:p>
        </w:tc>
        <w:tc>
          <w:tcPr>
            <w:tcW w:type="dxa" w:w="206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Timeline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375623"/>
                <w:sz w:val="18"/>
                <w:szCs w:val="18"/>
              </w:rPr>
              <w:t xml:space="preserve">Avoid</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Freeze design at approved DPR stage with formal NHAI concurrence. Establish Change Control Board (CCB) for any mid-project design change requests.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PMC Design Lead</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Month 1</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1F6B75"/>
                <w:sz w:val="18"/>
                <w:szCs w:val="18"/>
              </w:rPr>
              <w:t xml:space="preserve">Transfer</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Price all NHAI-directed scope additions as Variation Orders per contract. Ensure VO approvals precede execution to protect cash flow.</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Contracts Manager</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 Trigger</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Incorporate design contingency in baseline schedule (10% float for design-related activities). Maintain digital As-Built model updated monthly.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Planning Engineer</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Ongoing</w:t>
            </w:r>
          </w:p>
        </w:tc>
      </w:tr>
    </w:tbl>
    <w:p>
      <w:pPr>
        <w:spacing w:after="80" w:before="60"/>
      </w:pPr>
      <w:r>
        <w:rPr>
          <w:rFonts w:ascii="Arial" w:cs="Arial" w:eastAsia="Arial" w:hAnsi="Arial"/>
          <w:color w:val="595959"/>
          <w:sz w:val="20"/>
          <w:szCs w:val="20"/>
        </w:rPr>
        <w:t xml:space="preserve"/>
      </w:r>
    </w:p>
    <w:p>
      <w:pPr>
        <w:spacing w:after="20" w:before="40"/>
      </w:pPr>
      <w:r>
        <w:rPr>
          <w:rFonts w:ascii="Arial" w:cs="Arial" w:eastAsia="Arial" w:hAnsi="Arial"/>
          <w:b/>
          <w:bCs/>
          <w:color w:val="2E5C8A"/>
          <w:sz w:val="20"/>
          <w:szCs w:val="20"/>
        </w:rPr>
        <w:t xml:space="preserve">Early Warning Indicators:</w:t>
      </w:r>
    </w:p>
    <w:p>
      <w:pPr>
        <w:pStyle w:val="ListParagraph"/>
        <w:numPr>
          <w:ilvl w:val="0"/>
          <w:numId w:val="2"/>
        </w:numPr>
        <w:spacing w:after="40" w:before="40"/>
      </w:pPr>
      <w:r>
        <w:rPr>
          <w:rFonts w:ascii="Arial" w:cs="Arial" w:eastAsia="Arial" w:hAnsi="Arial"/>
          <w:color w:val="595959"/>
          <w:sz w:val="20"/>
          <w:szCs w:val="20"/>
        </w:rPr>
        <w:t xml:space="preserve">Any IRC or MOSRT&amp;H circular received during project execution</w:t>
      </w:r>
    </w:p>
    <w:p>
      <w:pPr>
        <w:pStyle w:val="ListParagraph"/>
        <w:numPr>
          <w:ilvl w:val="0"/>
          <w:numId w:val="2"/>
        </w:numPr>
        <w:spacing w:after="40" w:before="40"/>
      </w:pPr>
      <w:r>
        <w:rPr>
          <w:rFonts w:ascii="Arial" w:cs="Arial" w:eastAsia="Arial" w:hAnsi="Arial"/>
          <w:color w:val="595959"/>
          <w:sz w:val="20"/>
          <w:szCs w:val="20"/>
        </w:rPr>
        <w:t xml:space="preserve">NHAI DGM requesting feasibility study for new structure mid-project</w:t>
      </w:r>
    </w:p>
    <w:p>
      <w:pPr>
        <w:pStyle w:val="ListParagraph"/>
        <w:numPr>
          <w:ilvl w:val="0"/>
          <w:numId w:val="2"/>
        </w:numPr>
        <w:spacing w:after="40" w:before="40"/>
      </w:pPr>
      <w:r>
        <w:rPr>
          <w:rFonts w:ascii="Arial" w:cs="Arial" w:eastAsia="Arial" w:hAnsi="Arial"/>
          <w:color w:val="595959"/>
          <w:sz w:val="20"/>
          <w:szCs w:val="20"/>
        </w:rPr>
        <w:t xml:space="preserve">Traffic count data showing greater than 20% variance from DPR assumptions</w:t>
      </w:r>
    </w:p>
    <w:p>
      <w:pPr>
        <w:spacing w:after="80" w:before="60"/>
      </w:pPr>
      <w:r>
        <w:rPr>
          <w:rFonts w:ascii="Arial" w:cs="Arial" w:eastAsia="Arial" w:hAnsi="Arial"/>
          <w:color w:val="595959"/>
          <w:sz w:val="20"/>
          <w:szCs w:val="20"/>
        </w:rPr>
        <w:t xml:space="preserve"/>
      </w:r>
    </w:p>
    <w:p>
      <w:pPr>
        <w:pBdr>
          <w:bottom w:val="single" w:color="2E5C8A" w:sz="8"/>
        </w:pBdr>
        <w:spacing w:after="80" w:before="80"/>
      </w:pPr>
    </w:p>
    <w:p>
      <w:pPr>
        <w:spacing w:after="80" w:before="60"/>
      </w:pPr>
      <w:r>
        <w:rPr>
          <w:rFonts w:ascii="Arial" w:cs="Arial" w:eastAsia="Arial" w:hAnsi="Arial"/>
          <w:color w:val="595959"/>
          <w:sz w:val="20"/>
          <w:szCs w:val="20"/>
        </w:rPr>
        <w:t xml:space="preserve"/>
      </w:r>
    </w:p>
    <w:p>
      <w:pPr>
        <w:pStyle w:val="Heading2"/>
        <w:spacing w:after="120" w:before="280"/>
      </w:pPr>
      <w:r>
        <w:rPr>
          <w:rFonts w:ascii="Arial" w:cs="Arial" w:eastAsia="Arial" w:hAnsi="Arial"/>
          <w:b/>
          <w:bCs/>
          <w:color w:val="2E5C8A"/>
          <w:sz w:val="28"/>
          <w:szCs w:val="28"/>
        </w:rPr>
        <w:t xml:space="preserve">4.9 Safety, Health &amp; Environment (HSE) Risks</w:t>
      </w:r>
    </w:p>
    <w:p>
      <w:pPr>
        <w:spacing w:after="80" w:before="60"/>
      </w:pPr>
      <w:r>
        <w:rPr>
          <w:rFonts w:ascii="Arial" w:cs="Arial" w:eastAsia="Arial" w:hAnsi="Arial"/>
          <w:color w:val="595959"/>
          <w:sz w:val="20"/>
          <w:szCs w:val="20"/>
        </w:rPr>
        <w:t xml:space="preserve">Road construction is among the highest-risk industrial activities in India. Fatal accidents, occupational health hazards (silica dust, heat stress), and third-party accident liability during construction are key HSE risks with significant legal, reputational, and schedule consequences.</w:t>
      </w:r>
    </w:p>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C55A11"/>
          <w:sz w:val="22"/>
          <w:szCs w:val="22"/>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60"/>
        <w:gridCol w:w="900"/>
        <w:gridCol w:w="1000"/>
        <w:gridCol w:w="1460"/>
        <w:gridCol w:w="1500"/>
        <w:gridCol w:w="1100"/>
        <w:gridCol w:w="1040"/>
      </w:tblGrid>
      <w:tr>
        <w:tc>
          <w:tcPr>
            <w:tcW w:type="dxa" w:w="9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ID</w:t>
            </w:r>
          </w:p>
        </w:tc>
        <w:tc>
          <w:tcPr>
            <w:tcW w:type="dxa" w:w="146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Title</w:t>
            </w:r>
          </w:p>
        </w:tc>
        <w:tc>
          <w:tcPr>
            <w:tcW w:type="dxa" w:w="9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Probability</w:t>
            </w:r>
          </w:p>
        </w:tc>
        <w:tc>
          <w:tcPr>
            <w:tcW w:type="dxa" w:w="10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Impact</w:t>
            </w:r>
          </w:p>
        </w:tc>
        <w:tc>
          <w:tcPr>
            <w:tcW w:type="dxa" w:w="146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Cost Impact</w:t>
            </w:r>
          </w:p>
        </w:tc>
        <w:tc>
          <w:tcPr>
            <w:tcW w:type="dxa" w:w="15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Schedule Impact</w:t>
            </w:r>
          </w:p>
        </w:tc>
        <w:tc>
          <w:tcPr>
            <w:tcW w:type="dxa" w:w="11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Rating</w:t>
            </w:r>
          </w:p>
        </w:tc>
        <w:tc>
          <w:tcPr>
            <w:tcW w:type="dxa" w:w="104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Phase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C55A11"/>
                <w:sz w:val="18"/>
                <w:szCs w:val="18"/>
              </w:rPr>
              <w:t xml:space="preserve">RK-HSE-01</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Fatal Construction Accident</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2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5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₹50 Lakhs – 2 Cr (legal, compensation)</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15–60 days (work stoppage)</w:t>
            </w:r>
          </w:p>
        </w:tc>
        <w:tc>
          <w:tcPr>
            <w:tcW w:type="dxa" w:w="1000"/>
            <w:tcBorders>
              <w:top w:val="single" w:color="AAAAAA" w:sz="4"/>
              <w:left w:val="single" w:color="AAAAAA" w:sz="4"/>
              <w:bottom w:val="single" w:color="AAAAAA" w:sz="4"/>
              <w:right w:val="single" w:color="AAAAAA"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CRITICAL</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C55A11"/>
                <w:sz w:val="18"/>
                <w:szCs w:val="18"/>
              </w:rPr>
              <w:t xml:space="preserve">RK-HSE-02</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Third-Party Road Accident in Work Zone</w:t>
            </w:r>
          </w:p>
        </w:tc>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₹20–80 Lakhs</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5–15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C55A11"/>
                <w:sz w:val="18"/>
                <w:szCs w:val="18"/>
              </w:rPr>
              <w:t xml:space="preserve">RK-HSE-03</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Hazardous Material Spill (Bitumen, Fuel)</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2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₹10–30 Lakhs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3–7 days</w:t>
            </w:r>
          </w:p>
        </w:tc>
        <w:tc>
          <w:tcPr>
            <w:tcW w:type="dxa" w:w="1000"/>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bl>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C55A11"/>
          <w:sz w:val="22"/>
          <w:szCs w:val="22"/>
        </w:rPr>
        <w:t xml:space="preserve">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000"/>
        <w:gridCol w:w="2060"/>
      </w:tblGrid>
      <w:tr>
        <w:tc>
          <w:tcPr>
            <w:tcW w:type="dxa" w:w="11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Strategy</w:t>
            </w:r>
          </w:p>
        </w:tc>
        <w:tc>
          <w:tcPr>
            <w:tcW w:type="dxa" w:w="42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Mitigation Action</w:t>
            </w:r>
          </w:p>
        </w:tc>
        <w:tc>
          <w:tcPr>
            <w:tcW w:type="dxa" w:w="200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Responsible Owner</w:t>
            </w:r>
          </w:p>
        </w:tc>
        <w:tc>
          <w:tcPr>
            <w:tcW w:type="dxa" w:w="2060"/>
            <w:gridSpan w:val="1"/>
            <w:tcBorders>
              <w:top w:val="single" w:color="AAAAAA" w:sz="4"/>
              <w:left w:val="single" w:color="AAAAAA" w:sz="4"/>
              <w:bottom w:val="single" w:color="AAAAAA" w:sz="4"/>
              <w:right w:val="single" w:color="AAAAAA" w:sz="4"/>
            </w:tcBorders>
            <w:shd w:fill="C55A11"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Timeline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Implement ISO 45001 OHSMS with daily toolbox talks, PPE enforcement, and monthly third-party HSE audits. Deploy dedicated HSE Officer per 5 km active stretch.</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HSE Manager</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Ongoing</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375623"/>
                <w:sz w:val="18"/>
                <w:szCs w:val="18"/>
              </w:rPr>
              <w:t xml:space="preserve">Avoid</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Install IRC:SP:55 compliant traffic management plan at all active work zones. Deploy solar-powered variable message signs (VMS), barricades, and trained traffic marshals.</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Traffic &amp; Safety Eng.</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Before Commencement</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1F6B75"/>
                <w:sz w:val="18"/>
                <w:szCs w:val="18"/>
              </w:rPr>
              <w:t xml:space="preserve">Transfer</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Maintain Workmen's Compensation Policy (WCP) and Third-Party Liability Policy with sum insured appropriate to project size. Register all workers under ESIC.</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HR / Insurance</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Day 1</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C55A11"/>
                <w:sz w:val="18"/>
                <w:szCs w:val="18"/>
              </w:rPr>
              <w:t xml:space="preserve">Contingency</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Maintain 24x7 First Aid Room with qualified nurse on site. Pre-tie empanelment agreements with nearest district hospital and trauma centre.</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Site Medical Officer</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Pre-Mobilization</w:t>
            </w:r>
          </w:p>
        </w:tc>
      </w:tr>
    </w:tbl>
    <w:p>
      <w:pPr>
        <w:spacing w:after="80" w:before="60"/>
      </w:pPr>
      <w:r>
        <w:rPr>
          <w:rFonts w:ascii="Arial" w:cs="Arial" w:eastAsia="Arial" w:hAnsi="Arial"/>
          <w:color w:val="595959"/>
          <w:sz w:val="20"/>
          <w:szCs w:val="20"/>
        </w:rPr>
        <w:t xml:space="preserve"/>
      </w:r>
    </w:p>
    <w:p>
      <w:pPr>
        <w:spacing w:after="20" w:before="40"/>
      </w:pPr>
      <w:r>
        <w:rPr>
          <w:rFonts w:ascii="Arial" w:cs="Arial" w:eastAsia="Arial" w:hAnsi="Arial"/>
          <w:b/>
          <w:bCs/>
          <w:color w:val="C55A11"/>
          <w:sz w:val="20"/>
          <w:szCs w:val="20"/>
        </w:rPr>
        <w:t xml:space="preserve">Early Warning Indicators:</w:t>
      </w:r>
    </w:p>
    <w:p>
      <w:pPr>
        <w:pStyle w:val="ListParagraph"/>
        <w:numPr>
          <w:ilvl w:val="0"/>
          <w:numId w:val="2"/>
        </w:numPr>
        <w:spacing w:after="40" w:before="40"/>
      </w:pPr>
      <w:r>
        <w:rPr>
          <w:rFonts w:ascii="Arial" w:cs="Arial" w:eastAsia="Arial" w:hAnsi="Arial"/>
          <w:color w:val="595959"/>
          <w:sz w:val="20"/>
          <w:szCs w:val="20"/>
        </w:rPr>
        <w:t xml:space="preserve">Any near-miss event reported</w:t>
      </w:r>
    </w:p>
    <w:p>
      <w:pPr>
        <w:pStyle w:val="ListParagraph"/>
        <w:numPr>
          <w:ilvl w:val="0"/>
          <w:numId w:val="2"/>
        </w:numPr>
        <w:spacing w:after="40" w:before="40"/>
      </w:pPr>
      <w:r>
        <w:rPr>
          <w:rFonts w:ascii="Arial" w:cs="Arial" w:eastAsia="Arial" w:hAnsi="Arial"/>
          <w:color w:val="595959"/>
          <w:sz w:val="20"/>
          <w:szCs w:val="20"/>
        </w:rPr>
        <w:t xml:space="preserve">HSE audit non-conformance greater than 5 per month</w:t>
      </w:r>
    </w:p>
    <w:p>
      <w:pPr>
        <w:pStyle w:val="ListParagraph"/>
        <w:numPr>
          <w:ilvl w:val="0"/>
          <w:numId w:val="2"/>
        </w:numPr>
        <w:spacing w:after="40" w:before="40"/>
      </w:pPr>
      <w:r>
        <w:rPr>
          <w:rFonts w:ascii="Arial" w:cs="Arial" w:eastAsia="Arial" w:hAnsi="Arial"/>
          <w:color w:val="595959"/>
          <w:sz w:val="20"/>
          <w:szCs w:val="20"/>
        </w:rPr>
        <w:t xml:space="preserve">Traffic incident rate exceeding 1 per month in work zone</w:t>
      </w:r>
    </w:p>
    <w:p>
      <w:pPr>
        <w:spacing w:after="80" w:before="60"/>
      </w:pPr>
      <w:r>
        <w:rPr>
          <w:rFonts w:ascii="Arial" w:cs="Arial" w:eastAsia="Arial" w:hAnsi="Arial"/>
          <w:color w:val="595959"/>
          <w:sz w:val="20"/>
          <w:szCs w:val="20"/>
        </w:rPr>
        <w:t xml:space="preserve"/>
      </w:r>
    </w:p>
    <w:p>
      <w:pPr>
        <w:pBdr>
          <w:bottom w:val="single" w:color="C55A11" w:sz="8"/>
        </w:pBdr>
        <w:spacing w:after="80" w:before="80"/>
      </w:pPr>
    </w:p>
    <w:p>
      <w:pPr>
        <w:spacing w:after="80" w:before="60"/>
      </w:pPr>
      <w:r>
        <w:rPr>
          <w:rFonts w:ascii="Arial" w:cs="Arial" w:eastAsia="Arial" w:hAnsi="Arial"/>
          <w:color w:val="595959"/>
          <w:sz w:val="20"/>
          <w:szCs w:val="20"/>
        </w:rPr>
        <w:t xml:space="preserve"/>
      </w:r>
    </w:p>
    <w:p>
      <w:pPr>
        <w:pStyle w:val="Heading2"/>
        <w:spacing w:after="120" w:before="280"/>
      </w:pPr>
      <w:r>
        <w:rPr>
          <w:rFonts w:ascii="Arial" w:cs="Arial" w:eastAsia="Arial" w:hAnsi="Arial"/>
          <w:b/>
          <w:bCs/>
          <w:color w:val="2E5C8A"/>
          <w:sz w:val="28"/>
          <w:szCs w:val="28"/>
        </w:rPr>
        <w:t xml:space="preserve">4.10 Law &amp; Order / Third-Party Risks</w:t>
      </w:r>
    </w:p>
    <w:p>
      <w:pPr>
        <w:spacing w:after="80" w:before="60"/>
      </w:pPr>
      <w:r>
        <w:rPr>
          <w:rFonts w:ascii="Arial" w:cs="Arial" w:eastAsia="Arial" w:hAnsi="Arial"/>
          <w:color w:val="595959"/>
          <w:sz w:val="20"/>
          <w:szCs w:val="20"/>
        </w:rPr>
        <w:t xml:space="preserve">Road construction projects in politically sensitive corridors can attract protests, blockades, and court injunctions. Local community opposition, inter-district boundary disputes, and contractor-subcontractor disputes can cause prolonged work stoppage.</w:t>
      </w:r>
    </w:p>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1F6B75"/>
          <w:sz w:val="22"/>
          <w:szCs w:val="22"/>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60"/>
        <w:gridCol w:w="900"/>
        <w:gridCol w:w="1000"/>
        <w:gridCol w:w="1460"/>
        <w:gridCol w:w="1500"/>
        <w:gridCol w:w="1100"/>
        <w:gridCol w:w="1040"/>
      </w:tblGrid>
      <w:tr>
        <w:tc>
          <w:tcPr>
            <w:tcW w:type="dxa" w:w="9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ID</w:t>
            </w:r>
          </w:p>
        </w:tc>
        <w:tc>
          <w:tcPr>
            <w:tcW w:type="dxa" w:w="146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Title</w:t>
            </w:r>
          </w:p>
        </w:tc>
        <w:tc>
          <w:tcPr>
            <w:tcW w:type="dxa" w:w="9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Probability</w:t>
            </w:r>
          </w:p>
        </w:tc>
        <w:tc>
          <w:tcPr>
            <w:tcW w:type="dxa" w:w="10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Impact</w:t>
            </w:r>
          </w:p>
        </w:tc>
        <w:tc>
          <w:tcPr>
            <w:tcW w:type="dxa" w:w="146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Cost Impact</w:t>
            </w:r>
          </w:p>
        </w:tc>
        <w:tc>
          <w:tcPr>
            <w:tcW w:type="dxa" w:w="15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Schedule Impact</w:t>
            </w:r>
          </w:p>
        </w:tc>
        <w:tc>
          <w:tcPr>
            <w:tcW w:type="dxa" w:w="11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Rating</w:t>
            </w:r>
          </w:p>
        </w:tc>
        <w:tc>
          <w:tcPr>
            <w:tcW w:type="dxa" w:w="104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Phase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6B75"/>
                <w:sz w:val="18"/>
                <w:szCs w:val="18"/>
              </w:rPr>
              <w:t xml:space="preserve">RK-LO-01</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Community Agitation / Dharna Against Land Acquisition</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₹30–1.5 Cr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15–60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6B75"/>
                <w:sz w:val="18"/>
                <w:szCs w:val="18"/>
              </w:rPr>
              <w:t xml:space="preserve">RK-LO-02</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Court Injunction / NGT Stay Order</w:t>
            </w:r>
          </w:p>
        </w:tc>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2 / 5</w:t>
            </w:r>
          </w:p>
        </w:tc>
        <w:tc>
          <w:tcPr>
            <w:tcW w:type="dxa" w:w="1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5 / 5</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 Cr</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60–365 days</w:t>
            </w:r>
          </w:p>
        </w:tc>
        <w:tc>
          <w:tcPr>
            <w:tcW w:type="dxa" w:w="1000"/>
            <w:tcBorders>
              <w:top w:val="single" w:color="AAAAAA" w:sz="4"/>
              <w:left w:val="single" w:color="AAAAAA" w:sz="4"/>
              <w:bottom w:val="single" w:color="AAAAAA" w:sz="4"/>
              <w:right w:val="single" w:color="AAAAAA"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CRITICAL</w:t>
            </w:r>
          </w:p>
        </w:tc>
        <w:tc>
          <w:tcPr>
            <w:tcW w:type="dxa" w:w="10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6B75"/>
                <w:sz w:val="18"/>
                <w:szCs w:val="18"/>
              </w:rPr>
              <w:t xml:space="preserve">RK-LO-03</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Contractor-Subcontractor Dispute / Arbitration</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2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3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₹50 Lakhs – 1.5 Cr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30–90 days</w:t>
            </w:r>
          </w:p>
        </w:tc>
        <w:tc>
          <w:tcPr>
            <w:tcW w:type="dxa" w:w="1000"/>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bl>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1F6B75"/>
          <w:sz w:val="22"/>
          <w:szCs w:val="22"/>
        </w:rPr>
        <w:t xml:space="preserve">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000"/>
        <w:gridCol w:w="2060"/>
      </w:tblGrid>
      <w:tr>
        <w:tc>
          <w:tcPr>
            <w:tcW w:type="dxa" w:w="11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Strategy</w:t>
            </w:r>
          </w:p>
        </w:tc>
        <w:tc>
          <w:tcPr>
            <w:tcW w:type="dxa" w:w="42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Mitigation Action</w:t>
            </w:r>
          </w:p>
        </w:tc>
        <w:tc>
          <w:tcPr>
            <w:tcW w:type="dxa" w:w="200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Responsible Owner</w:t>
            </w:r>
          </w:p>
        </w:tc>
        <w:tc>
          <w:tcPr>
            <w:tcW w:type="dxa" w:w="2060"/>
            <w:gridSpan w:val="1"/>
            <w:tcBorders>
              <w:top w:val="single" w:color="AAAAAA" w:sz="4"/>
              <w:left w:val="single" w:color="AAAAAA" w:sz="4"/>
              <w:bottom w:val="single" w:color="AAAAAA" w:sz="4"/>
              <w:right w:val="single" w:color="AAAAAA" w:sz="4"/>
            </w:tcBorders>
            <w:shd w:fill="1F6B75"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Timeline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375623"/>
                <w:sz w:val="18"/>
                <w:szCs w:val="18"/>
              </w:rPr>
              <w:t xml:space="preserve">Avoid</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Establish Community Liaison Unit with local representative as point of contact. Conduct community engagement meetings before commencement in each village / town panchayat.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Social Officer / PMC</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Pre-Construction</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Retain NHAI's empanelled legal counsel for pre-emptive legal monitoring. Respond to all RTI queries within 30 days. Maintain documentation of LA compliance.</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NHAI Legal</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Ongoing</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1F6B75"/>
                <w:sz w:val="18"/>
                <w:szCs w:val="18"/>
              </w:rPr>
              <w:t xml:space="preserve">Transfer</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Court cases and LA litigation are NHAI's risk — contractor to claim EOT for delays due to judicial orders.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Contracts Manager</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 Trigger</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Include Dispute Adjudication Board (DAB) mechanism in subcontracts. Resolve subcontractor disputes within 21 days of formal notice.</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Project Director</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 Trigger</w:t>
            </w:r>
          </w:p>
        </w:tc>
      </w:tr>
    </w:tbl>
    <w:p>
      <w:pPr>
        <w:spacing w:after="80" w:before="60"/>
      </w:pPr>
      <w:r>
        <w:rPr>
          <w:rFonts w:ascii="Arial" w:cs="Arial" w:eastAsia="Arial" w:hAnsi="Arial"/>
          <w:color w:val="595959"/>
          <w:sz w:val="20"/>
          <w:szCs w:val="20"/>
        </w:rPr>
        <w:t xml:space="preserve"/>
      </w:r>
    </w:p>
    <w:p>
      <w:pPr>
        <w:spacing w:after="20" w:before="40"/>
      </w:pPr>
      <w:r>
        <w:rPr>
          <w:rFonts w:ascii="Arial" w:cs="Arial" w:eastAsia="Arial" w:hAnsi="Arial"/>
          <w:b/>
          <w:bCs/>
          <w:color w:val="1F6B75"/>
          <w:sz w:val="20"/>
          <w:szCs w:val="20"/>
        </w:rPr>
        <w:t xml:space="preserve">Early Warning Indicators:</w:t>
      </w:r>
    </w:p>
    <w:p>
      <w:pPr>
        <w:pStyle w:val="ListParagraph"/>
        <w:numPr>
          <w:ilvl w:val="0"/>
          <w:numId w:val="2"/>
        </w:numPr>
        <w:spacing w:after="40" w:before="40"/>
      </w:pPr>
      <w:r>
        <w:rPr>
          <w:rFonts w:ascii="Arial" w:cs="Arial" w:eastAsia="Arial" w:hAnsi="Arial"/>
          <w:color w:val="595959"/>
          <w:sz w:val="20"/>
          <w:szCs w:val="20"/>
        </w:rPr>
        <w:t xml:space="preserve">Local newspaper reports of community opposition</w:t>
      </w:r>
    </w:p>
    <w:p>
      <w:pPr>
        <w:pStyle w:val="ListParagraph"/>
        <w:numPr>
          <w:ilvl w:val="0"/>
          <w:numId w:val="2"/>
        </w:numPr>
        <w:spacing w:after="40" w:before="40"/>
      </w:pPr>
      <w:r>
        <w:rPr>
          <w:rFonts w:ascii="Arial" w:cs="Arial" w:eastAsia="Arial" w:hAnsi="Arial"/>
          <w:color w:val="595959"/>
          <w:sz w:val="20"/>
          <w:szCs w:val="20"/>
        </w:rPr>
        <w:t xml:space="preserve">Any PIL or RTI received referencing the project</w:t>
      </w:r>
    </w:p>
    <w:p>
      <w:pPr>
        <w:pStyle w:val="ListParagraph"/>
        <w:numPr>
          <w:ilvl w:val="0"/>
          <w:numId w:val="2"/>
        </w:numPr>
        <w:spacing w:after="40" w:before="40"/>
      </w:pPr>
      <w:r>
        <w:rPr>
          <w:rFonts w:ascii="Arial" w:cs="Arial" w:eastAsia="Arial" w:hAnsi="Arial"/>
          <w:color w:val="595959"/>
          <w:sz w:val="20"/>
          <w:szCs w:val="20"/>
        </w:rPr>
        <w:t xml:space="preserve">Formal legal notice from any affected party</w:t>
      </w:r>
    </w:p>
    <w:p>
      <w:pPr>
        <w:spacing w:after="80" w:before="60"/>
      </w:pPr>
      <w:r>
        <w:rPr>
          <w:rFonts w:ascii="Arial" w:cs="Arial" w:eastAsia="Arial" w:hAnsi="Arial"/>
          <w:color w:val="595959"/>
          <w:sz w:val="20"/>
          <w:szCs w:val="20"/>
        </w:rPr>
        <w:t xml:space="preserve"/>
      </w:r>
    </w:p>
    <w:p>
      <w:pPr>
        <w:pBdr>
          <w:bottom w:val="single" w:color="1F6B75" w:sz="8"/>
        </w:pBdr>
        <w:spacing w:after="80" w:before="80"/>
      </w:pPr>
    </w:p>
    <w:p>
      <w:pPr>
        <w:spacing w:after="80" w:before="60"/>
      </w:pPr>
      <w:r>
        <w:rPr>
          <w:rFonts w:ascii="Arial" w:cs="Arial" w:eastAsia="Arial" w:hAnsi="Arial"/>
          <w:color w:val="595959"/>
          <w:sz w:val="20"/>
          <w:szCs w:val="20"/>
        </w:rPr>
        <w:t xml:space="preserve"/>
      </w:r>
    </w:p>
    <w:p>
      <w:pPr>
        <w:pStyle w:val="Heading2"/>
        <w:spacing w:after="120" w:before="280"/>
      </w:pPr>
      <w:r>
        <w:rPr>
          <w:rFonts w:ascii="Arial" w:cs="Arial" w:eastAsia="Arial" w:hAnsi="Arial"/>
          <w:b/>
          <w:bCs/>
          <w:color w:val="2E5C8A"/>
          <w:sz w:val="28"/>
          <w:szCs w:val="28"/>
        </w:rPr>
        <w:t xml:space="preserve">4.11 Force Majeure Risks</w:t>
      </w:r>
    </w:p>
    <w:p>
      <w:pPr>
        <w:spacing w:after="80" w:before="60"/>
      </w:pPr>
      <w:r>
        <w:rPr>
          <w:rFonts w:ascii="Arial" w:cs="Arial" w:eastAsia="Arial" w:hAnsi="Arial"/>
          <w:color w:val="595959"/>
          <w:sz w:val="20"/>
          <w:szCs w:val="20"/>
        </w:rPr>
        <w:t xml:space="preserve">Force Majeure events — including war, earthquake, terrorist activity, and epidemic/pandemic — are typically excluded from contractor liability under NHAI EPC contract Clause 19. However, they require formal declaration, documentation, and insurance claim processes to be managed effectively.</w:t>
      </w:r>
    </w:p>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1F4E79"/>
          <w:sz w:val="22"/>
          <w:szCs w:val="22"/>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60"/>
        <w:gridCol w:w="900"/>
        <w:gridCol w:w="1000"/>
        <w:gridCol w:w="1460"/>
        <w:gridCol w:w="1500"/>
        <w:gridCol w:w="1100"/>
        <w:gridCol w:w="1040"/>
      </w:tblGrid>
      <w:tr>
        <w:tc>
          <w:tcPr>
            <w:tcW w:type="dxa" w:w="9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ID</w:t>
            </w:r>
          </w:p>
        </w:tc>
        <w:tc>
          <w:tcPr>
            <w:tcW w:type="dxa" w:w="146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Title</w:t>
            </w:r>
          </w:p>
        </w:tc>
        <w:tc>
          <w:tcPr>
            <w:tcW w:type="dxa" w:w="9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Probability</w:t>
            </w:r>
          </w:p>
        </w:tc>
        <w:tc>
          <w:tcPr>
            <w:tcW w:type="dxa" w:w="10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Impact</w:t>
            </w:r>
          </w:p>
        </w:tc>
        <w:tc>
          <w:tcPr>
            <w:tcW w:type="dxa" w:w="146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Cost Impact</w:t>
            </w:r>
          </w:p>
        </w:tc>
        <w:tc>
          <w:tcPr>
            <w:tcW w:type="dxa" w:w="15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Schedule Impact</w:t>
            </w:r>
          </w:p>
        </w:tc>
        <w:tc>
          <w:tcPr>
            <w:tcW w:type="dxa" w:w="11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Rating</w:t>
            </w:r>
          </w:p>
        </w:tc>
        <w:tc>
          <w:tcPr>
            <w:tcW w:type="dxa" w:w="104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Phase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4E79"/>
                <w:sz w:val="18"/>
                <w:szCs w:val="18"/>
              </w:rPr>
              <w:t xml:space="preserve">RK-FM-01</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Earthquake / Natural Disaster</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1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5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₹5–50 Cr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30–365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4E79"/>
                <w:sz w:val="18"/>
                <w:szCs w:val="18"/>
              </w:rPr>
              <w:t xml:space="preserve">RK-FM-02</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Epidemic / Pandemic (COVID-type Event)</w:t>
            </w:r>
          </w:p>
        </w:tc>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1 / 5</w:t>
            </w:r>
          </w:p>
        </w:tc>
        <w:tc>
          <w:tcPr>
            <w:tcW w:type="dxa" w:w="1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5 / 5</w:t>
            </w:r>
          </w:p>
        </w:tc>
        <w:tc>
          <w:tcPr>
            <w:tcW w:type="dxa" w:w="14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₹2–15 Cr</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30–180 days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0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4E79"/>
                <w:sz w:val="18"/>
                <w:szCs w:val="18"/>
              </w:rPr>
              <w:t xml:space="preserve">RK-FM-03</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National Emergency / War / Civil Unrest</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1 / 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595959"/>
                <w:sz w:val="18"/>
                <w:szCs w:val="18"/>
              </w:rPr>
              <w:t xml:space="preserve">4 / 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₹1–8 Cr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15–90 days</w:t>
            </w:r>
          </w:p>
        </w:tc>
        <w:tc>
          <w:tcPr>
            <w:tcW w:type="dxa" w:w="1000"/>
            <w:tcBorders>
              <w:top w:val="single" w:color="AAAAAA" w:sz="4"/>
              <w:left w:val="single" w:color="AAAAAA" w:sz="4"/>
              <w:bottom w:val="single" w:color="AAAAAA" w:sz="4"/>
              <w:right w:val="single" w:color="AAAAAA" w:sz="4"/>
            </w:tcBorders>
            <w:shd w:fill="FFC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c>
          <w:tcPr>
            <w:tcW w:type="dxa" w:w="10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Construction</w:t>
            </w:r>
          </w:p>
        </w:tc>
      </w:tr>
    </w:tbl>
    <w:p>
      <w:pPr>
        <w:spacing w:after="80" w:before="60"/>
      </w:pPr>
      <w:r>
        <w:rPr>
          <w:rFonts w:ascii="Arial" w:cs="Arial" w:eastAsia="Arial" w:hAnsi="Arial"/>
          <w:color w:val="595959"/>
          <w:sz w:val="20"/>
          <w:szCs w:val="20"/>
        </w:rPr>
        <w:t xml:space="preserve"/>
      </w:r>
    </w:p>
    <w:p>
      <w:pPr>
        <w:spacing w:after="40" w:before="80"/>
      </w:pPr>
      <w:r>
        <w:rPr>
          <w:rFonts w:ascii="Arial" w:cs="Arial" w:eastAsia="Arial" w:hAnsi="Arial"/>
          <w:b/>
          <w:bCs/>
          <w:color w:val="1F4E79"/>
          <w:sz w:val="22"/>
          <w:szCs w:val="22"/>
        </w:rPr>
        <w:t xml:space="preserve">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000"/>
        <w:gridCol w:w="2060"/>
      </w:tblGrid>
      <w:tr>
        <w:tc>
          <w:tcPr>
            <w:tcW w:type="dxa" w:w="11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Strategy</w:t>
            </w:r>
          </w:p>
        </w:tc>
        <w:tc>
          <w:tcPr>
            <w:tcW w:type="dxa" w:w="42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Mitigation Action</w:t>
            </w:r>
          </w:p>
        </w:tc>
        <w:tc>
          <w:tcPr>
            <w:tcW w:type="dxa" w:w="20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Responsible Owner</w:t>
            </w:r>
          </w:p>
        </w:tc>
        <w:tc>
          <w:tcPr>
            <w:tcW w:type="dxa" w:w="206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Timeline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595959"/>
                <w:sz w:val="18"/>
                <w:szCs w:val="18"/>
              </w:rPr>
              <w:t xml:space="preserve">Accept</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Issue formal Force Majeure notice to NHAI within 14 days of triggering event per Clause 19.2. Maintain independent damage assessment log.</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Project Director</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 Trigger</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vAlign w:val="center"/>
          </w:tcPr>
          <w:p>
            <w:pPr>
              <w:jc w:val="center"/>
            </w:pPr>
            <w:r>
              <w:rPr>
                <w:rFonts w:ascii="Arial" w:cs="Arial" w:eastAsia="Arial" w:hAnsi="Arial"/>
                <w:b/>
                <w:bCs/>
                <w:color w:val="1F6B75"/>
                <w:sz w:val="18"/>
                <w:szCs w:val="18"/>
              </w:rPr>
              <w:t xml:space="preserve">Transfer</w:t>
            </w:r>
          </w:p>
        </w:tc>
        <w:tc>
          <w:tcPr>
            <w:tcW w:type="dxa" w:w="4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Invoke CAR (Contractors' All Risk) insurance claim for material damage. Claim additional time under Clause 40 (Extension of Time) with supporting documentation.</w:t>
            </w:r>
          </w:p>
        </w:tc>
        <w:tc>
          <w:tcPr>
            <w:tcW w:type="dxa" w:w="2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Finance / Insurance</w:t>
            </w:r>
          </w:p>
        </w:tc>
        <w:tc>
          <w:tcPr>
            <w:tcW w:type="dxa" w:w="20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On Trigger</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vAlign w:val="center"/>
          </w:tcPr>
          <w:p>
            <w:pPr>
              <w:jc w:val="center"/>
            </w:pPr>
            <w:r>
              <w:rPr>
                <w:rFonts w:ascii="Arial" w:cs="Arial" w:eastAsia="Arial" w:hAnsi="Arial"/>
                <w:b/>
                <w:bCs/>
                <w:color w:val="2E5C8A"/>
                <w:sz w:val="18"/>
                <w:szCs w:val="18"/>
              </w:rPr>
              <w:t xml:space="preserve">Mitigate</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Maintain emergency response plan including evacuation procedures, emergency contact directory, and coordination protocol with NDRF, SDRF, and District Disaster Management Authority.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HSE / Site Manager</w:t>
            </w:r>
          </w:p>
        </w:tc>
        <w:tc>
          <w:tcPr>
            <w:tcW w:type="dxa" w:w="20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Pre-Mobilization</w:t>
            </w:r>
          </w:p>
        </w:tc>
      </w:tr>
    </w:tbl>
    <w:p>
      <w:pPr>
        <w:spacing w:after="80" w:before="60"/>
      </w:pPr>
      <w:r>
        <w:rPr>
          <w:rFonts w:ascii="Arial" w:cs="Arial" w:eastAsia="Arial" w:hAnsi="Arial"/>
          <w:color w:val="595959"/>
          <w:sz w:val="20"/>
          <w:szCs w:val="20"/>
        </w:rPr>
        <w:t xml:space="preserve"/>
      </w:r>
    </w:p>
    <w:p>
      <w:pPr>
        <w:spacing w:after="20" w:before="40"/>
      </w:pPr>
      <w:r>
        <w:rPr>
          <w:rFonts w:ascii="Arial" w:cs="Arial" w:eastAsia="Arial" w:hAnsi="Arial"/>
          <w:b/>
          <w:bCs/>
          <w:color w:val="1F4E79"/>
          <w:sz w:val="20"/>
          <w:szCs w:val="20"/>
        </w:rPr>
        <w:t xml:space="preserve">Early Warning Indicators:</w:t>
      </w:r>
    </w:p>
    <w:p>
      <w:pPr>
        <w:pStyle w:val="ListParagraph"/>
        <w:numPr>
          <w:ilvl w:val="0"/>
          <w:numId w:val="2"/>
        </w:numPr>
        <w:spacing w:after="40" w:before="40"/>
      </w:pPr>
      <w:r>
        <w:rPr>
          <w:rFonts w:ascii="Arial" w:cs="Arial" w:eastAsia="Arial" w:hAnsi="Arial"/>
          <w:color w:val="595959"/>
          <w:sz w:val="20"/>
          <w:szCs w:val="20"/>
        </w:rPr>
        <w:t xml:space="preserve">District Disaster Management Authority issuing advisory</w:t>
      </w:r>
    </w:p>
    <w:p>
      <w:pPr>
        <w:pStyle w:val="ListParagraph"/>
        <w:numPr>
          <w:ilvl w:val="0"/>
          <w:numId w:val="2"/>
        </w:numPr>
        <w:spacing w:after="40" w:before="40"/>
      </w:pPr>
      <w:r>
        <w:rPr>
          <w:rFonts w:ascii="Arial" w:cs="Arial" w:eastAsia="Arial" w:hAnsi="Arial"/>
          <w:color w:val="595959"/>
          <w:sz w:val="20"/>
          <w:szCs w:val="20"/>
        </w:rPr>
        <w:t xml:space="preserve">IMD cyclone/flood watch for project region</w:t>
      </w:r>
    </w:p>
    <w:p>
      <w:pPr>
        <w:pStyle w:val="ListParagraph"/>
        <w:numPr>
          <w:ilvl w:val="0"/>
          <w:numId w:val="2"/>
        </w:numPr>
        <w:spacing w:after="40" w:before="40"/>
      </w:pPr>
      <w:r>
        <w:rPr>
          <w:rFonts w:ascii="Arial" w:cs="Arial" w:eastAsia="Arial" w:hAnsi="Arial"/>
          <w:color w:val="595959"/>
          <w:sz w:val="20"/>
          <w:szCs w:val="20"/>
        </w:rPr>
        <w:t xml:space="preserve">National health authority declaring disease outbreak in project state</w:t>
      </w:r>
    </w:p>
    <w:p>
      <w:pPr>
        <w:spacing w:after="80" w:before="60"/>
      </w:pPr>
      <w:r>
        <w:rPr>
          <w:rFonts w:ascii="Arial" w:cs="Arial" w:eastAsia="Arial" w:hAnsi="Arial"/>
          <w:color w:val="595959"/>
          <w:sz w:val="20"/>
          <w:szCs w:val="20"/>
        </w:rPr>
        <w:t xml:space="preserve"/>
      </w:r>
    </w:p>
    <w:p>
      <w:pPr>
        <w:pBdr>
          <w:bottom w:val="single" w:color="1F4E79" w:sz="8"/>
        </w:pBdr>
        <w:spacing w:after="80" w:before="80"/>
      </w:pPr>
    </w:p>
    <w:p>
      <w:pPr>
        <w:spacing w:after="80" w:before="60"/>
      </w:pPr>
      <w:r>
        <w:rPr>
          <w:rFonts w:ascii="Arial" w:cs="Arial" w:eastAsia="Arial" w:hAnsi="Arial"/>
          <w:color w:val="595959"/>
          <w:sz w:val="20"/>
          <w:szCs w:val="20"/>
        </w:rPr>
        <w:t xml:space="preserve"/>
      </w:r>
    </w:p>
    <w:p>
      <w:r>
        <w:br w:type="page"/>
      </w:r>
    </w:p>
    <w:p>
      <w:pPr>
        <w:pStyle w:val="Heading1"/>
        <w:spacing w:after="160" w:before="320"/>
      </w:pPr>
      <w:r>
        <w:rPr>
          <w:rFonts w:ascii="Arial" w:cs="Arial" w:eastAsia="Arial" w:hAnsi="Arial"/>
          <w:b/>
          <w:bCs/>
          <w:color w:val="1F3864"/>
          <w:sz w:val="36"/>
          <w:szCs w:val="36"/>
        </w:rPr>
        <w:t xml:space="preserve">5. Consolidated Risk Register Summary</w:t>
      </w:r>
    </w:p>
    <w:p>
      <w:pPr>
        <w:pBdr>
          <w:bottom w:val="single" w:color="2E75B6" w:sz="8"/>
        </w:pBdr>
        <w:spacing w:after="80" w:before="80"/>
      </w:pPr>
    </w:p>
    <w:p>
      <w:pPr>
        <w:spacing w:after="80" w:before="60"/>
      </w:pPr>
      <w:r>
        <w:rPr>
          <w:rFonts w:ascii="Arial" w:cs="Arial" w:eastAsia="Arial" w:hAnsi="Arial"/>
          <w:color w:val="595959"/>
          <w:sz w:val="20"/>
          <w:szCs w:val="20"/>
        </w:rPr>
        <w:t xml:space="preserve">The table below provides a consolidated view of all top-priority risks across categories, their current status, and ownership. This serves as the executive dashboard for weekly risk review meetings.</w:t>
      </w:r>
    </w:p>
    <w:p>
      <w:pPr>
        <w:spacing w:after="80" w:before="60"/>
      </w:pPr>
      <w:r>
        <w:rPr>
          <w:rFonts w:ascii="Arial" w:cs="Arial" w:eastAsia="Arial" w:hAnsi="Arial"/>
          <w:color w:val="59595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1000"/>
        <w:gridCol w:w="1800"/>
        <w:gridCol w:w="960"/>
      </w:tblGrid>
      <w:tr>
        <w:tc>
          <w:tcPr>
            <w:tcW w:type="dxa" w:w="9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ID</w:t>
            </w:r>
          </w:p>
        </w:tc>
        <w:tc>
          <w:tcPr>
            <w:tcW w:type="dxa" w:w="22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Title</w:t>
            </w:r>
          </w:p>
        </w:tc>
        <w:tc>
          <w:tcPr>
            <w:tcW w:type="dxa" w:w="15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Category</w:t>
            </w:r>
          </w:p>
        </w:tc>
        <w:tc>
          <w:tcPr>
            <w:tcW w:type="dxa" w:w="10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Rating</w:t>
            </w:r>
          </w:p>
        </w:tc>
        <w:tc>
          <w:tcPr>
            <w:tcW w:type="dxa" w:w="18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Risk Owner</w:t>
            </w:r>
          </w:p>
        </w:tc>
        <w:tc>
          <w:tcPr>
            <w:tcW w:type="dxa" w:w="96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RK-LA-01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Delayed ROW Handover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Land Acquisition</w:t>
            </w:r>
          </w:p>
        </w:tc>
        <w:tc>
          <w:tcPr>
            <w:tcW w:type="dxa" w:w="1000"/>
            <w:tcBorders>
              <w:top w:val="single" w:color="AAAAAA" w:sz="4"/>
              <w:left w:val="single" w:color="AAAAAA" w:sz="4"/>
              <w:bottom w:val="single" w:color="AAAAAA" w:sz="4"/>
              <w:right w:val="single" w:color="AAAAAA"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CRITICAL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NHAI PD</w:t>
            </w:r>
          </w:p>
        </w:tc>
        <w:tc>
          <w:tcPr>
            <w:tcW w:type="dxa" w:w="96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tcPr>
          <w:p>
            <w:pPr>
              <w:jc w:val="center"/>
            </w:pPr>
            <w:r>
              <w:rPr>
                <w:rFonts w:ascii="Arial" w:cs="Arial" w:eastAsia="Arial" w:hAnsi="Arial"/>
                <w:b/>
                <w:bCs/>
                <w:color w:val="C55A11"/>
                <w:sz w:val="18"/>
                <w:szCs w:val="18"/>
              </w:rPr>
              <w:t xml:space="preserve">Open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RK-LA-03</w:t>
            </w:r>
          </w:p>
        </w:tc>
        <w:tc>
          <w:tcPr>
            <w:tcW w:type="dxa" w:w="2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Utility Conflict (OFC/Pipeline)</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Land Acquisition</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NHAI AE</w:t>
            </w:r>
          </w:p>
        </w:tc>
        <w:tc>
          <w:tcPr>
            <w:tcW w:type="dxa" w:w="96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tcPr>
          <w:p>
            <w:pPr>
              <w:jc w:val="center"/>
            </w:pPr>
            <w:r>
              <w:rPr>
                <w:rFonts w:ascii="Arial" w:cs="Arial" w:eastAsia="Arial" w:hAnsi="Arial"/>
                <w:b/>
                <w:bCs/>
                <w:color w:val="1F6B75"/>
                <w:sz w:val="18"/>
                <w:szCs w:val="18"/>
              </w:rPr>
              <w:t xml:space="preserve">Monitoring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RK-GEO-01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Unexpected Rock Formation</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Geotechnical</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EPC Contractor</w:t>
            </w:r>
          </w:p>
        </w:tc>
        <w:tc>
          <w:tcPr>
            <w:tcW w:type="dxa" w:w="96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tcPr>
          <w:p>
            <w:pPr>
              <w:jc w:val="center"/>
            </w:pPr>
            <w:r>
              <w:rPr>
                <w:rFonts w:ascii="Arial" w:cs="Arial" w:eastAsia="Arial" w:hAnsi="Arial"/>
                <w:b/>
                <w:bCs/>
                <w:color w:val="C55A11"/>
                <w:sz w:val="18"/>
                <w:szCs w:val="18"/>
              </w:rPr>
              <w:t xml:space="preserve">Open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RK-MW-01</w:t>
            </w:r>
          </w:p>
        </w:tc>
        <w:tc>
          <w:tcPr>
            <w:tcW w:type="dxa" w:w="2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Monsoon Site Flooding</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Weather</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Site Manager</w:t>
            </w:r>
          </w:p>
        </w:tc>
        <w:tc>
          <w:tcPr>
            <w:tcW w:type="dxa" w:w="96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tcPr>
          <w:p>
            <w:pPr>
              <w:jc w:val="center"/>
            </w:pPr>
            <w:r>
              <w:rPr>
                <w:rFonts w:ascii="Arial" w:cs="Arial" w:eastAsia="Arial" w:hAnsi="Arial"/>
                <w:b/>
                <w:bCs/>
                <w:color w:val="1F6B75"/>
                <w:sz w:val="18"/>
                <w:szCs w:val="18"/>
              </w:rPr>
              <w:t xml:space="preserve">Monitoring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RK-MAT-01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Bitumen Price Escalation</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Materials</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Procurement Mgr.</w:t>
            </w:r>
          </w:p>
        </w:tc>
        <w:tc>
          <w:tcPr>
            <w:tcW w:type="dxa" w:w="96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tcPr>
          <w:p>
            <w:pPr>
              <w:jc w:val="center"/>
            </w:pPr>
            <w:r>
              <w:rPr>
                <w:rFonts w:ascii="Arial" w:cs="Arial" w:eastAsia="Arial" w:hAnsi="Arial"/>
                <w:b/>
                <w:bCs/>
                <w:color w:val="C55A11"/>
                <w:sz w:val="18"/>
                <w:szCs w:val="18"/>
              </w:rPr>
              <w:t xml:space="preserve">Open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RK-LAB-02</w:t>
            </w:r>
          </w:p>
        </w:tc>
        <w:tc>
          <w:tcPr>
            <w:tcW w:type="dxa" w:w="2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Labour Unrest / Strike</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Labour</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HR Manager</w:t>
            </w:r>
          </w:p>
        </w:tc>
        <w:tc>
          <w:tcPr>
            <w:tcW w:type="dxa" w:w="96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tcPr>
          <w:p>
            <w:pPr>
              <w:jc w:val="center"/>
            </w:pPr>
            <w:r>
              <w:rPr>
                <w:rFonts w:ascii="Arial" w:cs="Arial" w:eastAsia="Arial" w:hAnsi="Arial"/>
                <w:b/>
                <w:bCs/>
                <w:color w:val="1F6B75"/>
                <w:sz w:val="18"/>
                <w:szCs w:val="18"/>
              </w:rPr>
              <w:t xml:space="preserve">Monitoring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RK-ENV-01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Forest Clearance Delay</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Environmental</w:t>
            </w:r>
          </w:p>
        </w:tc>
        <w:tc>
          <w:tcPr>
            <w:tcW w:type="dxa" w:w="1000"/>
            <w:tcBorders>
              <w:top w:val="single" w:color="AAAAAA" w:sz="4"/>
              <w:left w:val="single" w:color="AAAAAA" w:sz="4"/>
              <w:bottom w:val="single" w:color="AAAAAA" w:sz="4"/>
              <w:right w:val="single" w:color="AAAAAA"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CRITICAL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NHAI/PMC Env.</w:t>
            </w:r>
          </w:p>
        </w:tc>
        <w:tc>
          <w:tcPr>
            <w:tcW w:type="dxa" w:w="96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tcPr>
          <w:p>
            <w:pPr>
              <w:jc w:val="center"/>
            </w:pPr>
            <w:r>
              <w:rPr>
                <w:rFonts w:ascii="Arial" w:cs="Arial" w:eastAsia="Arial" w:hAnsi="Arial"/>
                <w:b/>
                <w:bCs/>
                <w:color w:val="C55A11"/>
                <w:sz w:val="18"/>
                <w:szCs w:val="18"/>
              </w:rPr>
              <w:t xml:space="preserve">Open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RK-FIN-02</w:t>
            </w:r>
          </w:p>
        </w:tc>
        <w:tc>
          <w:tcPr>
            <w:tcW w:type="dxa" w:w="2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Contractor Default</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Financial</w:t>
            </w:r>
          </w:p>
        </w:tc>
        <w:tc>
          <w:tcPr>
            <w:tcW w:type="dxa" w:w="1000"/>
            <w:tcBorders>
              <w:top w:val="single" w:color="AAAAAA" w:sz="4"/>
              <w:left w:val="single" w:color="AAAAAA" w:sz="4"/>
              <w:bottom w:val="single" w:color="AAAAAA" w:sz="4"/>
              <w:right w:val="single" w:color="AAAAAA"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CRITICAL</w:t>
            </w:r>
          </w:p>
        </w:tc>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NHAI PD</w:t>
            </w:r>
          </w:p>
        </w:tc>
        <w:tc>
          <w:tcPr>
            <w:tcW w:type="dxa" w:w="96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tcPr>
          <w:p>
            <w:pPr>
              <w:jc w:val="center"/>
            </w:pPr>
            <w:r>
              <w:rPr>
                <w:rFonts w:ascii="Arial" w:cs="Arial" w:eastAsia="Arial" w:hAnsi="Arial"/>
                <w:b/>
                <w:bCs/>
                <w:color w:val="1F6B75"/>
                <w:sz w:val="18"/>
                <w:szCs w:val="18"/>
              </w:rPr>
              <w:t xml:space="preserve">Monitoring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RK-HSE-01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Fatal Construction Accident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HSE</w:t>
            </w:r>
          </w:p>
        </w:tc>
        <w:tc>
          <w:tcPr>
            <w:tcW w:type="dxa" w:w="1000"/>
            <w:tcBorders>
              <w:top w:val="single" w:color="AAAAAA" w:sz="4"/>
              <w:left w:val="single" w:color="AAAAAA" w:sz="4"/>
              <w:bottom w:val="single" w:color="AAAAAA" w:sz="4"/>
              <w:right w:val="single" w:color="AAAAAA"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CRITICAL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HSE Manager</w:t>
            </w:r>
          </w:p>
        </w:tc>
        <w:tc>
          <w:tcPr>
            <w:tcW w:type="dxa" w:w="96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tcPr>
          <w:p>
            <w:pPr>
              <w:jc w:val="center"/>
            </w:pPr>
            <w:r>
              <w:rPr>
                <w:rFonts w:ascii="Arial" w:cs="Arial" w:eastAsia="Arial" w:hAnsi="Arial"/>
                <w:b/>
                <w:bCs/>
                <w:color w:val="C55A11"/>
                <w:sz w:val="18"/>
                <w:szCs w:val="18"/>
              </w:rPr>
              <w:t xml:space="preserve">Open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RK-LO-02</w:t>
            </w:r>
          </w:p>
        </w:tc>
        <w:tc>
          <w:tcPr>
            <w:tcW w:type="dxa" w:w="2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Court Injunction / Stay Order</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Legal</w:t>
            </w:r>
          </w:p>
        </w:tc>
        <w:tc>
          <w:tcPr>
            <w:tcW w:type="dxa" w:w="1000"/>
            <w:tcBorders>
              <w:top w:val="single" w:color="AAAAAA" w:sz="4"/>
              <w:left w:val="single" w:color="AAAAAA" w:sz="4"/>
              <w:bottom w:val="single" w:color="AAAAAA" w:sz="4"/>
              <w:right w:val="single" w:color="AAAAAA"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CRITICAL</w:t>
            </w:r>
          </w:p>
        </w:tc>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NHAI Legal</w:t>
            </w:r>
          </w:p>
        </w:tc>
        <w:tc>
          <w:tcPr>
            <w:tcW w:type="dxa" w:w="96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tcPr>
          <w:p>
            <w:pPr>
              <w:jc w:val="center"/>
            </w:pPr>
            <w:r>
              <w:rPr>
                <w:rFonts w:ascii="Arial" w:cs="Arial" w:eastAsia="Arial" w:hAnsi="Arial"/>
                <w:b/>
                <w:bCs/>
                <w:color w:val="1F6B75"/>
                <w:sz w:val="18"/>
                <w:szCs w:val="18"/>
              </w:rPr>
              <w:t xml:space="preserve">Monitoring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RK-DES-02</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Mid-Project Grade Separator Addition</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Design</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PMC Design</w:t>
            </w:r>
          </w:p>
        </w:tc>
        <w:tc>
          <w:tcPr>
            <w:tcW w:type="dxa" w:w="96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80"/>
            </w:tcMar>
          </w:tcPr>
          <w:p>
            <w:pPr>
              <w:jc w:val="center"/>
            </w:pPr>
            <w:r>
              <w:rPr>
                <w:rFonts w:ascii="Arial" w:cs="Arial" w:eastAsia="Arial" w:hAnsi="Arial"/>
                <w:b/>
                <w:bCs/>
                <w:color w:val="C55A11"/>
                <w:sz w:val="18"/>
                <w:szCs w:val="18"/>
              </w:rPr>
              <w:t xml:space="preserve">Open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RK-FM-01</w:t>
            </w:r>
          </w:p>
        </w:tc>
        <w:tc>
          <w:tcPr>
            <w:tcW w:type="dxa" w:w="2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Earthquake / Natural Disaster</w:t>
            </w:r>
          </w:p>
        </w:tc>
        <w:tc>
          <w:tcPr>
            <w:tcW w:type="dxa" w:w="1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2E5C8A"/>
                <w:sz w:val="18"/>
                <w:szCs w:val="18"/>
              </w:rPr>
              <w:t xml:space="preserve">Force Majeure</w:t>
            </w:r>
          </w:p>
        </w:tc>
        <w:tc>
          <w:tcPr>
            <w:tcW w:type="dxa" w:w="1000"/>
            <w:tcBorders>
              <w:top w:val="single" w:color="AAAAAA" w:sz="4"/>
              <w:left w:val="single" w:color="AAAAAA" w:sz="4"/>
              <w:bottom w:val="single" w:color="AAAAAA" w:sz="4"/>
              <w:right w:val="single" w:color="AAAAAA"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595959"/>
                <w:sz w:val="18"/>
                <w:szCs w:val="18"/>
              </w:rPr>
              <w:t xml:space="preserve">Project Director</w:t>
            </w:r>
          </w:p>
        </w:tc>
        <w:tc>
          <w:tcPr>
            <w:tcW w:type="dxa" w:w="96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80"/>
            </w:tcMar>
          </w:tcPr>
          <w:p>
            <w:pPr>
              <w:jc w:val="center"/>
            </w:pPr>
            <w:r>
              <w:rPr>
                <w:rFonts w:ascii="Arial" w:cs="Arial" w:eastAsia="Arial" w:hAnsi="Arial"/>
                <w:b/>
                <w:bCs/>
                <w:color w:val="1F6B75"/>
                <w:sz w:val="18"/>
                <w:szCs w:val="18"/>
              </w:rPr>
              <w:t xml:space="preserve">Monitoring</w:t>
            </w:r>
          </w:p>
        </w:tc>
      </w:tr>
    </w:tbl>
    <w:p>
      <w:pPr>
        <w:spacing w:after="80" w:before="60"/>
      </w:pPr>
      <w:r>
        <w:rPr>
          <w:rFonts w:ascii="Arial" w:cs="Arial" w:eastAsia="Arial" w:hAnsi="Arial"/>
          <w:color w:val="595959"/>
          <w:sz w:val="20"/>
          <w:szCs w:val="20"/>
        </w:rPr>
        <w:t xml:space="preserve"/>
      </w:r>
    </w:p>
    <w:p>
      <w:r>
        <w:br w:type="page"/>
      </w:r>
    </w:p>
    <w:p>
      <w:pPr>
        <w:pStyle w:val="Heading1"/>
        <w:spacing w:after="160" w:before="320"/>
      </w:pPr>
      <w:r>
        <w:rPr>
          <w:rFonts w:ascii="Arial" w:cs="Arial" w:eastAsia="Arial" w:hAnsi="Arial"/>
          <w:b/>
          <w:bCs/>
          <w:color w:val="1F3864"/>
          <w:sz w:val="36"/>
          <w:szCs w:val="36"/>
        </w:rPr>
        <w:t xml:space="preserve">6. Risk Governance &amp; Review Protocol</w:t>
      </w:r>
    </w:p>
    <w:p>
      <w:pPr>
        <w:pBdr>
          <w:bottom w:val="single" w:color="2E75B6" w:sz="8"/>
        </w:pBdr>
        <w:spacing w:after="80" w:before="80"/>
      </w:pPr>
    </w:p>
    <w:p>
      <w:pPr>
        <w:pStyle w:val="Heading2"/>
        <w:spacing w:after="120" w:before="280"/>
      </w:pPr>
      <w:r>
        <w:rPr>
          <w:rFonts w:ascii="Arial" w:cs="Arial" w:eastAsia="Arial" w:hAnsi="Arial"/>
          <w:b/>
          <w:bCs/>
          <w:color w:val="2E5C8A"/>
          <w:sz w:val="28"/>
          <w:szCs w:val="28"/>
        </w:rPr>
        <w:t xml:space="preserve">6.1 Risk Management Roles &amp; Responsibilities</w:t>
      </w:r>
    </w:p>
    <w:p>
      <w:pPr>
        <w:spacing w:after="80" w:before="60"/>
      </w:pPr>
      <w:r>
        <w:rPr>
          <w:rFonts w:ascii="Arial" w:cs="Arial" w:eastAsia="Arial" w:hAnsi="Arial"/>
          <w:color w:val="59595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Role</w:t>
            </w:r>
          </w:p>
        </w:tc>
        <w:tc>
          <w:tcPr>
            <w:tcW w:type="dxa" w:w="35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Responsibility</w:t>
            </w:r>
          </w:p>
        </w:tc>
        <w:tc>
          <w:tcPr>
            <w:tcW w:type="dxa" w:w="336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Reporting Frequency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NHAI Project Director</w:t>
            </w:r>
          </w:p>
        </w:tc>
        <w:tc>
          <w:tcPr>
            <w:tcW w:type="dxa" w:w="3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Overall risk ownership; approval of Critical/High rated risks; contract actions</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Weekly to NHAI RO</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PMC Risk Manager</w:t>
            </w:r>
          </w:p>
        </w:tc>
        <w:tc>
          <w:tcPr>
            <w:tcW w:type="dxa" w:w="3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Risk identification, scoring, register maintenance, early warning monitoring</w:t>
            </w:r>
          </w:p>
        </w:tc>
        <w:tc>
          <w:tcPr>
            <w:tcW w:type="dxa" w:w="33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Weekly to NHAI PD</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EPC Project Manager</w:t>
            </w:r>
          </w:p>
        </w:tc>
        <w:tc>
          <w:tcPr>
            <w:tcW w:type="dxa" w:w="3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Implementation of mitigation actions; reporting realized risks; escalation</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Daily site log; weekly risk update</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Site Engineers / Package Heads</w:t>
            </w:r>
          </w:p>
        </w:tc>
        <w:tc>
          <w:tcPr>
            <w:tcW w:type="dxa" w:w="3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First-level risk identification; early warning observation; contingency activation</w:t>
            </w:r>
          </w:p>
        </w:tc>
        <w:tc>
          <w:tcPr>
            <w:tcW w:type="dxa" w:w="33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Daily to EPC PM</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Legal / Finance / Insurance</w:t>
            </w:r>
          </w:p>
        </w:tc>
        <w:tc>
          <w:tcPr>
            <w:tcW w:type="dxa" w:w="3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Contract risk mitigation; insurance claims; financial risk monitoring</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Monthly; on trigger</w:t>
            </w:r>
          </w:p>
        </w:tc>
      </w:tr>
    </w:tbl>
    <w:p>
      <w:pPr>
        <w:spacing w:after="80" w:before="60"/>
      </w:pPr>
      <w:r>
        <w:rPr>
          <w:rFonts w:ascii="Arial" w:cs="Arial" w:eastAsia="Arial" w:hAnsi="Arial"/>
          <w:color w:val="595959"/>
          <w:sz w:val="20"/>
          <w:szCs w:val="20"/>
        </w:rPr>
        <w:t xml:space="preserve"/>
      </w:r>
    </w:p>
    <w:p>
      <w:pPr>
        <w:pStyle w:val="Heading2"/>
        <w:spacing w:after="120" w:before="280"/>
      </w:pPr>
      <w:r>
        <w:rPr>
          <w:rFonts w:ascii="Arial" w:cs="Arial" w:eastAsia="Arial" w:hAnsi="Arial"/>
          <w:b/>
          <w:bCs/>
          <w:color w:val="2E5C8A"/>
          <w:sz w:val="28"/>
          <w:szCs w:val="28"/>
        </w:rPr>
        <w:t xml:space="preserve">6.2 Risk Review Meeting Schedule</w:t>
      </w:r>
    </w:p>
    <w:p>
      <w:pPr>
        <w:spacing w:after="80" w:before="60"/>
      </w:pPr>
      <w:r>
        <w:rPr>
          <w:rFonts w:ascii="Arial" w:cs="Arial" w:eastAsia="Arial" w:hAnsi="Arial"/>
          <w:color w:val="59595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Meeting Type</w:t>
            </w:r>
          </w:p>
        </w:tc>
        <w:tc>
          <w:tcPr>
            <w:tcW w:type="dxa" w:w="234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Frequency</w:t>
            </w:r>
          </w:p>
        </w:tc>
        <w:tc>
          <w:tcPr>
            <w:tcW w:type="dxa" w:w="234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Participants</w:t>
            </w:r>
          </w:p>
        </w:tc>
        <w:tc>
          <w:tcPr>
            <w:tcW w:type="dxa" w:w="2340"/>
            <w:gridSpan w:val="1"/>
            <w:tcBorders>
              <w:top w:val="single" w:color="AAAAAA" w:sz="4"/>
              <w:left w:val="single" w:color="AAAAAA" w:sz="4"/>
              <w:bottom w:val="single" w:color="AAAAAA" w:sz="4"/>
              <w:right w:val="single" w:color="AAAAAA" w:sz="4"/>
            </w:tcBorders>
            <w:shd w:fill="2E5C8A"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Output</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Site Risk Huddle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Daily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Site Eng., HSE, PMC</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Early warning log</w:t>
            </w:r>
          </w:p>
        </w:tc>
      </w:tr>
      <w:tr>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Weekly Risk Review</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Every Monday</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PMC, EPC PM, NHAI PD</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Updated risk register</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Monthly Risk Committee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Last Friday of month</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All stakeholders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Escalation decisions</w:t>
            </w:r>
          </w:p>
        </w:tc>
      </w:tr>
      <w:tr>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Quarterly Risk Audit</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Every 3 months</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Independent PMC + NHAI</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Audit report to HQ</w:t>
            </w:r>
          </w:p>
        </w:tc>
      </w:tr>
    </w:tbl>
    <w:p>
      <w:pPr>
        <w:spacing w:after="80" w:before="60"/>
      </w:pPr>
      <w:r>
        <w:rPr>
          <w:rFonts w:ascii="Arial" w:cs="Arial" w:eastAsia="Arial" w:hAnsi="Arial"/>
          <w:color w:val="595959"/>
          <w:sz w:val="20"/>
          <w:szCs w:val="20"/>
        </w:rPr>
        <w:t xml:space="preserve"/>
      </w:r>
    </w:p>
    <w:p>
      <w:pPr>
        <w:pStyle w:val="Heading2"/>
        <w:spacing w:after="120" w:before="280"/>
      </w:pPr>
      <w:r>
        <w:rPr>
          <w:rFonts w:ascii="Arial" w:cs="Arial" w:eastAsia="Arial" w:hAnsi="Arial"/>
          <w:b/>
          <w:bCs/>
          <w:color w:val="2E5C8A"/>
          <w:sz w:val="28"/>
          <w:szCs w:val="28"/>
        </w:rPr>
        <w:t xml:space="preserve">6.3 Risk Escalation Threshold</w:t>
      </w:r>
    </w:p>
    <w:p>
      <w:pPr>
        <w:spacing w:after="80" w:before="60"/>
      </w:pPr>
      <w:r>
        <w:rPr>
          <w:rFonts w:ascii="Arial" w:cs="Arial" w:eastAsia="Arial" w:hAnsi="Arial"/>
          <w:color w:val="595959"/>
          <w:sz w:val="20"/>
          <w:szCs w:val="20"/>
        </w:rPr>
        <w:t xml:space="preserve">Any risk whose score increases by 3 or more points between review cycles must be immediately escalated to the next authority level. Any risk newly rated as Critical must be reported to NHAI Headquarters within 48 hours with a mitigation action plan.</w:t>
      </w:r>
    </w:p>
    <w:p>
      <w:pPr>
        <w:spacing w:after="80" w:before="60"/>
      </w:pPr>
      <w:r>
        <w:rPr>
          <w:rFonts w:ascii="Arial" w:cs="Arial" w:eastAsia="Arial" w:hAnsi="Arial"/>
          <w:color w:val="595959"/>
          <w:sz w:val="20"/>
          <w:szCs w:val="20"/>
        </w:rPr>
        <w:t xml:space="preserve"/>
      </w:r>
    </w:p>
    <w:p>
      <w:pPr>
        <w:pStyle w:val="Heading2"/>
        <w:spacing w:after="120" w:before="280"/>
      </w:pPr>
      <w:r>
        <w:rPr>
          <w:rFonts w:ascii="Arial" w:cs="Arial" w:eastAsia="Arial" w:hAnsi="Arial"/>
          <w:b/>
          <w:bCs/>
          <w:color w:val="2E5C8A"/>
          <w:sz w:val="28"/>
          <w:szCs w:val="28"/>
        </w:rPr>
        <w:t xml:space="preserve">6.4 Risk Register Maintenance</w:t>
      </w:r>
    </w:p>
    <w:p>
      <w:pPr>
        <w:spacing w:after="80" w:before="60"/>
      </w:pPr>
      <w:r>
        <w:rPr>
          <w:rFonts w:ascii="Arial" w:cs="Arial" w:eastAsia="Arial" w:hAnsi="Arial"/>
          <w:color w:val="595959"/>
          <w:sz w:val="20"/>
          <w:szCs w:val="20"/>
        </w:rPr>
        <w:t xml:space="preserve">The Risk Master Register shall be maintained as a live digital document in the Project Management Information System (PMIS). Version control is mandatory — each approved update increments the version number. Archived versions are retained for the life of the project plus 10 years per NHAI document retention policy.</w:t>
      </w:r>
    </w:p>
    <w:p>
      <w:r>
        <w:br w:type="page"/>
      </w:r>
    </w:p>
    <w:p>
      <w:pPr>
        <w:pStyle w:val="Heading1"/>
        <w:spacing w:after="160" w:before="320"/>
      </w:pPr>
      <w:r>
        <w:rPr>
          <w:rFonts w:ascii="Arial" w:cs="Arial" w:eastAsia="Arial" w:hAnsi="Arial"/>
          <w:b/>
          <w:bCs/>
          <w:color w:val="1F3864"/>
          <w:sz w:val="36"/>
          <w:szCs w:val="36"/>
        </w:rPr>
        <w:t xml:space="preserve">7. Glossary of Terms</w:t>
      </w:r>
    </w:p>
    <w:p>
      <w:pPr>
        <w:pBdr>
          <w:bottom w:val="single" w:color="2E75B6" w:sz="8"/>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Abbreviation</w:t>
            </w:r>
          </w:p>
        </w:tc>
        <w:tc>
          <w:tcPr>
            <w:tcW w:type="dxa" w:w="7560"/>
            <w:gridSpan w:val="1"/>
            <w:tcBorders>
              <w:top w:val="single" w:color="AAAAAA" w:sz="4"/>
              <w:left w:val="single" w:color="AAAAAA" w:sz="4"/>
              <w:bottom w:val="single" w:color="AAAAAA" w:sz="4"/>
              <w:right w:val="single" w:color="AAAAAA" w:sz="4"/>
            </w:tcBorders>
            <w:shd w:fill="1F4E79" w:val="clear"/>
            <w:tcMar>
              <w:top w:type="dxa" w:w="80"/>
              <w:left w:type="dxa" w:w="150"/>
              <w:bottom w:type="dxa" w:w="80"/>
              <w:right w:type="dxa" w:w="100"/>
            </w:tcMar>
            <w:vAlign w:val="center"/>
          </w:tcPr>
          <w:p>
            <w:pPr>
              <w:jc w:val="center"/>
            </w:pPr>
            <w:r>
              <w:rPr>
                <w:rFonts w:ascii="Arial" w:cs="Arial" w:eastAsia="Arial" w:hAnsi="Arial"/>
                <w:b/>
                <w:bCs/>
                <w:color w:val="FFFFFF"/>
                <w:sz w:val="18"/>
                <w:szCs w:val="18"/>
              </w:rPr>
              <w:t xml:space="preserve">Full Form</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BOQ</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Bill of Quantities</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CAR</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Contractors' All Risk (Insurance Policy)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CCB</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Change Control Board</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DAB</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Dispute Adjudication Board</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DBT</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Direct Benefit Transfer</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DLP</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Defects Liability Period</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DPR</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Detailed Project Report</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EMP</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Environmental Management Plan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EOT</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Extension of Time</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EPC</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Engineering, Procurement &amp; Construction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ESIC</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Employees' State Insurance Corporation</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FGL</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Finished Ground Level</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HFL</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Highest Flood Level</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IMD</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India Meteorological Department</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IPC</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Interim Payment Certificate</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IRC</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Indian Roads Congress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MoEFCC</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Ministry of Environment, Forest &amp; Climate Change</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MOSRT&amp;H</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Ministry of Road Transport and Highways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NDRF</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National Disaster Response Force</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NGT</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National Green Tribunal</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NHAI</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National Highways Authority of India</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OFC</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Optical Fibre Cable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OHSMS</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Occupational Health &amp; Safety Management System</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PBG</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Performance Bank Guarantee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PMC</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Project Management Consultant</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PMIS</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Project Management Information System</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RAP</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Recycled Asphalt Pavement</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RFCTLARR</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Right to Fair Compensation and Transparency in Land Acquisition, Rehabilitation and Resettlement Act, 2013</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ROW</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Right of Way</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VMS</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Variable Message Sign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VO</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Variation Order</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WBS</w:t>
            </w:r>
          </w:p>
        </w:tc>
        <w:tc>
          <w:tcPr>
            <w:tcW w:type="dxa" w:w="75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Work Breakdown Structure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bCs/>
                <w:color w:val="1F3864"/>
                <w:sz w:val="18"/>
                <w:szCs w:val="18"/>
              </w:rPr>
              <w:t xml:space="preserve">WCP</w:t>
            </w:r>
          </w:p>
        </w:tc>
        <w:tc>
          <w:tcPr>
            <w:tcW w:type="dxa" w:w="7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0000"/>
                <w:sz w:val="18"/>
                <w:szCs w:val="18"/>
              </w:rPr>
              <w:t xml:space="preserve">Workmen's Compensation Policy</w:t>
            </w:r>
          </w:p>
        </w:tc>
      </w:tr>
    </w:tbl>
    <w:sectPr>
      <w:headerReference w:type="default" r:id="rId7"/>
      <w:footerReference w:type="default" r:id="rId8"/>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026"/>
      </w:tabs>
      <w:spacing w:after="0" w:before="100"/>
    </w:pPr>
    <w:r>
      <w:rPr>
        <w:rFonts w:ascii="Arial" w:cs="Arial" w:eastAsia="Arial" w:hAnsi="Arial"/>
        <w:color w:val="595959"/>
        <w:sz w:val="16"/>
        <w:szCs w:val="16"/>
      </w:rPr>
      <w:t xml:space="preserve">Confidential | For Project Use Only | v1.0 — April 2025</w:t>
    </w:r>
    <w:r>
      <w:rPr>
        <w:rFonts w:ascii="Arial" w:cs="Arial" w:eastAsia="Arial" w:hAnsi="Arial"/>
        <w:color w:val="59595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8" w:space="1"/>
      </w:pBdr>
      <w:tabs>
        <w:tab w:val="right" w:pos="9026"/>
      </w:tabs>
      <w:spacing w:after="120" w:before="0"/>
    </w:pPr>
    <w:r>
      <w:rPr>
        <w:rFonts w:ascii="Arial" w:cs="Arial" w:eastAsia="Arial" w:hAnsi="Arial"/>
        <w:b/>
        <w:bCs/>
        <w:color w:val="1F3864"/>
        <w:sz w:val="18"/>
        <w:szCs w:val="18"/>
      </w:rPr>
      <w:t xml:space="preserve">RISK MASTER METADATA | Large-Scale Road Construction Project</w:t>
    </w:r>
    <w:r>
      <w:rPr>
        <w:rFonts w:ascii="Arial" w:cs="Arial" w:eastAsia="Arial" w:hAnsi="Arial"/>
        <w:sz w:val="18"/>
        <w:szCs w:val="18"/>
      </w:rPr>
      <w:t xml:space="preserve">	</w:t>
    </w:r>
    <w:r>
      <w:rPr>
        <w:rFonts w:ascii="Arial" w:cs="Arial" w:eastAsia="Arial" w:hAnsi="Arial"/>
        <w:color w:val="595959"/>
        <w:sz w:val="18"/>
        <w:szCs w:val="18"/>
      </w:rPr>
      <w:t xml:space="preserve">NHAI / ABC Infracon | BIPROS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6B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2026-04-24T11:36:36.225Z</dcterms:created>
  <dcterms:modified xsi:type="dcterms:W3CDTF">2026-04-24T11:36:36.226Z</dcterms:modified>
</cp:coreProperties>
</file>

<file path=docProps/custom.xml><?xml version="1.0" encoding="utf-8"?>
<Properties xmlns="http://schemas.openxmlformats.org/officeDocument/2006/custom-properties" xmlns:vt="http://schemas.openxmlformats.org/officeDocument/2006/docPropsVTypes"/>
</file>