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ICT_G12_U07_S03 — Learning Objectives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of the Software Development Lifecycle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By the end of this unit, students will be able to: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Students will analyse the stages of the Software Development Lifecycle (SDLC) and evaluate the strengths and weaknesses of different SDLC — Software Development Lifecycle — models (Waterfall, Agile, Spiral) for given project scenarios. They will distinguish between procedural, object-oriented, and functional programming paradigms and justify the selection of an appropriate paradigm for a given problem. They will design class hierarchies using the principles of encapsulation, inheritance, and polymorphism, and produce UML — Unified Modelling Language — class diagrams to represent these relationships.</w:t>
      </w:r>
    </w:p>
    <w:p>
      <w:pPr>
        <w:spacing w:after="80"/>
      </w:pPr>
      <w:r>
        <w:rPr>
          <w:b w:val="false"/>
          <w:bCs w:val="false"/>
        </w:rPr>
        <w:t xml:space="preserve">Students will implement fully functional object-oriented programs in Python, applying constructors, instance methods, class attributes, inheritance chains, and method overriding. They will construct a Python OOP project relevant to an Ethiopian context — such as a school grade management system or a bank account simulator — demonstrating integration of multiple OOP principles. They will evaluate software quality using systematic testing strategies including white-box testing, black-box testing, unit testing, and integration testing, and apply debugging techniques to identify and correct logic errors, syntax errors, and runtime exceptions.</w:t>
      </w:r>
    </w:p>
    <w:p>
      <w:pPr>
        <w:spacing w:after="80"/>
      </w:pPr>
      <w:r>
        <w:rPr>
          <w:b w:val="false"/>
          <w:bCs w:val="false"/>
        </w:rPr>
        <w:t xml:space="preserve">Students will use Git version control to initialise repositories, commit changes, create branches, and merge code. They will produce software documentation — including requirements specifications, design documents, user manuals, and inline code comments — that meets professional standards. They will also evaluate the work of Ethiopian software companies (Gebeya, iCog Labs) in the context of global software engineering practice.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2026-10-16T16:54:51.338Z</dcterms:created>
  <dcterms:modified xsi:type="dcterms:W3CDTF">2026-10-16T16:54:51.338Z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