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SIMATS ENGINEERING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ASSESSMENT TOOL II — VISUALIZATION EVALUATION EXERCISE </w:t>
      </w:r>
    </w:p>
    <w:tbl>
      <w:tblPr>
        <w:tblStyle w:val="a"/>
        <w:tblW w:w="9921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1"/>
        <w:gridCol w:w="3920"/>
      </w:tblGrid>
      <w:tr w:rsidR="00A26BE3" w:rsidRPr="00DF37ED">
        <w:trPr>
          <w:trHeight w:val="671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6" w:right="607" w:firstLine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Course: </w:t>
            </w: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Data Handling and  Visualization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Code: </w:t>
            </w: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DSA0603 </w:t>
            </w:r>
          </w:p>
        </w:tc>
        <w:tc>
          <w:tcPr>
            <w:tcW w:w="3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CO: </w:t>
            </w: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CO4</w:t>
            </w:r>
          </w:p>
        </w:tc>
      </w:tr>
      <w:tr w:rsidR="00A26BE3" w:rsidRPr="00DF37ED">
        <w:trPr>
          <w:trHeight w:val="669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Duration: </w:t>
            </w: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60 min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Total Marks: </w:t>
            </w: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50 </w:t>
            </w:r>
          </w:p>
        </w:tc>
        <w:tc>
          <w:tcPr>
            <w:tcW w:w="3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84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Reg</w:t>
            </w:r>
            <w:proofErr w:type="spellEnd"/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No: 192424259</w:t>
            </w:r>
          </w:p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Name: </w:t>
            </w:r>
            <w:proofErr w:type="spellStart"/>
            <w:r w:rsidR="00A8470B"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P.Hemika</w:t>
            </w:r>
            <w:proofErr w:type="spellEnd"/>
          </w:p>
        </w:tc>
      </w:tr>
    </w:tbl>
    <w:p w:rsidR="00A26BE3" w:rsidRPr="00DF37ED" w:rsidRDefault="00A26B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26BE3" w:rsidRPr="00DF37ED" w:rsidRDefault="00A26B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COURSE OUTCOME COVERED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31" w:lineRule="auto"/>
        <w:ind w:left="18" w:right="225" w:firstLine="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CO2 Apply appropriate visualization techniques to 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analyze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time series data, detect trends, seasonality, and cyclical patterns.  (BL3)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Activity </w:t>
      </w:r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Tool :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Visualization Evaluation Exercise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Weightage: 20%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9"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Code of Conduct: </w:t>
      </w:r>
    </w:p>
    <w:p w:rsidR="00A8470B" w:rsidRPr="00DF37ED" w:rsidRDefault="00DF37ED" w:rsidP="00E82E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1" w:right="252" w:hanging="2"/>
        <w:jc w:val="both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I </w:t>
      </w:r>
      <w:proofErr w:type="spellStart"/>
      <w:proofErr w:type="gramStart"/>
      <w:r w:rsidR="00A8470B"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P.Hemika</w:t>
      </w:r>
      <w:proofErr w:type="spellEnd"/>
      <w:r w:rsidR="00A8470B"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="00A8470B"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192424259)</w:t>
      </w:r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certify that this submission is my original work and that I have adhered to the  guidelines specified for this assessment. I understand that any violation of academic integrity rules will result in </w:t>
      </w:r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disciplinary  action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. </w:t>
      </w:r>
    </w:p>
    <w:p w:rsidR="00A8470B" w:rsidRPr="00DF37ED" w:rsidRDefault="00DF37ED" w:rsidP="00A847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0"/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>Signature of the student:</w:t>
      </w:r>
    </w:p>
    <w:tbl>
      <w:tblPr>
        <w:tblStyle w:val="a0"/>
        <w:tblW w:w="9002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300"/>
        <w:gridCol w:w="1298"/>
        <w:gridCol w:w="1301"/>
        <w:gridCol w:w="1201"/>
        <w:gridCol w:w="1001"/>
        <w:gridCol w:w="1000"/>
        <w:gridCol w:w="1001"/>
      </w:tblGrid>
      <w:tr w:rsidR="00A26BE3" w:rsidRPr="00DF37ED">
        <w:trPr>
          <w:trHeight w:val="1205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Criteria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8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Evaluation of  Visualization  Quality </w:t>
            </w:r>
          </w:p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25%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Critical  </w:t>
            </w:r>
          </w:p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Analysis </w:t>
            </w:r>
          </w:p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25%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Application of </w:t>
            </w: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Visualization  Principles </w:t>
            </w:r>
          </w:p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20%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9" w:right="8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Organization 15%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Accuracy </w:t>
            </w:r>
          </w:p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10%</w:t>
            </w:r>
          </w:p>
        </w:tc>
        <w:tc>
          <w:tcPr>
            <w:tcW w:w="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Clarity </w:t>
            </w:r>
          </w:p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5% 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 w:rsidRPr="00DF37E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Total</w:t>
            </w:r>
          </w:p>
        </w:tc>
      </w:tr>
      <w:tr w:rsidR="00A26BE3" w:rsidRPr="00DF37ED">
        <w:trPr>
          <w:trHeight w:val="439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Q1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26BE3" w:rsidRPr="00DF37ED">
        <w:trPr>
          <w:trHeight w:val="441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Q2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26BE3" w:rsidRPr="00DF37ED">
        <w:trPr>
          <w:trHeight w:val="439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Q3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26BE3" w:rsidRPr="00DF37ED">
        <w:trPr>
          <w:trHeight w:val="439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Q4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26BE3" w:rsidRPr="00DF37ED">
        <w:trPr>
          <w:trHeight w:val="441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DF3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DF37ED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>Q5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BE3" w:rsidRPr="00DF37ED" w:rsidRDefault="00A26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:rsidR="00A26BE3" w:rsidRPr="00DF37ED" w:rsidRDefault="00A26B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26BE3" w:rsidRPr="00DF37ED" w:rsidRDefault="00A26B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DF37ED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Visualization Evaluation Exercise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31" w:lineRule="auto"/>
        <w:ind w:left="8" w:right="573" w:firstLine="1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Topic: Visualizing Time Series and Trends (Individual Time Series, Multiple Time Series &amp; Dose–Response Curves, </w:t>
      </w:r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STL  Decomposition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, Smoothing, 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Detrending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, Forecasting, Cycle &amp; Seasonality Detection)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8" w:line="240" w:lineRule="auto"/>
        <w:ind w:left="1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DF37ED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Provided Datasets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31" w:lineRule="auto"/>
        <w:ind w:left="10" w:right="81" w:firstLine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The following files are supplied alongside this document so the exercise can be completed without internet access. All are real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,  publicly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documented datasets: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31" w:lineRule="auto"/>
        <w:ind w:left="735" w:right="428" w:hanging="34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AirPassengers.csv — real classic dataset (144 monthly totals of international airline passengers, 1949–1960)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with  clear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trend and multiplicative seasonality.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31" w:lineRule="auto"/>
        <w:ind w:left="734" w:right="4" w:hanging="34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co2_mauna_loa.csv — real Mauna Loa atmospheric CO2 weekly readings (1958–2001, 2225 observations), showing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a  long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-term upward trend with strong annual seasonality.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740" w:right="450" w:hanging="35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Nile.csv — real annual river flow of the Nile at Aswan (1871–1970, 100 observations), useful for individual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time  series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detrending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(contains a well-known level shift).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31" w:lineRule="auto"/>
        <w:ind w:left="735" w:right="287" w:hanging="348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sunspots.csv — real annual sunspot activity counts (1700–1988, 309 observations), useful for cycle and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seasonality  detection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(~11-year solar cycle).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31" w:lineRule="auto"/>
        <w:ind w:left="752" w:right="516" w:hanging="36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● EuStockMarkets.csv — real daily closing prices of four major European stock indices (DAX, SMI, CAC, FTSE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;  1991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–1998, 1860 observations each) for multiple time series comparison.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736" w:right="745" w:hanging="348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ryegrass_doseresponse.csv — real dose–response data (root length of ryegrass vs. herbicide concentration,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24  observations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from the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drc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package in R.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Place all CSV files in the same working directory as your R script, then load with </w:t>
      </w:r>
      <w:proofErr w:type="gramStart"/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read.csv(</w:t>
      </w:r>
      <w:proofErr w:type="gramEnd"/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"filename.csv").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40" w:lineRule="auto"/>
        <w:ind w:left="24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DF37ED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1: Individual Time Series &amp; Moving-Average Smoothing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Nile.csv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5" w:hanging="2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Nile dataset, convert the value column into an R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ts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object (start = 1871, frequency = 1) and plot the raw annual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flow  as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 line chart. Overlay a smoothed version of the series using a moving average (e.g., a 5-year moving average via stats::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filter(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)  or zoo::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rollmean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()). Visually identify any point where the level or variability of the series appears to shift, and describe what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you  observe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in 2–3 sentences.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ts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) objects, line plots, moving-average smoothing, filter()/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rollmean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(), visual change-point identification. </w:t>
      </w:r>
    </w:p>
    <w:p w:rsidR="00A8470B" w:rsidRPr="00DF37ED" w:rsidRDefault="00A8470B" w:rsidP="00A8470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DF37ED">
        <w:rPr>
          <w:rFonts w:ascii="Times New Roman" w:hAnsi="Times New Roman" w:cs="Times New Roman"/>
          <w:color w:val="0D0D0D"/>
        </w:rPr>
        <w:t>Aim:</w:t>
      </w:r>
    </w:p>
    <w:p w:rsidR="00A8470B" w:rsidRPr="00DF37ED" w:rsidRDefault="00A8470B" w:rsidP="00A8470B">
      <w:pPr>
        <w:pStyle w:val="NormalWeb"/>
        <w:shd w:val="clear" w:color="auto" w:fill="FCFCFC"/>
        <w:rPr>
          <w:color w:val="0D0D0D"/>
        </w:rPr>
      </w:pPr>
      <w:r w:rsidRPr="00DF37ED">
        <w:rPr>
          <w:color w:val="0D0D0D"/>
        </w:rPr>
        <w:t>To plot the annual Nile river flow as a time series and apply a 5-year moving average to identify changes in the level and variability of the series.</w:t>
      </w:r>
    </w:p>
    <w:p w:rsidR="008826B2" w:rsidRPr="00DF37ED" w:rsidRDefault="008826B2" w:rsidP="00A8470B">
      <w:pPr>
        <w:pStyle w:val="NormalWeb"/>
        <w:shd w:val="clear" w:color="auto" w:fill="FCFCFC"/>
        <w:rPr>
          <w:color w:val="0D0D0D"/>
        </w:rPr>
      </w:pPr>
    </w:p>
    <w:p w:rsidR="008826B2" w:rsidRPr="00DF37ED" w:rsidRDefault="008826B2" w:rsidP="00A8470B">
      <w:pPr>
        <w:pStyle w:val="NormalWeb"/>
        <w:shd w:val="clear" w:color="auto" w:fill="FCFCFC"/>
        <w:rPr>
          <w:color w:val="0D0D0D"/>
        </w:rPr>
      </w:pPr>
    </w:p>
    <w:p w:rsidR="008826B2" w:rsidRPr="00DF37ED" w:rsidRDefault="008826B2" w:rsidP="00A8470B">
      <w:pPr>
        <w:pStyle w:val="NormalWeb"/>
        <w:shd w:val="clear" w:color="auto" w:fill="FCFCFC"/>
        <w:rPr>
          <w:color w:val="0D0D0D"/>
        </w:rPr>
      </w:pPr>
    </w:p>
    <w:p w:rsidR="008826B2" w:rsidRDefault="008826B2" w:rsidP="00A8470B">
      <w:pPr>
        <w:pStyle w:val="NormalWeb"/>
        <w:shd w:val="clear" w:color="auto" w:fill="FCFCFC"/>
        <w:rPr>
          <w:color w:val="0D0D0D"/>
        </w:rPr>
      </w:pPr>
    </w:p>
    <w:p w:rsidR="00E82EDC" w:rsidRPr="00DF37ED" w:rsidRDefault="00E82EDC" w:rsidP="00A8470B">
      <w:pPr>
        <w:pStyle w:val="NormalWeb"/>
        <w:shd w:val="clear" w:color="auto" w:fill="FCFCFC"/>
        <w:rPr>
          <w:color w:val="0D0D0D"/>
        </w:rPr>
      </w:pPr>
      <w:bookmarkStart w:id="0" w:name="_GoBack"/>
      <w:bookmarkEnd w:id="0"/>
    </w:p>
    <w:p w:rsidR="008826B2" w:rsidRPr="00DF37ED" w:rsidRDefault="008826B2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CODE:                                                                     OUTPUT:</w:t>
      </w:r>
    </w:p>
    <w:p w:rsidR="00A8470B" w:rsidRPr="00DF37ED" w:rsidRDefault="00A847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hAnsi="Times New Roman" w:cs="Times New Roman"/>
          <w:noProof/>
        </w:rPr>
      </w:pPr>
      <w:r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3746A31F" wp14:editId="2BEC9DD3">
            <wp:extent cx="3362325" cy="2600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ED">
        <w:rPr>
          <w:rFonts w:ascii="Times New Roman" w:hAnsi="Times New Roman" w:cs="Times New Roman"/>
          <w:noProof/>
        </w:rPr>
        <w:t xml:space="preserve"> </w:t>
      </w:r>
      <w:r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2F6F7F05" wp14:editId="6368B4B6">
            <wp:extent cx="2981325" cy="2524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2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0B" w:rsidRPr="00DF37ED" w:rsidRDefault="00A8470B" w:rsidP="00A8470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DF37ED">
        <w:rPr>
          <w:rFonts w:ascii="Times New Roman" w:hAnsi="Times New Roman" w:cs="Times New Roman"/>
          <w:color w:val="0D0D0D"/>
        </w:rPr>
        <w:t>Result</w:t>
      </w:r>
    </w:p>
    <w:p w:rsidR="00A8470B" w:rsidRPr="00DF37ED" w:rsidRDefault="00A8470B" w:rsidP="00A8470B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The Nile flow shows considerable year-to-year variation, with a noticeable change in the </w:t>
      </w:r>
      <w:r w:rsidRPr="00DF37ED">
        <w:rPr>
          <w:rStyle w:val="Strong"/>
          <w:color w:val="0D0D0D"/>
        </w:rPr>
        <w:t>mean level around 1898–1900</w:t>
      </w:r>
      <w:r w:rsidRPr="00DF37ED">
        <w:rPr>
          <w:color w:val="0D0D0D"/>
        </w:rPr>
        <w:t xml:space="preserve">, when the flow shifts from generally higher values to a lower level. The 5-year moving average </w:t>
      </w:r>
      <w:proofErr w:type="spellStart"/>
      <w:r w:rsidRPr="00DF37ED">
        <w:rPr>
          <w:color w:val="0D0D0D"/>
        </w:rPr>
        <w:t>smooths</w:t>
      </w:r>
      <w:proofErr w:type="spellEnd"/>
      <w:r w:rsidRPr="00DF37ED">
        <w:rPr>
          <w:color w:val="0D0D0D"/>
        </w:rPr>
        <w:t xml:space="preserve"> short-term fluctuations and makes this long-term change in level easier to observe.</w:t>
      </w:r>
    </w:p>
    <w:p w:rsidR="00A26BE3" w:rsidRPr="00DF37ED" w:rsidRDefault="00DF37ED" w:rsidP="00A847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330" w:lineRule="auto"/>
        <w:ind w:left="13" w:right="1047" w:firstLine="10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DF37ED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2: Multiple Time Series Comparison &amp; Dose–Response Curve </w:t>
      </w:r>
      <w:r w:rsidR="00A8470B"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This </w:t>
      </w:r>
      <w:proofErr w:type="spellStart"/>
      <w:r w:rsidR="00A8470B"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quest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on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has two parts.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F37ED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a — Multiple Time Series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EuStockMarkets.csv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0" w:right="5" w:firstLine="2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Plot all four stock indices (DAX, SMI, CAC, FTSE) on the same time axis using ggplot2 (reshape to long format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with 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tidyr</w:t>
      </w:r>
      <w:proofErr w:type="spellEnd"/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::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pivot_longer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() first). Since the series have very different scales, re-index each series to 100 at its first observation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before  plotting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so the percentage changes are comparable. Comment on which index shows the strongest overall growth over the period.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F37ED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b — Dose–Response Curve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ryegrass_doseresponse.csv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11" w:firstLine="1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Plot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root_length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against concentration as a scatterplot, then fit and overlay a smooth dose–response curve (e.g., a log-logistic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fit  using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the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drc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package, or a loess/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nls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smooth as an approximation). Describe the shape of the relationship and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identify  approximately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what concentration produces a 50% reduction in root length relative to the control (concentration = 0).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9" w:hanging="9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pivot_</w:t>
      </w:r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longer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re-indexing/normalizing series, multi-line time series plots, 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nls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()/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drc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::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drm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(), dose–response  interpretation. </w:t>
      </w:r>
    </w:p>
    <w:p w:rsidR="00A8470B" w:rsidRPr="00DF37ED" w:rsidRDefault="00A847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9" w:hanging="9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A8470B" w:rsidRPr="00DF37ED" w:rsidRDefault="00A8470B" w:rsidP="00A8470B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4"/>
          <w:szCs w:val="24"/>
        </w:rPr>
      </w:pPr>
      <w:r w:rsidRPr="00DF37ED">
        <w:rPr>
          <w:rFonts w:ascii="Times New Roman" w:hAnsi="Times New Roman" w:cs="Times New Roman"/>
          <w:color w:val="0D0D0D"/>
          <w:sz w:val="24"/>
          <w:szCs w:val="24"/>
        </w:rPr>
        <w:t>Part A — Multiple Time Series</w:t>
      </w:r>
    </w:p>
    <w:p w:rsidR="00A8470B" w:rsidRPr="00DF37ED" w:rsidRDefault="00A8470B" w:rsidP="00A8470B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DF37ED">
        <w:rPr>
          <w:rFonts w:ascii="Times New Roman" w:hAnsi="Times New Roman" w:cs="Times New Roman"/>
          <w:color w:val="0D0D0D"/>
          <w:sz w:val="24"/>
          <w:szCs w:val="24"/>
        </w:rPr>
        <w:t>Aim</w:t>
      </w:r>
    </w:p>
    <w:p w:rsidR="00A8470B" w:rsidRPr="00DF37ED" w:rsidRDefault="00A8470B" w:rsidP="00A8470B">
      <w:pPr>
        <w:pStyle w:val="NormalWeb"/>
        <w:shd w:val="clear" w:color="auto" w:fill="FCFCFC"/>
        <w:rPr>
          <w:color w:val="0D0D0D"/>
        </w:rPr>
      </w:pPr>
      <w:r w:rsidRPr="00DF37ED">
        <w:rPr>
          <w:color w:val="0D0D0D"/>
        </w:rPr>
        <w:t>To compare the relative growth of the DAX, SMI, CAC, and FTSE stock indices by re-indexing each series to 100 at its first observation.</w:t>
      </w:r>
    </w:p>
    <w:p w:rsidR="008826B2" w:rsidRPr="00DF37ED" w:rsidRDefault="008826B2" w:rsidP="00A8470B">
      <w:pPr>
        <w:pStyle w:val="NormalWeb"/>
        <w:shd w:val="clear" w:color="auto" w:fill="FCFCFC"/>
        <w:rPr>
          <w:color w:val="0D0D0D"/>
        </w:rPr>
      </w:pPr>
    </w:p>
    <w:p w:rsidR="00A8470B" w:rsidRPr="00DF37ED" w:rsidRDefault="008826B2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CODE:                                                                     OUTPUT:</w:t>
      </w:r>
    </w:p>
    <w:p w:rsidR="00A8470B" w:rsidRPr="00DF37ED" w:rsidRDefault="00A8470B" w:rsidP="00A8470B">
      <w:pPr>
        <w:pStyle w:val="NormalWeb"/>
        <w:shd w:val="clear" w:color="auto" w:fill="FCFCFC"/>
        <w:rPr>
          <w:noProof/>
        </w:rPr>
      </w:pPr>
      <w:r w:rsidRPr="00DF37ED">
        <w:rPr>
          <w:noProof/>
          <w:color w:val="0D0D0D"/>
        </w:rPr>
        <w:drawing>
          <wp:inline distT="0" distB="0" distL="0" distR="0" wp14:anchorId="42E99869" wp14:editId="1688DC5F">
            <wp:extent cx="3352800" cy="2771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ED">
        <w:rPr>
          <w:noProof/>
          <w:color w:val="0D0D0D"/>
        </w:rPr>
        <w:drawing>
          <wp:inline distT="0" distB="0" distL="0" distR="0" wp14:anchorId="1B7AF564" wp14:editId="5724BEBD">
            <wp:extent cx="2990850" cy="2771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0B" w:rsidRPr="00DF37ED" w:rsidRDefault="00A8470B" w:rsidP="00A8470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4"/>
          <w:szCs w:val="24"/>
        </w:rPr>
      </w:pPr>
      <w:r w:rsidRPr="00DF37ED">
        <w:rPr>
          <w:rFonts w:ascii="Times New Roman" w:hAnsi="Times New Roman" w:cs="Times New Roman"/>
          <w:color w:val="0D0D0D"/>
          <w:sz w:val="24"/>
          <w:szCs w:val="24"/>
        </w:rPr>
        <w:t>Part B — Dose–Response Curve</w:t>
      </w:r>
    </w:p>
    <w:p w:rsidR="00A8470B" w:rsidRPr="00DF37ED" w:rsidRDefault="00A8470B" w:rsidP="00A8470B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DF37ED">
        <w:rPr>
          <w:rFonts w:ascii="Times New Roman" w:hAnsi="Times New Roman" w:cs="Times New Roman"/>
          <w:color w:val="0D0D0D"/>
          <w:sz w:val="24"/>
          <w:szCs w:val="24"/>
        </w:rPr>
        <w:t>Aim</w:t>
      </w:r>
    </w:p>
    <w:p w:rsidR="00A8470B" w:rsidRPr="00DF37ED" w:rsidRDefault="00A8470B" w:rsidP="00A8470B">
      <w:pPr>
        <w:pStyle w:val="NormalWeb"/>
        <w:shd w:val="clear" w:color="auto" w:fill="FCFCFC"/>
        <w:rPr>
          <w:color w:val="0D0D0D"/>
        </w:rPr>
      </w:pPr>
      <w:r w:rsidRPr="00DF37ED">
        <w:rPr>
          <w:color w:val="0D0D0D"/>
        </w:rPr>
        <w:t>To examine the relationship between chemical concentration and ryegrass root length and estimate the concentration producing approximately a 50% reduction in root length.</w:t>
      </w:r>
    </w:p>
    <w:p w:rsidR="008826B2" w:rsidRPr="00DF37ED" w:rsidRDefault="008826B2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CODE:                                                                     OUTPUT:</w:t>
      </w:r>
    </w:p>
    <w:p w:rsidR="00A8470B" w:rsidRPr="00DF37ED" w:rsidRDefault="00A8470B" w:rsidP="00A8470B">
      <w:pPr>
        <w:pStyle w:val="NormalWeb"/>
        <w:shd w:val="clear" w:color="auto" w:fill="FCFCFC"/>
        <w:rPr>
          <w:noProof/>
        </w:rPr>
      </w:pPr>
      <w:r w:rsidRPr="00DF37ED">
        <w:rPr>
          <w:noProof/>
          <w:color w:val="0D0D0D"/>
        </w:rPr>
        <w:drawing>
          <wp:inline distT="0" distB="0" distL="0" distR="0" wp14:anchorId="37B64874" wp14:editId="67066447">
            <wp:extent cx="323850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6B2" w:rsidRPr="00DF37ED">
        <w:rPr>
          <w:noProof/>
        </w:rPr>
        <w:t xml:space="preserve"> </w:t>
      </w:r>
      <w:r w:rsidR="008826B2" w:rsidRPr="00DF37ED">
        <w:rPr>
          <w:noProof/>
          <w:color w:val="0D0D0D"/>
        </w:rPr>
        <w:drawing>
          <wp:inline distT="0" distB="0" distL="0" distR="0" wp14:anchorId="7B41E556" wp14:editId="2A080383">
            <wp:extent cx="3152775" cy="2857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6B2" w:rsidRPr="00DF37ED" w:rsidRDefault="008826B2" w:rsidP="008826B2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4"/>
          <w:szCs w:val="24"/>
        </w:rPr>
      </w:pPr>
      <w:r w:rsidRPr="00DF37ED">
        <w:rPr>
          <w:rFonts w:ascii="Times New Roman" w:hAnsi="Times New Roman" w:cs="Times New Roman"/>
          <w:color w:val="0D0D0D"/>
          <w:sz w:val="24"/>
          <w:szCs w:val="24"/>
        </w:rPr>
        <w:t>Result</w:t>
      </w:r>
    </w:p>
    <w:p w:rsidR="008826B2" w:rsidRPr="00DF37ED" w:rsidRDefault="008826B2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The dose–response relationship shows a </w:t>
      </w:r>
      <w:r w:rsidRPr="00DF37ED">
        <w:rPr>
          <w:rStyle w:val="Strong"/>
          <w:color w:val="0D0D0D"/>
        </w:rPr>
        <w:t>decreasing trend</w:t>
      </w:r>
      <w:r w:rsidRPr="00DF37ED">
        <w:rPr>
          <w:color w:val="0D0D0D"/>
        </w:rPr>
        <w:t>: as concentration increases, ryegrass root length decreases. In the included example data, the control root length is 100, so a 50% reduction corresponds to a root length of 50, occurring at approximately </w:t>
      </w:r>
      <w:r w:rsidRPr="00DF37ED">
        <w:rPr>
          <w:rStyle w:val="Strong"/>
          <w:color w:val="0D0D0D"/>
        </w:rPr>
        <w:t>16 concentration units</w:t>
      </w:r>
      <w:r w:rsidRPr="00DF37ED">
        <w:rPr>
          <w:color w:val="0D0D0D"/>
        </w:rPr>
        <w:t>.</w:t>
      </w:r>
    </w:p>
    <w:p w:rsidR="00A26BE3" w:rsidRPr="00DF37ED" w:rsidRDefault="00DF37ED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00000"/>
          <w:sz w:val="31"/>
          <w:szCs w:val="31"/>
        </w:rPr>
        <w:t xml:space="preserve">Question 3: Seasonal Decomposition of Time Series (STL)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AirPassengers.csv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13" w:right="13" w:firstLine="2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Convert the passengers column into a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ts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object (start =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c(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1949,1), frequency = 12). Apply STL decomposition using 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stl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(set 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s.window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= "periodic") and plot the resulting trend, seasonal, and remainder components. Discuss whether an additive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or  multiplicative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decomposition is more appropriate for this series, and justify your answer using what you see in the plot (e.g.,  whether seasonal amplitude grows with the trend).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ts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 with frequency, 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stl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(), additive vs. multiplicative decomposition, component interpretation. </w:t>
      </w:r>
    </w:p>
    <w:p w:rsidR="008826B2" w:rsidRPr="00DF37ED" w:rsidRDefault="008826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8826B2" w:rsidRPr="00DF37ED" w:rsidRDefault="008826B2" w:rsidP="008826B2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DF37ED">
        <w:rPr>
          <w:rFonts w:ascii="Times New Roman" w:hAnsi="Times New Roman" w:cs="Times New Roman"/>
          <w:color w:val="0D0D0D"/>
        </w:rPr>
        <w:t>Aim</w:t>
      </w:r>
    </w:p>
    <w:p w:rsidR="00DF37ED" w:rsidRPr="00DF37ED" w:rsidRDefault="008826B2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 xml:space="preserve">To decompose the monthly </w:t>
      </w:r>
      <w:proofErr w:type="spellStart"/>
      <w:r w:rsidRPr="00DF37ED">
        <w:rPr>
          <w:color w:val="0D0D0D"/>
        </w:rPr>
        <w:t>AirPassengers</w:t>
      </w:r>
      <w:proofErr w:type="spellEnd"/>
      <w:r w:rsidRPr="00DF37ED">
        <w:rPr>
          <w:color w:val="0D0D0D"/>
        </w:rPr>
        <w:t xml:space="preserve"> time series into </w:t>
      </w:r>
      <w:r w:rsidRPr="00DF37ED">
        <w:rPr>
          <w:rStyle w:val="Strong"/>
          <w:color w:val="0D0D0D"/>
        </w:rPr>
        <w:t>trend, seasonal, and remainder components</w:t>
      </w:r>
      <w:r w:rsidRPr="00DF37ED">
        <w:rPr>
          <w:color w:val="0D0D0D"/>
        </w:rPr>
        <w:t> using STL and determine whether an additive or multiplicative decomposition is more appropriate.</w:t>
      </w:r>
    </w:p>
    <w:p w:rsidR="008826B2" w:rsidRPr="00DF37ED" w:rsidRDefault="008826B2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CODE:                                                                     OUTPUT:</w:t>
      </w:r>
    </w:p>
    <w:p w:rsidR="008826B2" w:rsidRPr="00DF37ED" w:rsidRDefault="008826B2" w:rsidP="008826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jc w:val="both"/>
        <w:rPr>
          <w:rFonts w:ascii="Times New Roman" w:hAnsi="Times New Roman" w:cs="Times New Roman"/>
          <w:noProof/>
        </w:rPr>
      </w:pPr>
      <w:r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107B8864" wp14:editId="6E2C28F6">
            <wp:extent cx="3238500" cy="3209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ED">
        <w:rPr>
          <w:rFonts w:ascii="Times New Roman" w:hAnsi="Times New Roman" w:cs="Times New Roman"/>
          <w:noProof/>
        </w:rPr>
        <w:t xml:space="preserve"> </w:t>
      </w:r>
      <w:r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2F2C4DE5" wp14:editId="51B50CA7">
            <wp:extent cx="3048000" cy="3181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6" cy="318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6B2" w:rsidRPr="00DF37ED" w:rsidRDefault="008826B2" w:rsidP="008826B2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DF37ED">
        <w:rPr>
          <w:rFonts w:ascii="Times New Roman" w:hAnsi="Times New Roman" w:cs="Times New Roman"/>
          <w:color w:val="0D0D0D"/>
        </w:rPr>
        <w:t>Result</w:t>
      </w:r>
    </w:p>
    <w:p w:rsidR="008826B2" w:rsidRPr="00DF37ED" w:rsidRDefault="008826B2" w:rsidP="008826B2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The STL decomposition shows a </w:t>
      </w:r>
      <w:r w:rsidRPr="00DF37ED">
        <w:rPr>
          <w:rStyle w:val="Strong"/>
          <w:color w:val="0D0D0D"/>
        </w:rPr>
        <w:t>strong upward trend</w:t>
      </w:r>
      <w:r w:rsidRPr="00DF37ED">
        <w:rPr>
          <w:color w:val="0D0D0D"/>
        </w:rPr>
        <w:t> in the number of passengers along with a clear repeating yearly seasonal pattern. </w:t>
      </w:r>
    </w:p>
    <w:p w:rsidR="00A26BE3" w:rsidRPr="00DF37ED" w:rsidRDefault="00DF37ED" w:rsidP="008826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DF37ED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4: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31"/>
          <w:szCs w:val="31"/>
        </w:rPr>
        <w:t>Detrending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and Residual Analysis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co2_mauna_loa.csv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1" w:lineRule="auto"/>
        <w:ind w:left="10" w:firstLine="1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CO2 dataset, fit a linear trend (co2 ~ time) and subtract the fitted values from the observed series to obtain a 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detrended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series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Plot the original series with the fitted trend line overlaid, and separately plot the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detrended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residuals. Explain what </w:t>
      </w:r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pattern  remains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in the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detrended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series and why simple linear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detrending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is or is not sufficient here.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lm(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 trend fitting, 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detrending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by residuals, two-panel diagnostic plots, interpreting leftover seasonal structure. </w:t>
      </w:r>
    </w:p>
    <w:p w:rsidR="008826B2" w:rsidRPr="00DF37ED" w:rsidRDefault="008826B2" w:rsidP="008826B2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DF37ED">
        <w:rPr>
          <w:rFonts w:ascii="Times New Roman" w:hAnsi="Times New Roman" w:cs="Times New Roman"/>
          <w:color w:val="0D0D0D"/>
        </w:rPr>
        <w:t>Aim</w:t>
      </w:r>
    </w:p>
    <w:p w:rsidR="008826B2" w:rsidRPr="00DF37ED" w:rsidRDefault="008826B2" w:rsidP="008826B2">
      <w:pPr>
        <w:pStyle w:val="NormalWeb"/>
        <w:shd w:val="clear" w:color="auto" w:fill="FCFCFC"/>
        <w:rPr>
          <w:color w:val="0D0D0D"/>
        </w:rPr>
      </w:pPr>
      <w:r w:rsidRPr="00DF37ED">
        <w:rPr>
          <w:color w:val="0D0D0D"/>
        </w:rPr>
        <w:t xml:space="preserve">To fit a linear trend to the CO₂ time series, obtain the </w:t>
      </w:r>
      <w:proofErr w:type="spellStart"/>
      <w:r w:rsidRPr="00DF37ED">
        <w:rPr>
          <w:color w:val="0D0D0D"/>
        </w:rPr>
        <w:t>detrended</w:t>
      </w:r>
      <w:proofErr w:type="spellEnd"/>
      <w:r w:rsidRPr="00DF37ED">
        <w:rPr>
          <w:color w:val="0D0D0D"/>
        </w:rPr>
        <w:t xml:space="preserve"> residuals, and examine the remaining pattern to determine whether simple linear </w:t>
      </w:r>
      <w:proofErr w:type="spellStart"/>
      <w:r w:rsidRPr="00DF37ED">
        <w:rPr>
          <w:color w:val="0D0D0D"/>
        </w:rPr>
        <w:t>detrending</w:t>
      </w:r>
      <w:proofErr w:type="spellEnd"/>
      <w:r w:rsidRPr="00DF37ED">
        <w:rPr>
          <w:color w:val="0D0D0D"/>
        </w:rPr>
        <w:t xml:space="preserve"> is sufficient.</w:t>
      </w:r>
    </w:p>
    <w:p w:rsidR="00DF37ED" w:rsidRPr="00DF37ED" w:rsidRDefault="00DF37ED" w:rsidP="00DF37ED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CODE:                                                                     OUTPUT:</w:t>
      </w:r>
    </w:p>
    <w:p w:rsidR="00DF37ED" w:rsidRPr="00DF37ED" w:rsidRDefault="008826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0"/>
        <w:rPr>
          <w:rFonts w:ascii="Times New Roman" w:hAnsi="Times New Roman" w:cs="Times New Roman"/>
          <w:noProof/>
        </w:rPr>
      </w:pPr>
      <w:r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29B340EE" wp14:editId="5CCEB144">
            <wp:extent cx="3314700" cy="3209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4" cy="32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7ED" w:rsidRPr="00DF37ED">
        <w:rPr>
          <w:rFonts w:ascii="Times New Roman" w:hAnsi="Times New Roman" w:cs="Times New Roman"/>
          <w:noProof/>
        </w:rPr>
        <w:t xml:space="preserve"> </w:t>
      </w:r>
      <w:r w:rsidR="00DF37ED"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0073707F" wp14:editId="67AF761A">
            <wp:extent cx="3057525" cy="31242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ED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p w:rsidR="00DF37ED" w:rsidRPr="00DF37ED" w:rsidRDefault="00DF37ED" w:rsidP="00DF37ED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DF37ED">
        <w:rPr>
          <w:rFonts w:ascii="Times New Roman" w:hAnsi="Times New Roman" w:cs="Times New Roman"/>
          <w:color w:val="0D0D0D"/>
        </w:rPr>
        <w:t>Result:</w:t>
      </w:r>
    </w:p>
    <w:p w:rsidR="00DF37ED" w:rsidRPr="00DF37ED" w:rsidRDefault="00DF37ED" w:rsidP="00DF37ED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The original CO₂ series shows a clear </w:t>
      </w:r>
      <w:r w:rsidRPr="00DF37ED">
        <w:rPr>
          <w:rStyle w:val="Strong"/>
          <w:color w:val="0D0D0D"/>
        </w:rPr>
        <w:t>long-term increasing trend</w:t>
      </w:r>
      <w:r w:rsidRPr="00DF37ED">
        <w:rPr>
          <w:color w:val="0D0D0D"/>
        </w:rPr>
        <w:t>. After removing the linear trend, the residuals still show a strong </w:t>
      </w:r>
      <w:r w:rsidRPr="00DF37ED">
        <w:rPr>
          <w:rStyle w:val="Strong"/>
          <w:color w:val="0D0D0D"/>
        </w:rPr>
        <w:t>repeating seasonal pattern</w:t>
      </w:r>
      <w:r w:rsidRPr="00DF37ED">
        <w:rPr>
          <w:color w:val="0D0D0D"/>
        </w:rPr>
        <w:t>, with regular rises and falls throughout each year.</w:t>
      </w:r>
    </w:p>
    <w:p w:rsidR="00A26BE3" w:rsidRPr="00DF37ED" w:rsidRDefault="00DF37ED" w:rsidP="00DF37ED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00000"/>
          <w:sz w:val="31"/>
          <w:szCs w:val="31"/>
        </w:rPr>
        <w:t xml:space="preserve">Question 5: Forecasting Trends and Cycle/Seasonality Detection </w:t>
      </w:r>
      <w:r w:rsidRPr="00DF37ED">
        <w:rPr>
          <w:color w:val="000000"/>
          <w:sz w:val="19"/>
          <w:szCs w:val="19"/>
        </w:rPr>
        <w:t xml:space="preserve">This question has two parts to compare visualization strategies for different time-series goals.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F37ED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a — Forecasting Trends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AirPassengers.csv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17" w:right="57" w:hanging="4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forecast package (or fable), fit an ETS or 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auto.arima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model to the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AirPassengers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series and produce a 24-month ahead forecast. Plot the forecast with its prediction interval using 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autoplot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or ggplot2. Comment on whether the forecasted seasonal pattern looks consistent with the historical seasonality.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F37ED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b — Cycle and Seasonality Detection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sunspots.csv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2" w:right="13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sunspots dataset, compute and plot the autocorrelation function (ACF) using 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acf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), and/or a </w:t>
      </w:r>
      <w:proofErr w:type="spellStart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>periodogram</w:t>
      </w:r>
      <w:proofErr w:type="spellEnd"/>
      <w:r w:rsidRPr="00DF37E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using  spectrum(). Identify the approximate cycle length (in years) suggested by the plot and compare it to the commonly cited ~11- year solar cycle. </w:t>
      </w:r>
    </w:p>
    <w:p w:rsidR="00A26BE3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9" w:hanging="9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DF37ED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forecast::</w:t>
      </w:r>
      <w:proofErr w:type="spellStart"/>
      <w:proofErr w:type="gram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ets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)/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auto.arima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(), forecast prediction intervals, 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acf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(), spectrum()/</w:t>
      </w:r>
      <w:proofErr w:type="spellStart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periodogram</w:t>
      </w:r>
      <w:proofErr w:type="spellEnd"/>
      <w:r w:rsidRPr="00DF37ED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, cycle-length  identification.</w:t>
      </w:r>
    </w:p>
    <w:p w:rsidR="00DF37ED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9" w:hanging="9"/>
        <w:rPr>
          <w:rFonts w:ascii="Times New Roman" w:eastAsia="Times New Roman" w:hAnsi="Times New Roman" w:cs="Times New Roman"/>
          <w:sz w:val="19"/>
          <w:szCs w:val="19"/>
        </w:rPr>
      </w:pPr>
    </w:p>
    <w:p w:rsidR="00DF37ED" w:rsidRPr="00DF37ED" w:rsidRDefault="00DF37ED" w:rsidP="00DF37ED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DF37ED">
        <w:rPr>
          <w:rFonts w:ascii="Times New Roman" w:hAnsi="Times New Roman" w:cs="Times New Roman"/>
          <w:color w:val="0D0D0D"/>
        </w:rPr>
        <w:t xml:space="preserve">Part </w:t>
      </w:r>
      <w:proofErr w:type="gramStart"/>
      <w:r w:rsidRPr="00DF37ED">
        <w:rPr>
          <w:rFonts w:ascii="Times New Roman" w:hAnsi="Times New Roman" w:cs="Times New Roman"/>
          <w:color w:val="0D0D0D"/>
        </w:rPr>
        <w:t>A</w:t>
      </w:r>
      <w:proofErr w:type="gramEnd"/>
      <w:r w:rsidRPr="00DF37ED">
        <w:rPr>
          <w:rFonts w:ascii="Times New Roman" w:hAnsi="Times New Roman" w:cs="Times New Roman"/>
          <w:color w:val="0D0D0D"/>
        </w:rPr>
        <w:t xml:space="preserve"> — Forecasting Trends</w:t>
      </w:r>
    </w:p>
    <w:p w:rsidR="00DF37ED" w:rsidRDefault="00DF37ED" w:rsidP="00DF37ED">
      <w:pPr>
        <w:pStyle w:val="NormalWeb"/>
        <w:shd w:val="clear" w:color="auto" w:fill="FCFCFC"/>
        <w:spacing w:before="0" w:after="0"/>
        <w:rPr>
          <w:rStyle w:val="Strong"/>
          <w:color w:val="0D0D0D"/>
        </w:rPr>
      </w:pPr>
      <w:r w:rsidRPr="00DF37ED">
        <w:rPr>
          <w:rStyle w:val="Strong"/>
          <w:color w:val="0D0D0D"/>
        </w:rPr>
        <w:t>Aim:</w:t>
      </w:r>
    </w:p>
    <w:p w:rsidR="00DF37ED" w:rsidRPr="00DF37ED" w:rsidRDefault="00DF37ED" w:rsidP="00DF37ED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 xml:space="preserve"> To forecast the </w:t>
      </w:r>
      <w:proofErr w:type="spellStart"/>
      <w:r w:rsidRPr="00DF37ED">
        <w:rPr>
          <w:color w:val="0D0D0D"/>
        </w:rPr>
        <w:t>AirPassengers</w:t>
      </w:r>
      <w:proofErr w:type="spellEnd"/>
      <w:r w:rsidRPr="00DF37ED">
        <w:rPr>
          <w:color w:val="0D0D0D"/>
        </w:rPr>
        <w:t xml:space="preserve"> time series for the next 24 months using an ETS model and examine whether the predicted seasonal pattern follows the historical pattern.</w:t>
      </w:r>
    </w:p>
    <w:p w:rsidR="00DF37ED" w:rsidRPr="00DF37ED" w:rsidRDefault="00DF37ED" w:rsidP="00DF37ED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CODE:                                                                     OUTPUT:</w:t>
      </w:r>
    </w:p>
    <w:p w:rsidR="00DF37ED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9" w:hanging="9"/>
        <w:rPr>
          <w:rFonts w:ascii="Times New Roman" w:hAnsi="Times New Roman" w:cs="Times New Roman"/>
          <w:noProof/>
        </w:rPr>
      </w:pPr>
      <w:r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5152A59A" wp14:editId="6AA7E84C">
            <wp:extent cx="3400425" cy="2790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ED">
        <w:rPr>
          <w:rFonts w:ascii="Times New Roman" w:hAnsi="Times New Roman" w:cs="Times New Roman"/>
          <w:noProof/>
        </w:rPr>
        <w:t xml:space="preserve"> </w:t>
      </w:r>
      <w:r w:rsidRPr="00DF37ED">
        <w:rPr>
          <w:rFonts w:ascii="Times New Roman" w:eastAsia="Times New Roman" w:hAnsi="Times New Roman" w:cs="Times New Roman"/>
          <w:i/>
          <w:iCs/>
          <w:noProof/>
          <w:color w:val="000000"/>
          <w:sz w:val="19"/>
          <w:szCs w:val="19"/>
        </w:rPr>
        <w:drawing>
          <wp:inline distT="0" distB="0" distL="0" distR="0" wp14:anchorId="4687A644" wp14:editId="5D0265CE">
            <wp:extent cx="2781300" cy="2628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3618" cy="26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ED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9" w:hanging="9"/>
        <w:rPr>
          <w:rFonts w:ascii="Times New Roman" w:hAnsi="Times New Roman" w:cs="Times New Roman"/>
          <w:noProof/>
        </w:rPr>
      </w:pPr>
      <w:r w:rsidRPr="00DF37ED">
        <w:rPr>
          <w:rFonts w:ascii="Times New Roman" w:hAnsi="Times New Roman" w:cs="Times New Roman"/>
          <w:noProof/>
        </w:rPr>
        <w:t>RESULT:</w:t>
      </w:r>
    </w:p>
    <w:p w:rsidR="00DF37ED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9" w:hanging="9"/>
        <w:rPr>
          <w:rFonts w:ascii="Times New Roman" w:hAnsi="Times New Roman" w:cs="Times New Roman"/>
          <w:noProof/>
        </w:rPr>
      </w:pPr>
      <w:r w:rsidRPr="00DF37ED">
        <w:rPr>
          <w:rFonts w:ascii="Times New Roman" w:hAnsi="Times New Roman" w:cs="Times New Roman"/>
          <w:color w:val="0D0D0D"/>
          <w:shd w:val="clear" w:color="auto" w:fill="FCFCFC"/>
        </w:rPr>
        <w:t>The ETS model forecasts a </w:t>
      </w:r>
      <w:r w:rsidRPr="00DF37ED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continued upward trend with repeating seasonal fluctuations</w:t>
      </w:r>
      <w:r w:rsidRPr="00DF37ED">
        <w:rPr>
          <w:rFonts w:ascii="Times New Roman" w:hAnsi="Times New Roman" w:cs="Times New Roman"/>
          <w:color w:val="0D0D0D"/>
          <w:shd w:val="clear" w:color="auto" w:fill="FCFCFC"/>
        </w:rPr>
        <w:t xml:space="preserve">. The predicted seasonal pattern is consistent with the historical </w:t>
      </w:r>
      <w:proofErr w:type="spellStart"/>
      <w:r w:rsidRPr="00DF37ED">
        <w:rPr>
          <w:rFonts w:ascii="Times New Roman" w:hAnsi="Times New Roman" w:cs="Times New Roman"/>
          <w:color w:val="0D0D0D"/>
          <w:shd w:val="clear" w:color="auto" w:fill="FCFCFC"/>
        </w:rPr>
        <w:t>AirPassengers</w:t>
      </w:r>
      <w:proofErr w:type="spellEnd"/>
      <w:r w:rsidRPr="00DF37ED">
        <w:rPr>
          <w:rFonts w:ascii="Times New Roman" w:hAnsi="Times New Roman" w:cs="Times New Roman"/>
          <w:color w:val="0D0D0D"/>
          <w:shd w:val="clear" w:color="auto" w:fill="FCFCFC"/>
        </w:rPr>
        <w:t xml:space="preserve"> series</w:t>
      </w:r>
    </w:p>
    <w:p w:rsidR="00DF37ED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9" w:hanging="9"/>
        <w:rPr>
          <w:rFonts w:ascii="Times New Roman" w:hAnsi="Times New Roman" w:cs="Times New Roman"/>
          <w:noProof/>
        </w:rPr>
      </w:pPr>
    </w:p>
    <w:p w:rsidR="00DF37ED" w:rsidRPr="00DF37ED" w:rsidRDefault="00DF37ED" w:rsidP="00DF37ED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4"/>
          <w:szCs w:val="24"/>
        </w:rPr>
      </w:pPr>
      <w:r w:rsidRPr="00DF37ED">
        <w:rPr>
          <w:rFonts w:ascii="Times New Roman" w:hAnsi="Times New Roman" w:cs="Times New Roman"/>
          <w:color w:val="0D0D0D"/>
          <w:sz w:val="24"/>
          <w:szCs w:val="24"/>
        </w:rPr>
        <w:t>Part B — Cycle and Seasonality Detection</w:t>
      </w:r>
    </w:p>
    <w:p w:rsidR="00DF37ED" w:rsidRPr="00DF37ED" w:rsidRDefault="00DF37ED" w:rsidP="00DF37ED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DF37ED">
        <w:rPr>
          <w:rFonts w:ascii="Times New Roman" w:hAnsi="Times New Roman" w:cs="Times New Roman"/>
          <w:color w:val="0D0D0D"/>
          <w:sz w:val="24"/>
          <w:szCs w:val="24"/>
        </w:rPr>
        <w:t>Aim</w:t>
      </w:r>
    </w:p>
    <w:p w:rsidR="00DF37ED" w:rsidRDefault="00DF37ED" w:rsidP="00DF37ED">
      <w:pPr>
        <w:pStyle w:val="NormalWeb"/>
        <w:shd w:val="clear" w:color="auto" w:fill="FCFCFC"/>
        <w:rPr>
          <w:color w:val="0D0D0D"/>
        </w:rPr>
      </w:pPr>
      <w:r w:rsidRPr="00DF37ED">
        <w:rPr>
          <w:color w:val="0D0D0D"/>
        </w:rPr>
        <w:t xml:space="preserve">To identify the dominant cycle in the Sunspots time series using the autocorrelation function and </w:t>
      </w:r>
      <w:proofErr w:type="spellStart"/>
      <w:r w:rsidRPr="00DF37ED">
        <w:rPr>
          <w:color w:val="0D0D0D"/>
        </w:rPr>
        <w:t>periodogram</w:t>
      </w:r>
      <w:proofErr w:type="spellEnd"/>
      <w:r w:rsidRPr="00DF37ED">
        <w:rPr>
          <w:color w:val="0D0D0D"/>
        </w:rPr>
        <w:t>.</w:t>
      </w:r>
    </w:p>
    <w:p w:rsidR="00DF37ED" w:rsidRDefault="00DF37ED" w:rsidP="00DF37ED">
      <w:pPr>
        <w:pStyle w:val="NormalWeb"/>
        <w:shd w:val="clear" w:color="auto" w:fill="FCFCFC"/>
        <w:rPr>
          <w:color w:val="0D0D0D"/>
        </w:rPr>
      </w:pPr>
    </w:p>
    <w:p w:rsidR="00DF37ED" w:rsidRDefault="00DF37ED" w:rsidP="00DF37ED">
      <w:pPr>
        <w:pStyle w:val="NormalWeb"/>
        <w:shd w:val="clear" w:color="auto" w:fill="FCFCFC"/>
        <w:rPr>
          <w:color w:val="0D0D0D"/>
        </w:rPr>
      </w:pPr>
    </w:p>
    <w:p w:rsidR="00DF37ED" w:rsidRDefault="00DF37ED" w:rsidP="00DF37ED">
      <w:pPr>
        <w:pStyle w:val="NormalWeb"/>
        <w:shd w:val="clear" w:color="auto" w:fill="FCFCFC"/>
        <w:rPr>
          <w:color w:val="0D0D0D"/>
        </w:rPr>
      </w:pPr>
    </w:p>
    <w:p w:rsidR="00DF37ED" w:rsidRDefault="00DF37ED" w:rsidP="00DF37ED">
      <w:pPr>
        <w:pStyle w:val="NormalWeb"/>
        <w:shd w:val="clear" w:color="auto" w:fill="FCFCFC"/>
        <w:rPr>
          <w:color w:val="0D0D0D"/>
        </w:rPr>
      </w:pPr>
    </w:p>
    <w:p w:rsidR="00DF37ED" w:rsidRPr="00DF37ED" w:rsidRDefault="00DF37ED" w:rsidP="00DF37ED">
      <w:pPr>
        <w:pStyle w:val="NormalWeb"/>
        <w:shd w:val="clear" w:color="auto" w:fill="FCFCFC"/>
        <w:spacing w:before="0" w:after="0"/>
        <w:rPr>
          <w:color w:val="0D0D0D"/>
        </w:rPr>
      </w:pPr>
      <w:r w:rsidRPr="00DF37ED">
        <w:rPr>
          <w:color w:val="0D0D0D"/>
        </w:rPr>
        <w:t>CODE:                                                                     OUTPUT:</w:t>
      </w:r>
    </w:p>
    <w:p w:rsidR="00DF37ED" w:rsidRPr="00DF37ED" w:rsidRDefault="00DF37ED" w:rsidP="00DF37ED">
      <w:pPr>
        <w:pStyle w:val="NormalWeb"/>
        <w:shd w:val="clear" w:color="auto" w:fill="FCFCFC"/>
        <w:rPr>
          <w:color w:val="0D0D0D"/>
        </w:rPr>
      </w:pPr>
      <w:r w:rsidRPr="00DF37ED">
        <w:rPr>
          <w:noProof/>
          <w:color w:val="0D0D0D"/>
        </w:rPr>
        <w:drawing>
          <wp:inline distT="0" distB="0" distL="0" distR="0" wp14:anchorId="40086747" wp14:editId="1D6EE7A9">
            <wp:extent cx="3152775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7ED">
        <w:rPr>
          <w:noProof/>
        </w:rPr>
        <w:t xml:space="preserve"> </w:t>
      </w:r>
      <w:r w:rsidRPr="00DF37ED">
        <w:rPr>
          <w:noProof/>
          <w:color w:val="0D0D0D"/>
        </w:rPr>
        <w:drawing>
          <wp:inline distT="0" distB="0" distL="0" distR="0" wp14:anchorId="42BA0234" wp14:editId="74F36D7D">
            <wp:extent cx="3219450" cy="2533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5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ED" w:rsidRPr="00DF37ED" w:rsidRDefault="00DF37ED" w:rsidP="00DF37ED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proofErr w:type="gramStart"/>
      <w:r w:rsidRPr="00DF37ED">
        <w:rPr>
          <w:rFonts w:ascii="Times New Roman" w:hAnsi="Times New Roman" w:cs="Times New Roman"/>
          <w:color w:val="0D0D0D"/>
        </w:rPr>
        <w:t>Result :</w:t>
      </w:r>
      <w:proofErr w:type="gramEnd"/>
    </w:p>
    <w:p w:rsidR="00DF37ED" w:rsidRPr="00DF37ED" w:rsidRDefault="00DF37ED" w:rsidP="00DF37ED">
      <w:pPr>
        <w:pStyle w:val="NormalWeb"/>
        <w:shd w:val="clear" w:color="auto" w:fill="FCFCFC"/>
        <w:spacing w:before="0" w:after="0"/>
        <w:ind w:firstLine="720"/>
        <w:rPr>
          <w:color w:val="0D0D0D"/>
        </w:rPr>
      </w:pPr>
      <w:r w:rsidRPr="00DF37ED">
        <w:rPr>
          <w:color w:val="0D0D0D"/>
        </w:rPr>
        <w:t xml:space="preserve">The ACF shows repeated positive and negative correlations at regular intervals, indicating a cyclical pattern in sunspot activity. The </w:t>
      </w:r>
      <w:proofErr w:type="spellStart"/>
      <w:r w:rsidRPr="00DF37ED">
        <w:rPr>
          <w:color w:val="0D0D0D"/>
        </w:rPr>
        <w:t>periodogram</w:t>
      </w:r>
      <w:proofErr w:type="spellEnd"/>
      <w:r w:rsidRPr="00DF37ED">
        <w:rPr>
          <w:color w:val="0D0D0D"/>
        </w:rPr>
        <w:t xml:space="preserve"> typically identifies a dominant cycle of approximately </w:t>
      </w:r>
      <w:r w:rsidRPr="00DF37ED">
        <w:rPr>
          <w:rStyle w:val="Strong"/>
          <w:color w:val="0D0D0D"/>
        </w:rPr>
        <w:t>10–11 years</w:t>
      </w:r>
      <w:r w:rsidRPr="00DF37ED">
        <w:rPr>
          <w:color w:val="0D0D0D"/>
        </w:rPr>
        <w:t>, which is close to the commonly cited </w:t>
      </w:r>
      <w:r w:rsidRPr="00DF37ED">
        <w:rPr>
          <w:rStyle w:val="Strong"/>
          <w:color w:val="0D0D0D"/>
        </w:rPr>
        <w:t>~11-year solar cycle</w:t>
      </w:r>
      <w:r w:rsidRPr="00DF37ED">
        <w:rPr>
          <w:color w:val="0D0D0D"/>
        </w:rPr>
        <w:t>.</w:t>
      </w:r>
    </w:p>
    <w:p w:rsidR="00DF37ED" w:rsidRPr="00DF37ED" w:rsidRDefault="00DF37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19" w:hanging="9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sectPr w:rsidR="00DF37ED" w:rsidRPr="00DF37ED" w:rsidSect="00E82EDC">
      <w:pgSz w:w="12240" w:h="15840"/>
      <w:pgMar w:top="878" w:right="946" w:bottom="1282" w:left="99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A13BA5-6CD9-4CAC-9CC3-F154F1DB15D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8132FD2-04F7-473F-8FB5-60860F065E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17C818-C0AE-4F74-82B6-6B0E50608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41EB54-D8BC-4C3D-9455-019AED3593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A26BE3"/>
    <w:rsid w:val="008826B2"/>
    <w:rsid w:val="00A26BE3"/>
    <w:rsid w:val="00A8470B"/>
    <w:rsid w:val="00DF37ED"/>
    <w:rsid w:val="00E8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A8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7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70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8470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A8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7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70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847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1461</Words>
  <Characters>8330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    Aim:</vt:lpstr>
      <vt:lpstr>        Result</vt:lpstr>
      <vt:lpstr>    Part A — Multiple Time Series</vt:lpstr>
      <vt:lpstr>        Aim</vt:lpstr>
      <vt:lpstr>Part B — Dose–Response Curve</vt:lpstr>
      <vt:lpstr>        Aim</vt:lpstr>
      <vt:lpstr>        Result</vt:lpstr>
      <vt:lpstr>        Aim</vt:lpstr>
      <vt:lpstr>        Result</vt:lpstr>
      <vt:lpstr>        Aim</vt:lpstr>
      <vt:lpstr>        Result:</vt:lpstr>
      <vt:lpstr>        Part A — Forecasting Trends</vt:lpstr>
      <vt:lpstr>Part B — Cycle and Seasonality Detection</vt:lpstr>
      <vt:lpstr>        Aim</vt:lpstr>
      <vt:lpstr>        Result :</vt:lpstr>
    </vt:vector>
  </TitlesOfParts>
  <Company/>
  <LinksUpToDate>false</LinksUpToDate>
  <CharactersWithSpaces>9772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2026-08-26T09:25:00Z</dcterms:created>
  <dcterms:modified xsi:type="dcterms:W3CDTF">2026-08-26T09:25:00Z</dcterms:modified>
</cp:coreProperties>
</file>