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150302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0302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Model Risk Validation Report</w:t>
      </w:r>
    </w:p>
    <w:p>
      <w:r>
        <w:t>Full Technical &amp; Quantitative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338D"/>
              </w:rPr>
              <w:t>Monitor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Run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Score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Status</w:t>
            </w:r>
          </w:p>
        </w:tc>
      </w:tr>
      <w:tr>
        <w:tc>
          <w:tcPr>
            <w:tcW w:type="dxa" w:w="2160"/>
          </w:tcPr>
          <w:p>
            <w:r>
              <w:t>mon_fraud</w:t>
            </w:r>
          </w:p>
        </w:tc>
        <w:tc>
          <w:tcPr>
            <w:tcW w:type="dxa" w:w="2160"/>
          </w:tcPr>
          <w:p>
            <w:r>
              <w:t>run_1120e81f...</w:t>
            </w:r>
          </w:p>
        </w:tc>
        <w:tc>
          <w:tcPr>
            <w:tcW w:type="dxa" w:w="2160"/>
          </w:tcPr>
          <w:p>
            <w:r>
              <w:t>71.4/100</w:t>
            </w:r>
          </w:p>
        </w:tc>
        <w:tc>
          <w:tcPr>
            <w:tcW w:type="dxa" w:w="2160"/>
          </w:tcPr>
          <w:p>
            <w:r>
              <w:rPr>
                <w:b/>
                <w:color w:val="CA8A04"/>
              </w:rPr>
              <w:t>WATCH</w:t>
            </w:r>
          </w:p>
        </w:tc>
      </w:tr>
    </w:tbl>
    <w:p>
      <w:r>
        <w:br/>
        <w:t>Generated At: 2026-09-16</w:t>
      </w:r>
    </w:p>
    <w:p>
      <w:pPr>
        <w:pStyle w:val="Heading1"/>
      </w:pPr>
      <w:r>
        <w:t>Key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Brier Skill Score</w:t>
            </w:r>
          </w:p>
        </w:tc>
        <w:tc>
          <w:tcPr>
            <w:tcW w:type="dxa" w:w="2160"/>
          </w:tcPr>
          <w:p>
            <w:r>
              <w:t>-0.0002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Calibration Ratio</w:t>
            </w:r>
          </w:p>
        </w:tc>
        <w:tc>
          <w:tcPr>
            <w:tcW w:type="dxa" w:w="2160"/>
          </w:tcPr>
          <w:p>
            <w:r>
              <w:t>0.7566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</w:tr>
      <w:tr>
        <w:tc>
          <w:tcPr>
            <w:tcW w:type="dxa" w:w="2160"/>
          </w:tcPr>
          <w:p>
            <w:r>
              <w:t>Row Count</w:t>
            </w:r>
          </w:p>
        </w:tc>
        <w:tc>
          <w:tcPr>
            <w:tcW w:type="dxa" w:w="2160"/>
          </w:tcPr>
          <w:p>
            <w:r>
              <w:t>800.0000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Duplicate Row Count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Null Rates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Invalid Probability Count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Invalid Target Count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Monitoring Readiness Summary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Score-PD Coherence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Band Consistency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SKIPPED</w:t>
            </w:r>
          </w:p>
        </w:tc>
      </w:tr>
      <w:tr>
        <w:tc>
          <w:tcPr>
            <w:tcW w:type="dxa" w:w="2160"/>
          </w:tcPr>
          <w:p>
            <w:r>
              <w:t>DPD Buckets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SKIPPED</w:t>
            </w:r>
          </w:p>
        </w:tc>
      </w:tr>
      <w:tr>
        <w:tc>
          <w:tcPr>
            <w:tcW w:type="dxa" w:w="2160"/>
          </w:tcPr>
          <w:p>
            <w:r>
              <w:t>Score PSI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SKIPPED</w:t>
            </w:r>
          </w:p>
        </w:tc>
      </w:tr>
      <w:tr>
        <w:tc>
          <w:tcPr>
            <w:tcW w:type="dxa" w:w="2160"/>
          </w:tcPr>
          <w:p>
            <w:r>
              <w:t>ROC AUC</w:t>
            </w:r>
          </w:p>
        </w:tc>
        <w:tc>
          <w:tcPr>
            <w:tcW w:type="dxa" w:w="2160"/>
          </w:tcPr>
          <w:p>
            <w:r>
              <w:t>0.7549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Gini Coefficient</w:t>
            </w:r>
          </w:p>
        </w:tc>
        <w:tc>
          <w:tcPr>
            <w:tcW w:type="dxa" w:w="2160"/>
          </w:tcPr>
          <w:p>
            <w:r>
              <w:t>0.5099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KS Statistic</w:t>
            </w:r>
          </w:p>
        </w:tc>
        <w:tc>
          <w:tcPr>
            <w:tcW w:type="dxa" w:w="2160"/>
          </w:tcPr>
          <w:p>
            <w:r>
              <w:t>0.3976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Decile Table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Score Distribution Analysis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Approval Rate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Overall Bad Rate</w:t>
            </w:r>
          </w:p>
        </w:tc>
        <w:tc>
          <w:tcPr>
            <w:tcW w:type="dxa" w:w="2160"/>
          </w:tcPr>
          <w:p>
            <w:r>
              <w:t>0.0387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</w:tbl>
    <w:p>
      <w:pPr>
        <w:pStyle w:val="Heading1"/>
      </w:pPr>
      <w:r>
        <w:t>Statistical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Conclusion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Hosmer-Lemeshow Test</w:t>
            </w:r>
          </w:p>
        </w:tc>
        <w:tc>
          <w:tcPr>
            <w:tcW w:type="dxa" w:w="1728"/>
          </w:tcPr>
          <w:p>
            <w:r>
              <w:t>7.0551</w:t>
            </w:r>
          </w:p>
        </w:tc>
        <w:tc>
          <w:tcPr>
            <w:tcW w:type="dxa" w:w="1728"/>
          </w:tcPr>
          <w:p>
            <w:r>
              <w:t>0.8254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3</w:t>
            </w:r>
          </w:p>
        </w:tc>
        <w:tc>
          <w:tcPr>
            <w:tcW w:type="dxa" w:w="1728"/>
          </w:tcPr>
          <w:p>
            <w:r>
              <w:t>6.0000</w:t>
            </w:r>
          </w:p>
        </w:tc>
        <w:tc>
          <w:tcPr>
            <w:tcW w:type="dxa" w:w="1728"/>
          </w:tcPr>
          <w:p>
            <w:r>
              <w:t>0.8254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2</w:t>
            </w:r>
          </w:p>
        </w:tc>
        <w:tc>
          <w:tcPr>
            <w:tcW w:type="dxa" w:w="1728"/>
          </w:tcPr>
          <w:p>
            <w:r>
              <w:t>6.0000</w:t>
            </w:r>
          </w:p>
        </w:tc>
        <w:tc>
          <w:tcPr>
            <w:tcW w:type="dxa" w:w="1728"/>
          </w:tcPr>
          <w:p>
            <w:r>
              <w:t>0.8254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4</w:t>
            </w:r>
          </w:p>
        </w:tc>
        <w:tc>
          <w:tcPr>
            <w:tcW w:type="dxa" w:w="1728"/>
          </w:tcPr>
          <w:p>
            <w:r>
              <w:t>16.0000</w:t>
            </w:r>
          </w:p>
        </w:tc>
        <w:tc>
          <w:tcPr>
            <w:tcW w:type="dxa" w:w="1728"/>
          </w:tcPr>
          <w:p>
            <w:r>
              <w:t>0.0019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1</w:t>
            </w:r>
          </w:p>
        </w:tc>
        <w:tc>
          <w:tcPr>
            <w:tcW w:type="dxa" w:w="1728"/>
          </w:tcPr>
          <w:p>
            <w:r>
              <w:t>2.0000</w:t>
            </w:r>
          </w:p>
        </w:tc>
        <w:tc>
          <w:tcPr>
            <w:tcW w:type="dxa" w:w="1728"/>
          </w:tcPr>
          <w:p>
            <w:r>
              <w:t>0.9982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0.9982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Mann-Whitney U: Approved vs Declined Scores</w:t>
            </w:r>
          </w:p>
        </w:tc>
        <w:tc>
          <w:tcPr>
            <w:tcW w:type="dxa" w:w="1728"/>
          </w:tcPr>
          <w:p>
            <w:r>
              <w:t>4733.5000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Override Analysis</w:t>
      </w:r>
    </w:p>
    <w:p>
      <w:pPr>
        <w:pStyle w:val="Heading2"/>
      </w:pPr>
      <w:r>
        <w:t>Cutoff: 550</w:t>
      </w:r>
    </w:p>
    <w:p>
      <w:r>
        <w:t>"Overridden accounts show a HIGHER bad rate than model-approved accounts (6.6% vs 1.7%),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273</w:t>
            </w:r>
          </w:p>
        </w:tc>
        <w:tc>
          <w:tcPr>
            <w:tcW w:type="dxa" w:w="2160"/>
          </w:tcPr>
          <w:p>
            <w:r>
              <w:t>226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6.6%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600</w:t>
      </w:r>
    </w:p>
    <w:p>
      <w:r>
        <w:t>"Overridden accounts show a HIGHER bad rate than model-approved accounts (7.6% vs 2.2%),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188</w:t>
            </w:r>
          </w:p>
        </w:tc>
        <w:tc>
          <w:tcPr>
            <w:tcW w:type="dxa" w:w="2160"/>
          </w:tcPr>
          <w:p>
            <w:r>
              <w:t>144</w:t>
            </w:r>
          </w:p>
        </w:tc>
        <w:tc>
          <w:tcPr>
            <w:tcW w:type="dxa" w:w="2160"/>
          </w:tcPr>
          <w:p>
            <w:r>
              <w:t>76.6%</w:t>
            </w:r>
          </w:p>
        </w:tc>
        <w:tc>
          <w:tcPr>
            <w:tcW w:type="dxa" w:w="2160"/>
          </w:tcPr>
          <w:p>
            <w:r>
              <w:t>7.6%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650</w:t>
      </w:r>
    </w:p>
    <w:p>
      <w:r>
        <w:t>"Overridden accounts show a HIGHER bad rate than model-approved accounts (12.3% vs 2.4%),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107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60.7%</w:t>
            </w:r>
          </w:p>
        </w:tc>
        <w:tc>
          <w:tcPr>
            <w:tcW w:type="dxa" w:w="2160"/>
          </w:tcPr>
          <w:p>
            <w:r>
              <w:t>12.3%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700</w:t>
      </w:r>
    </w:p>
    <w:p>
      <w:r>
        <w:t>"Overridden accounts show a HIGHER bad rate than model-approved accounts (11.1% vs 3.1%),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  <w:tc>
          <w:tcPr>
            <w:tcW w:type="dxa" w:w="2160"/>
          </w:tcPr>
          <w:p>
            <w:r>
              <w:t>11.1%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1"/>
      </w:pPr>
      <w:r>
        <w:t>Model Visualizations</w:t>
      </w:r>
    </w:p>
    <w:p>
      <w:pPr>
        <w:pStyle w:val="Heading2"/>
      </w:pPr>
      <w:r>
        <w:t>Chart Score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Bad Rate By Score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Approval By Risk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Calibration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Decile Lift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Roc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  <w:color w:val="646464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8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8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