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150302" cy="45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0302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Model Risk Validation Report</w:t>
      </w:r>
    </w:p>
    <w:p>
      <w:r>
        <w:t>Full Technical &amp; Quantitative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00338D"/>
              </w:rPr>
              <w:t>Monitor ID</w:t>
            </w:r>
          </w:p>
        </w:tc>
        <w:tc>
          <w:tcPr>
            <w:tcW w:type="dxa" w:w="2160"/>
          </w:tcPr>
          <w:p>
            <w:r>
              <w:rPr>
                <w:b/>
                <w:color w:val="00338D"/>
              </w:rPr>
              <w:t>Run ID</w:t>
            </w:r>
          </w:p>
        </w:tc>
        <w:tc>
          <w:tcPr>
            <w:tcW w:type="dxa" w:w="2160"/>
          </w:tcPr>
          <w:p>
            <w:r>
              <w:rPr>
                <w:b/>
                <w:color w:val="00338D"/>
              </w:rPr>
              <w:t>Health Score</w:t>
            </w:r>
          </w:p>
        </w:tc>
        <w:tc>
          <w:tcPr>
            <w:tcW w:type="dxa" w:w="2160"/>
          </w:tcPr>
          <w:p>
            <w:r>
              <w:rPr>
                <w:b/>
                <w:color w:val="00338D"/>
              </w:rPr>
              <w:t>Health Status</w:t>
            </w:r>
          </w:p>
        </w:tc>
      </w:tr>
      <w:tr>
        <w:tc>
          <w:tcPr>
            <w:tcW w:type="dxa" w:w="2160"/>
          </w:tcPr>
          <w:p>
            <w:r>
              <w:t>mon_drifted</w:t>
            </w:r>
          </w:p>
        </w:tc>
        <w:tc>
          <w:tcPr>
            <w:tcW w:type="dxa" w:w="2160"/>
          </w:tcPr>
          <w:p>
            <w:r>
              <w:t>run_32c38700...</w:t>
            </w:r>
          </w:p>
        </w:tc>
        <w:tc>
          <w:tcPr>
            <w:tcW w:type="dxa" w:w="2160"/>
          </w:tcPr>
          <w:p>
            <w:r>
              <w:t>45.9/100</w:t>
            </w:r>
          </w:p>
        </w:tc>
        <w:tc>
          <w:tcPr>
            <w:tcW w:type="dxa" w:w="2160"/>
          </w:tcPr>
          <w:p>
            <w:r>
              <w:rPr>
                <w:b/>
                <w:color w:val="EA580C"/>
              </w:rPr>
              <w:t>DETERIORATING</w:t>
            </w:r>
          </w:p>
        </w:tc>
      </w:tr>
    </w:tbl>
    <w:p>
      <w:r>
        <w:br/>
        <w:t>Generated At: 2026-09-16</w:t>
      </w:r>
    </w:p>
    <w:p>
      <w:pPr>
        <w:pStyle w:val="Heading1"/>
      </w:pPr>
      <w:r>
        <w:t>AI Narrative Analysis</w:t>
      </w:r>
    </w:p>
    <w:p>
      <w:pPr>
        <w:pStyle w:val="Heading2"/>
      </w:pPr>
      <w:r>
        <w:t>Executive Summary</w:t>
      </w:r>
    </w:p>
    <w:p>
      <w:r>
        <w:t>The model is in a critical state with 1 critical issues detected.</w:t>
      </w:r>
    </w:p>
    <w:p>
      <w:pPr>
        <w:pStyle w:val="Heading2"/>
      </w:pPr>
      <w:r>
        <w:t>Technical Summary</w:t>
      </w:r>
    </w:p>
    <w:p>
      <w:r>
        <w:t>Mock technical summary based on findings.</w:t>
      </w:r>
    </w:p>
    <w:p>
      <w:pPr>
        <w:pStyle w:val="Heading2"/>
      </w:pPr>
      <w:r>
        <w:t>Root Causes</w:t>
      </w:r>
    </w:p>
    <w:p>
      <w:pPr>
        <w:pStyle w:val="ListBullet"/>
      </w:pPr>
      <w:r>
        <w:t>Mock cause 1</w:t>
      </w:r>
    </w:p>
    <w:p>
      <w:pPr>
        <w:pStyle w:val="ListBullet"/>
      </w:pPr>
      <w:r>
        <w:t>Mock cause 2</w:t>
      </w:r>
    </w:p>
    <w:p>
      <w:pPr>
        <w:pStyle w:val="Heading2"/>
      </w:pPr>
      <w:r>
        <w:t>Recommended Actions</w:t>
      </w:r>
    </w:p>
    <w:p>
      <w:pPr>
        <w:pStyle w:val="ListBullet"/>
      </w:pPr>
      <w:r>
        <w:t>Mock action 1</w:t>
      </w:r>
    </w:p>
    <w:p>
      <w:pPr>
        <w:pStyle w:val="Heading1"/>
      </w:pPr>
      <w:r>
        <w:t>Alerts &amp; Breaches</w:t>
      </w:r>
    </w:p>
    <w:p>
      <w:r>
        <w:rPr>
          <w:b/>
          <w:color w:val="DC2626"/>
        </w:rPr>
        <w:t xml:space="preserve">[CRITICAL] </w:t>
      </w:r>
      <w:r>
        <w:t>Score PSI = 0.2622, exceeds critical threshold of 0.25</w:t>
      </w:r>
    </w:p>
    <w:p>
      <w:r>
        <w:rPr>
          <w:b/>
          <w:color w:val="EA580C"/>
        </w:rPr>
        <w:t xml:space="preserve">[WARNING] </w:t>
      </w:r>
      <w:r>
        <w:t>ROC AUC declined by 0.0364 vs baseline, exceeding warning threshold of 0.03</w:t>
      </w:r>
    </w:p>
    <w:p>
      <w:r>
        <w:rPr>
          <w:b/>
          <w:color w:val="EA580C"/>
        </w:rPr>
        <w:t xml:space="preserve">[WARNING] </w:t>
      </w:r>
      <w:r>
        <w:t>Gini Coefficient declined by 0.0728 vs baseline, exceeding warning threshold of 0.05</w:t>
      </w:r>
    </w:p>
    <w:p>
      <w:r>
        <w:rPr>
          <w:b/>
          <w:color w:val="DC2626"/>
        </w:rPr>
        <w:t xml:space="preserve">[CRITICAL] </w:t>
      </w:r>
      <w:r>
        <w:t>KS Statistic declined by 0.0637 vs baseline, exceeding critical threshold of 0.05</w:t>
      </w:r>
    </w:p>
    <w:p>
      <w:r>
        <w:rPr>
          <w:b/>
          <w:color w:val="DC2626"/>
        </w:rPr>
        <w:t xml:space="preserve">[CRITICAL] </w:t>
      </w:r>
      <w:r>
        <w:t>Approval Rate changed by 0.1964 vs baseline, exceeding critical threshold of 0.1</w:t>
      </w:r>
    </w:p>
    <w:p>
      <w:pPr>
        <w:pStyle w:val="Heading1"/>
      </w:pPr>
      <w:r>
        <w:t>Key 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Threshold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Brier Skill Score</w:t>
            </w:r>
          </w:p>
        </w:tc>
        <w:tc>
          <w:tcPr>
            <w:tcW w:type="dxa" w:w="2160"/>
          </w:tcPr>
          <w:p>
            <w:r>
              <w:t>0.0903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Calibration Ratio</w:t>
            </w:r>
          </w:p>
        </w:tc>
        <w:tc>
          <w:tcPr>
            <w:tcW w:type="dxa" w:w="2160"/>
          </w:tcPr>
          <w:p>
            <w:r>
              <w:t>1.4797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WARNING</w:t>
            </w:r>
          </w:p>
        </w:tc>
      </w:tr>
      <w:tr>
        <w:tc>
          <w:tcPr>
            <w:tcW w:type="dxa" w:w="2160"/>
          </w:tcPr>
          <w:p>
            <w:r>
              <w:t>Row Count</w:t>
            </w:r>
          </w:p>
        </w:tc>
        <w:tc>
          <w:tcPr>
            <w:tcW w:type="dxa" w:w="2160"/>
          </w:tcPr>
          <w:p>
            <w:r>
              <w:t>2500.0000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Duplicate Row Count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Null Rates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Invalid Probability Count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Invalid Target Count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Monitoring Readiness Summary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Score-PD Coherence</w:t>
            </w:r>
          </w:p>
        </w:tc>
        <w:tc>
          <w:tcPr>
            <w:tcW w:type="dxa" w:w="2160"/>
          </w:tcPr>
          <w:p>
            <w:r>
              <w:t>-0.9892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Band Consistency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SKIPPED</w:t>
            </w:r>
          </w:p>
        </w:tc>
      </w:tr>
      <w:tr>
        <w:tc>
          <w:tcPr>
            <w:tcW w:type="dxa" w:w="2160"/>
          </w:tcPr>
          <w:p>
            <w:r>
              <w:t>DPD Buckets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SKIPPED</w:t>
            </w:r>
          </w:p>
        </w:tc>
      </w:tr>
      <w:tr>
        <w:tc>
          <w:tcPr>
            <w:tcW w:type="dxa" w:w="2160"/>
          </w:tcPr>
          <w:p>
            <w:r>
              <w:t>Score PSI</w:t>
            </w:r>
          </w:p>
        </w:tc>
        <w:tc>
          <w:tcPr>
            <w:tcW w:type="dxa" w:w="2160"/>
          </w:tcPr>
          <w:p>
            <w:r>
              <w:t>0.2622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DC2626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t>ROC AUC</w:t>
            </w:r>
          </w:p>
        </w:tc>
        <w:tc>
          <w:tcPr>
            <w:tcW w:type="dxa" w:w="2160"/>
          </w:tcPr>
          <w:p>
            <w:r>
              <w:t>0.7490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Gini Coefficient</w:t>
            </w:r>
          </w:p>
        </w:tc>
        <w:tc>
          <w:tcPr>
            <w:tcW w:type="dxa" w:w="2160"/>
          </w:tcPr>
          <w:p>
            <w:r>
              <w:t>0.4980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KS Statistic</w:t>
            </w:r>
          </w:p>
        </w:tc>
        <w:tc>
          <w:tcPr>
            <w:tcW w:type="dxa" w:w="2160"/>
          </w:tcPr>
          <w:p>
            <w:r>
              <w:t>0.3716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Decile Table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Score Distribution Analysis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DC2626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t>Approval Rate</w:t>
            </w:r>
          </w:p>
        </w:tc>
        <w:tc>
          <w:tcPr>
            <w:tcW w:type="dxa" w:w="2160"/>
          </w:tcPr>
          <w:p>
            <w:r>
              <w:t>0.6048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Overall Bad Rate</w:t>
            </w:r>
          </w:p>
        </w:tc>
        <w:tc>
          <w:tcPr>
            <w:tcW w:type="dxa" w:w="2160"/>
          </w:tcPr>
          <w:p>
            <w:r>
              <w:t>0.2780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</w:tbl>
    <w:p>
      <w:pPr>
        <w:pStyle w:val="Heading1"/>
      </w:pPr>
      <w:r>
        <w:t>Statistical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Statistic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P-Value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Conclusion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1728"/>
          </w:tcPr>
          <w:p>
            <w:r>
              <w:t>Hosmer-Lemeshow Test</w:t>
            </w:r>
          </w:p>
        </w:tc>
        <w:tc>
          <w:tcPr>
            <w:tcW w:type="dxa" w:w="1728"/>
          </w:tcPr>
          <w:p>
            <w:r>
              <w:t>567.8371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Reject H₀ — distributions differ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4</w:t>
            </w:r>
          </w:p>
        </w:tc>
        <w:tc>
          <w:tcPr>
            <w:tcW w:type="dxa" w:w="1728"/>
          </w:tcPr>
          <w:p>
            <w:r>
              <w:t>40.0000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0</w:t>
            </w:r>
          </w:p>
        </w:tc>
        <w:tc>
          <w:tcPr>
            <w:tcW w:type="dxa" w:w="1728"/>
          </w:tcPr>
          <w:p>
            <w:r>
              <w:t>281.0000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Reject H₀ — distributions differ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3</w:t>
            </w:r>
          </w:p>
        </w:tc>
        <w:tc>
          <w:tcPr>
            <w:tcW w:type="dxa" w:w="1728"/>
          </w:tcPr>
          <w:p>
            <w:r>
              <w:t>70.0000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2</w:t>
            </w:r>
          </w:p>
        </w:tc>
        <w:tc>
          <w:tcPr>
            <w:tcW w:type="dxa" w:w="1728"/>
          </w:tcPr>
          <w:p>
            <w:r>
              <w:t>124.0000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1</w:t>
            </w:r>
          </w:p>
        </w:tc>
        <w:tc>
          <w:tcPr>
            <w:tcW w:type="dxa" w:w="1728"/>
          </w:tcPr>
          <w:p>
            <w:r>
              <w:t>180.0000</w:t>
            </w:r>
          </w:p>
        </w:tc>
        <w:tc>
          <w:tcPr>
            <w:tcW w:type="dxa" w:w="1728"/>
          </w:tcPr>
          <w:p>
            <w:r>
              <w:t>0.0001</w:t>
            </w:r>
          </w:p>
        </w:tc>
        <w:tc>
          <w:tcPr>
            <w:tcW w:type="dxa" w:w="1728"/>
          </w:tcPr>
          <w:p>
            <w:r>
              <w:t>Reject H₀ — distributions differ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Mann-Whitney U: Approved vs Declined Scores</w:t>
            </w:r>
          </w:p>
        </w:tc>
        <w:tc>
          <w:tcPr>
            <w:tcW w:type="dxa" w:w="1728"/>
          </w:tcPr>
          <w:p>
            <w:r>
              <w:t>1302048.0000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Reject H₀ — distributions differ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1"/>
      </w:pPr>
      <w:r>
        <w:t>Override Analysis</w:t>
      </w:r>
    </w:p>
    <w:p>
      <w:pPr>
        <w:pStyle w:val="Heading2"/>
      </w:pPr>
      <w:r>
        <w:t>Cutoff: 550</w:t>
      </w:r>
    </w:p>
    <w:p>
      <w:r>
        <w:t>"Overridden accounts show a HIGHER bad rate than model-approved accounts (51.9% vs 17.7%), indicating possible excessive risk taking on model-declines."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Declines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Bad Rate</w:t>
            </w:r>
          </w:p>
        </w:tc>
      </w:tr>
      <w:tr>
        <w:tc>
          <w:tcPr>
            <w:tcW w:type="dxa" w:w="2160"/>
          </w:tcPr>
          <w:p>
            <w:r>
              <w:t>340</w:t>
            </w:r>
          </w:p>
        </w:tc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7.9%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</w:tr>
    </w:tbl>
    <w:p>
      <w:r>
        <w:rPr>
          <w:b/>
          <w:color w:val="DC2626"/>
        </w:rPr>
        <w:br/>
        <w:t>Conclusion: Overrides are performing worse than standard model approvals.</w:t>
      </w:r>
    </w:p>
    <w:p>
      <w:pPr>
        <w:pStyle w:val="Heading2"/>
      </w:pPr>
      <w:r>
        <w:t>Cutoff: 600</w:t>
      </w:r>
    </w:p>
    <w:p>
      <w:r>
        <w:t>"Overridden accounts show a HIGHER bad rate than model-approved accounts (44.2% vs 14.8%), indicating possible excessive risk taking on model-declines."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Declines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Bad Rate</w:t>
            </w:r>
          </w:p>
        </w:tc>
      </w:tr>
      <w:tr>
        <w:tc>
          <w:tcPr>
            <w:tcW w:type="dxa" w:w="2160"/>
          </w:tcPr>
          <w:p>
            <w:r>
              <w:t>848</w:t>
            </w:r>
          </w:p>
        </w:tc>
        <w:tc>
          <w:tcPr>
            <w:tcW w:type="dxa" w:w="2160"/>
          </w:tcPr>
          <w:p>
            <w:r>
              <w:t>181</w:t>
            </w:r>
          </w:p>
        </w:tc>
        <w:tc>
          <w:tcPr>
            <w:tcW w:type="dxa" w:w="2160"/>
          </w:tcPr>
          <w:p>
            <w:r>
              <w:t>21.3%</w:t>
            </w:r>
          </w:p>
        </w:tc>
        <w:tc>
          <w:tcPr>
            <w:tcW w:type="dxa" w:w="2160"/>
          </w:tcPr>
          <w:p>
            <w:r>
              <w:t>44.2%</w:t>
            </w:r>
          </w:p>
        </w:tc>
      </w:tr>
    </w:tbl>
    <w:p>
      <w:r>
        <w:rPr>
          <w:b/>
          <w:color w:val="DC2626"/>
        </w:rPr>
        <w:br/>
        <w:t>Conclusion: Overrides are performing worse than standard model approvals.</w:t>
      </w:r>
    </w:p>
    <w:p>
      <w:pPr>
        <w:pStyle w:val="Heading2"/>
      </w:pPr>
      <w:r>
        <w:t>Cutoff: 650</w:t>
      </w:r>
    </w:p>
    <w:p>
      <w:r>
        <w:t>"Overridden accounts show a HIGHER bad rate than model-approved accounts (30.1% vs 10.4%), indicating possible excessive risk taking on model-declines."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Declines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Bad Rate</w:t>
            </w:r>
          </w:p>
        </w:tc>
      </w:tr>
      <w:tr>
        <w:tc>
          <w:tcPr>
            <w:tcW w:type="dxa" w:w="2160"/>
          </w:tcPr>
          <w:p>
            <w:r>
              <w:t>1504</w:t>
            </w:r>
          </w:p>
        </w:tc>
        <w:tc>
          <w:tcPr>
            <w:tcW w:type="dxa" w:w="2160"/>
          </w:tcPr>
          <w:p>
            <w:r>
              <w:t>608</w:t>
            </w:r>
          </w:p>
        </w:tc>
        <w:tc>
          <w:tcPr>
            <w:tcW w:type="dxa" w:w="2160"/>
          </w:tcPr>
          <w:p>
            <w:r>
              <w:t>40.4%</w:t>
            </w:r>
          </w:p>
        </w:tc>
        <w:tc>
          <w:tcPr>
            <w:tcW w:type="dxa" w:w="2160"/>
          </w:tcPr>
          <w:p>
            <w:r>
              <w:t>30.1%</w:t>
            </w:r>
          </w:p>
        </w:tc>
      </w:tr>
    </w:tbl>
    <w:p>
      <w:r>
        <w:rPr>
          <w:b/>
          <w:color w:val="DC2626"/>
        </w:rPr>
        <w:br/>
        <w:t>Conclusion: Overrides are performing worse than standard model approvals.</w:t>
      </w:r>
    </w:p>
    <w:p>
      <w:pPr>
        <w:pStyle w:val="Heading2"/>
      </w:pPr>
      <w:r>
        <w:t>Cutoff: 700</w:t>
      </w:r>
    </w:p>
    <w:p>
      <w:r>
        <w:t>"Overridden accounts show a HIGHER bad rate than model-approved accounts (22.3% vs 5.8%), indicating possible excessive risk taking on model-declines."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Declines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Bad Rate</w:t>
            </w:r>
          </w:p>
        </w:tc>
      </w:tr>
      <w:tr>
        <w:tc>
          <w:tcPr>
            <w:tcW w:type="dxa" w:w="2160"/>
          </w:tcPr>
          <w:p>
            <w:r>
              <w:t>2130</w:t>
            </w:r>
          </w:p>
        </w:tc>
        <w:tc>
          <w:tcPr>
            <w:tcW w:type="dxa" w:w="2160"/>
          </w:tcPr>
          <w:p>
            <w:r>
              <w:t>1148</w:t>
            </w:r>
          </w:p>
        </w:tc>
        <w:tc>
          <w:tcPr>
            <w:tcW w:type="dxa" w:w="2160"/>
          </w:tcPr>
          <w:p>
            <w:r>
              <w:t>53.9%</w:t>
            </w:r>
          </w:p>
        </w:tc>
        <w:tc>
          <w:tcPr>
            <w:tcW w:type="dxa" w:w="2160"/>
          </w:tcPr>
          <w:p>
            <w:r>
              <w:t>22.3%</w:t>
            </w:r>
          </w:p>
        </w:tc>
      </w:tr>
    </w:tbl>
    <w:p>
      <w:r>
        <w:rPr>
          <w:b/>
          <w:color w:val="DC2626"/>
        </w:rPr>
        <w:br/>
        <w:t>Conclusion: Overrides are performing worse than standard model approvals.</w:t>
      </w:r>
    </w:p>
    <w:p>
      <w:pPr>
        <w:pStyle w:val="Heading1"/>
      </w:pPr>
      <w:r>
        <w:t>Model Visualizations</w:t>
      </w:r>
    </w:p>
    <w:p>
      <w:pPr>
        <w:pStyle w:val="Heading2"/>
      </w:pPr>
      <w:r>
        <w:t>Chart Score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Pd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Bad Rate By Score Band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Approval By Risk Band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Calibration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Psi Breakdown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Decile Lift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Roc Curve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  <w:color w:val="646464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8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338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