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drawing>
          <wp:inline xmlns:a="http://schemas.openxmlformats.org/drawingml/2006/main" xmlns:pic="http://schemas.openxmlformats.org/drawingml/2006/picture">
            <wp:extent cx="1150302" cy="457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150302" cy="457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"/>
      </w:pPr>
      <w:r>
        <w:t>Model Risk Validation Report</w:t>
      </w:r>
    </w:p>
    <w:p>
      <w:r>
        <w:t>Full Technical &amp; Quantitative Analysis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color w:val="00338D"/>
              </w:rPr>
              <w:t>Monitor ID</w:t>
            </w:r>
          </w:p>
        </w:tc>
        <w:tc>
          <w:tcPr>
            <w:tcW w:type="dxa" w:w="2160"/>
          </w:tcPr>
          <w:p>
            <w:r>
              <w:rPr>
                <w:b/>
                <w:color w:val="00338D"/>
              </w:rPr>
              <w:t>Run ID</w:t>
            </w:r>
          </w:p>
        </w:tc>
        <w:tc>
          <w:tcPr>
            <w:tcW w:type="dxa" w:w="2160"/>
          </w:tcPr>
          <w:p>
            <w:r>
              <w:rPr>
                <w:b/>
                <w:color w:val="00338D"/>
              </w:rPr>
              <w:t>Health Score</w:t>
            </w:r>
          </w:p>
        </w:tc>
        <w:tc>
          <w:tcPr>
            <w:tcW w:type="dxa" w:w="2160"/>
          </w:tcPr>
          <w:p>
            <w:r>
              <w:rPr>
                <w:b/>
                <w:color w:val="00338D"/>
              </w:rPr>
              <w:t>Health Status</w:t>
            </w:r>
          </w:p>
        </w:tc>
      </w:tr>
      <w:tr>
        <w:tc>
          <w:tcPr>
            <w:tcW w:type="dxa" w:w="2160"/>
          </w:tcPr>
          <w:p>
            <w:r>
              <w:t>mon_edge</w:t>
            </w:r>
          </w:p>
        </w:tc>
        <w:tc>
          <w:tcPr>
            <w:tcW w:type="dxa" w:w="2160"/>
          </w:tcPr>
          <w:p>
            <w:r>
              <w:t>run_95a1878d...</w:t>
            </w:r>
          </w:p>
        </w:tc>
        <w:tc>
          <w:tcPr>
            <w:tcW w:type="dxa" w:w="2160"/>
          </w:tcPr>
          <w:p>
            <w:r>
              <w:t>95.0/100</w:t>
            </w:r>
          </w:p>
        </w:tc>
        <w:tc>
          <w:tcPr>
            <w:tcW w:type="dxa" w:w="2160"/>
          </w:tcPr>
          <w:p>
            <w:r>
              <w:t>HEALTHY</w:t>
            </w:r>
          </w:p>
        </w:tc>
      </w:tr>
    </w:tbl>
    <w:p>
      <w:r>
        <w:br/>
        <w:t>Generated At: 2026-09-16</w:t>
      </w:r>
    </w:p>
    <w:p>
      <w:pPr>
        <w:pStyle w:val="Heading1"/>
      </w:pPr>
      <w:r>
        <w:t>AI Narrative Analysis</w:t>
      </w:r>
    </w:p>
    <w:p>
      <w:pPr>
        <w:pStyle w:val="Heading2"/>
      </w:pPr>
      <w:r>
        <w:t>Executive Summary</w:t>
      </w:r>
    </w:p>
    <w:p>
      <w:r>
        <w:t>The model's health is currently stable with no critical or warning findings. However, the absence of a baseline makes it challenging to assess its performance.</w:t>
      </w:r>
    </w:p>
    <w:p>
      <w:pPr>
        <w:pStyle w:val="Heading2"/>
      </w:pPr>
      <w:r>
        <w:t>Technical Summary</w:t>
      </w:r>
    </w:p>
    <w:p>
      <w:r>
        <w:t>There are no specific metric breaches or key findings to report, as the Top Worsening Metrics list is empty and the Detailed Findings list is also empty.</w:t>
      </w:r>
    </w:p>
    <w:p>
      <w:pPr>
        <w:pStyle w:val="Heading2"/>
      </w:pPr>
      <w:r>
        <w:t>Recommended Actions</w:t>
      </w:r>
    </w:p>
    <w:p>
      <w:pPr>
        <w:pStyle w:val="ListBullet"/>
      </w:pPr>
      <w:r>
        <w:t>Establish a baseline to enable performance assessment</w:t>
      </w:r>
    </w:p>
    <w:p>
      <w:pPr>
        <w:pStyle w:val="ListBullet"/>
      </w:pPr>
      <w:r>
        <w:t>Monitor the model's performance closely for potential issues</w:t>
      </w:r>
    </w:p>
    <w:p>
      <w:pPr>
        <w:pStyle w:val="Heading1"/>
      </w:pPr>
      <w:r>
        <w:t>Key Performance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Value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Threshold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2160"/>
          </w:tcPr>
          <w:p>
            <w:r>
              <w:t>Brier Skill Score</w:t>
            </w:r>
          </w:p>
        </w:tc>
        <w:tc>
          <w:tcPr>
            <w:tcW w:type="dxa" w:w="2160"/>
          </w:tcPr>
          <w:p>
            <w:r>
              <w:t>0.0542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rPr>
                <w:b/>
                <w:color w:val="16A34A"/>
              </w:rPr>
              <w:t>OK</w:t>
            </w:r>
          </w:p>
        </w:tc>
      </w:tr>
      <w:tr>
        <w:tc>
          <w:tcPr>
            <w:tcW w:type="dxa" w:w="2160"/>
          </w:tcPr>
          <w:p>
            <w:r>
              <w:t>Calibration Ratio</w:t>
            </w:r>
          </w:p>
        </w:tc>
        <w:tc>
          <w:tcPr>
            <w:tcW w:type="dxa" w:w="2160"/>
          </w:tcPr>
          <w:p>
            <w:r>
              <w:t>0.9366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rPr>
                <w:b/>
                <w:color w:val="16A34A"/>
              </w:rPr>
              <w:t>OK</w:t>
            </w:r>
          </w:p>
        </w:tc>
      </w:tr>
      <w:tr>
        <w:tc>
          <w:tcPr>
            <w:tcW w:type="dxa" w:w="2160"/>
          </w:tcPr>
          <w:p>
            <w:r>
              <w:t>Row Count</w:t>
            </w:r>
          </w:p>
        </w:tc>
        <w:tc>
          <w:tcPr>
            <w:tcW w:type="dxa" w:w="2160"/>
          </w:tcPr>
          <w:p>
            <w:r>
              <w:t>420.0000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rPr>
                <w:b/>
                <w:color w:val="16A34A"/>
              </w:rPr>
              <w:t>OK</w:t>
            </w:r>
          </w:p>
        </w:tc>
      </w:tr>
      <w:tr>
        <w:tc>
          <w:tcPr>
            <w:tcW w:type="dxa" w:w="2160"/>
          </w:tcPr>
          <w:p>
            <w:r>
              <w:t>Duplicate Row Count</w:t>
            </w:r>
          </w:p>
        </w:tc>
        <w:tc>
          <w:tcPr>
            <w:tcW w:type="dxa" w:w="2160"/>
          </w:tcPr>
          <w:p>
            <w:r>
              <w:t>20.0000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WARNING</w:t>
            </w:r>
          </w:p>
        </w:tc>
      </w:tr>
      <w:tr>
        <w:tc>
          <w:tcPr>
            <w:tcW w:type="dxa" w:w="2160"/>
          </w:tcPr>
          <w:p>
            <w:r>
              <w:t>Null Rates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WARNING</w:t>
            </w:r>
          </w:p>
        </w:tc>
      </w:tr>
      <w:tr>
        <w:tc>
          <w:tcPr>
            <w:tcW w:type="dxa" w:w="2160"/>
          </w:tcPr>
          <w:p>
            <w:r>
              <w:t>Invalid Probability Count</w:t>
            </w:r>
          </w:p>
        </w:tc>
        <w:tc>
          <w:tcPr>
            <w:tcW w:type="dxa" w:w="2160"/>
          </w:tcPr>
          <w:p>
            <w:r>
              <w:t>5.0000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rPr>
                <w:b/>
                <w:color w:val="DC2626"/>
              </w:rPr>
              <w:t>ERROR</w:t>
            </w:r>
          </w:p>
        </w:tc>
      </w:tr>
      <w:tr>
        <w:tc>
          <w:tcPr>
            <w:tcW w:type="dxa" w:w="2160"/>
          </w:tcPr>
          <w:p>
            <w:r>
              <w:t>Invalid Target Count</w:t>
            </w:r>
          </w:p>
        </w:tc>
        <w:tc>
          <w:tcPr>
            <w:tcW w:type="dxa" w:w="2160"/>
          </w:tcPr>
          <w:p>
            <w:r>
              <w:t>0.0000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rPr>
                <w:b/>
                <w:color w:val="16A34A"/>
              </w:rPr>
              <w:t>OK</w:t>
            </w:r>
          </w:p>
        </w:tc>
      </w:tr>
      <w:tr>
        <w:tc>
          <w:tcPr>
            <w:tcW w:type="dxa" w:w="2160"/>
          </w:tcPr>
          <w:p>
            <w:r>
              <w:t>Monitoring Readiness Summary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rPr>
                <w:b/>
                <w:color w:val="16A34A"/>
              </w:rPr>
              <w:t>OK</w:t>
            </w:r>
          </w:p>
        </w:tc>
      </w:tr>
      <w:tr>
        <w:tc>
          <w:tcPr>
            <w:tcW w:type="dxa" w:w="2160"/>
          </w:tcPr>
          <w:p>
            <w:r>
              <w:t>Score-PD Coherence</w:t>
            </w:r>
          </w:p>
        </w:tc>
        <w:tc>
          <w:tcPr>
            <w:tcW w:type="dxa" w:w="2160"/>
          </w:tcPr>
          <w:p>
            <w:r>
              <w:t>-0.9724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rPr>
                <w:b/>
                <w:color w:val="16A34A"/>
              </w:rPr>
              <w:t>OK</w:t>
            </w:r>
          </w:p>
        </w:tc>
      </w:tr>
      <w:tr>
        <w:tc>
          <w:tcPr>
            <w:tcW w:type="dxa" w:w="2160"/>
          </w:tcPr>
          <w:p>
            <w:r>
              <w:t>Band Consistency</w:t>
            </w:r>
          </w:p>
        </w:tc>
        <w:tc>
          <w:tcPr>
            <w:tcW w:type="dxa" w:w="2160"/>
          </w:tcPr>
          <w:p>
            <w:r>
              <w:t>1.0000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rPr>
                <w:b/>
                <w:color w:val="16A34A"/>
              </w:rPr>
              <w:t>OK</w:t>
            </w:r>
          </w:p>
        </w:tc>
      </w:tr>
      <w:tr>
        <w:tc>
          <w:tcPr>
            <w:tcW w:type="dxa" w:w="2160"/>
          </w:tcPr>
          <w:p>
            <w:r>
              <w:t>DPD Buckets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rPr>
                <w:b/>
                <w:color w:val="16A34A"/>
              </w:rPr>
              <w:t>OK</w:t>
            </w:r>
          </w:p>
        </w:tc>
      </w:tr>
      <w:tr>
        <w:tc>
          <w:tcPr>
            <w:tcW w:type="dxa" w:w="2160"/>
          </w:tcPr>
          <w:p>
            <w:r>
              <w:t>Score PSI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SKIPPED</w:t>
            </w:r>
          </w:p>
        </w:tc>
      </w:tr>
      <w:tr>
        <w:tc>
          <w:tcPr>
            <w:tcW w:type="dxa" w:w="2160"/>
          </w:tcPr>
          <w:p>
            <w:r>
              <w:t>ROC AUC</w:t>
            </w:r>
          </w:p>
        </w:tc>
        <w:tc>
          <w:tcPr>
            <w:tcW w:type="dxa" w:w="2160"/>
          </w:tcPr>
          <w:p>
            <w:r>
              <w:t>0.8292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rPr>
                <w:b/>
                <w:color w:val="16A34A"/>
              </w:rPr>
              <w:t>OK</w:t>
            </w:r>
          </w:p>
        </w:tc>
      </w:tr>
      <w:tr>
        <w:tc>
          <w:tcPr>
            <w:tcW w:type="dxa" w:w="2160"/>
          </w:tcPr>
          <w:p>
            <w:r>
              <w:t>Gini Coefficient</w:t>
            </w:r>
          </w:p>
        </w:tc>
        <w:tc>
          <w:tcPr>
            <w:tcW w:type="dxa" w:w="2160"/>
          </w:tcPr>
          <w:p>
            <w:r>
              <w:t>0.6583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rPr>
                <w:b/>
                <w:color w:val="16A34A"/>
              </w:rPr>
              <w:t>OK</w:t>
            </w:r>
          </w:p>
        </w:tc>
      </w:tr>
      <w:tr>
        <w:tc>
          <w:tcPr>
            <w:tcW w:type="dxa" w:w="2160"/>
          </w:tcPr>
          <w:p>
            <w:r>
              <w:t>KS Statistic</w:t>
            </w:r>
          </w:p>
        </w:tc>
        <w:tc>
          <w:tcPr>
            <w:tcW w:type="dxa" w:w="2160"/>
          </w:tcPr>
          <w:p>
            <w:r>
              <w:t>0.5095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rPr>
                <w:b/>
                <w:color w:val="16A34A"/>
              </w:rPr>
              <w:t>OK</w:t>
            </w:r>
          </w:p>
        </w:tc>
      </w:tr>
      <w:tr>
        <w:tc>
          <w:tcPr>
            <w:tcW w:type="dxa" w:w="2160"/>
          </w:tcPr>
          <w:p>
            <w:r>
              <w:t>Decile Table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rPr>
                <w:b/>
                <w:color w:val="16A34A"/>
              </w:rPr>
              <w:t>OK</w:t>
            </w:r>
          </w:p>
        </w:tc>
      </w:tr>
      <w:tr>
        <w:tc>
          <w:tcPr>
            <w:tcW w:type="dxa" w:w="2160"/>
          </w:tcPr>
          <w:p>
            <w:r>
              <w:t>Score Distribution Analysis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rPr>
                <w:b/>
                <w:color w:val="16A34A"/>
              </w:rPr>
              <w:t>OK</w:t>
            </w:r>
          </w:p>
        </w:tc>
      </w:tr>
      <w:tr>
        <w:tc>
          <w:tcPr>
            <w:tcW w:type="dxa" w:w="2160"/>
          </w:tcPr>
          <w:p>
            <w:r>
              <w:t>Approval Rate</w:t>
            </w:r>
          </w:p>
        </w:tc>
        <w:tc>
          <w:tcPr>
            <w:tcW w:type="dxa" w:w="2160"/>
          </w:tcPr>
          <w:p>
            <w:r>
              <w:t>0.8048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rPr>
                <w:b/>
                <w:color w:val="16A34A"/>
              </w:rPr>
              <w:t>OK</w:t>
            </w:r>
          </w:p>
        </w:tc>
      </w:tr>
      <w:tr>
        <w:tc>
          <w:tcPr>
            <w:tcW w:type="dxa" w:w="2160"/>
          </w:tcPr>
          <w:p>
            <w:r>
              <w:t>Overall Bad Rate</w:t>
            </w:r>
          </w:p>
        </w:tc>
        <w:tc>
          <w:tcPr>
            <w:tcW w:type="dxa" w:w="2160"/>
          </w:tcPr>
          <w:p>
            <w:r>
              <w:t>0.0929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rPr>
                <w:b/>
                <w:color w:val="16A34A"/>
              </w:rPr>
              <w:t>OK</w:t>
            </w:r>
          </w:p>
        </w:tc>
      </w:tr>
    </w:tbl>
    <w:p>
      <w:pPr>
        <w:pStyle w:val="Heading1"/>
      </w:pPr>
      <w:r>
        <w:t>Statistical Tests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Test Name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Statistic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P-Value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Conclusion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Result</w:t>
            </w:r>
          </w:p>
        </w:tc>
      </w:tr>
      <w:tr>
        <w:tc>
          <w:tcPr>
            <w:tcW w:type="dxa" w:w="1728"/>
          </w:tcPr>
          <w:p>
            <w:r>
              <w:t>Hosmer-Lemeshow Test</w:t>
            </w:r>
          </w:p>
        </w:tc>
        <w:tc>
          <w:tcPr>
            <w:tcW w:type="dxa" w:w="1728"/>
          </w:tcPr>
          <w:p>
            <w:r>
              <w:t>9.7120</w:t>
            </w:r>
          </w:p>
        </w:tc>
        <w:tc>
          <w:tcPr>
            <w:tcW w:type="dxa" w:w="1728"/>
          </w:tcPr>
          <w:p>
            <w:r>
              <w:t>0.5716</w:t>
            </w:r>
          </w:p>
        </w:tc>
        <w:tc>
          <w:tcPr>
            <w:tcW w:type="dxa" w:w="1728"/>
          </w:tcPr>
          <w:p>
            <w:r>
              <w:t>Fail to reject H₀ — distributions are similar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Binomial Test: Band 600-700</w:t>
            </w:r>
          </w:p>
        </w:tc>
        <w:tc>
          <w:tcPr>
            <w:tcW w:type="dxa" w:w="1728"/>
          </w:tcPr>
          <w:p>
            <w:r>
              <w:t>18.0000</w:t>
            </w:r>
          </w:p>
        </w:tc>
        <w:tc>
          <w:tcPr>
            <w:tcW w:type="dxa" w:w="1728"/>
          </w:tcPr>
          <w:p>
            <w:r>
              <w:t>1.0000</w:t>
            </w:r>
          </w:p>
        </w:tc>
        <w:tc>
          <w:tcPr>
            <w:tcW w:type="dxa" w:w="1728"/>
          </w:tcPr>
          <w:p>
            <w:r>
              <w:t>Fail to reject H₀ — distributions are similar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Binomial Test: Band 700-800</w:t>
            </w:r>
          </w:p>
        </w:tc>
        <w:tc>
          <w:tcPr>
            <w:tcW w:type="dxa" w:w="1728"/>
          </w:tcPr>
          <w:p>
            <w:r>
              <w:t>0.0000</w:t>
            </w:r>
          </w:p>
        </w:tc>
        <w:tc>
          <w:tcPr>
            <w:tcW w:type="dxa" w:w="1728"/>
          </w:tcPr>
          <w:p>
            <w:r>
              <w:t>1.0000</w:t>
            </w:r>
          </w:p>
        </w:tc>
        <w:tc>
          <w:tcPr>
            <w:tcW w:type="dxa" w:w="1728"/>
          </w:tcPr>
          <w:p>
            <w:r>
              <w:t>Fail to reject H₀ — distributions are similar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Binomial Test: Band &lt;600</w:t>
            </w:r>
          </w:p>
        </w:tc>
        <w:tc>
          <w:tcPr>
            <w:tcW w:type="dxa" w:w="1728"/>
          </w:tcPr>
          <w:p>
            <w:r>
              <w:t>21.0000</w:t>
            </w:r>
          </w:p>
        </w:tc>
        <w:tc>
          <w:tcPr>
            <w:tcW w:type="dxa" w:w="1728"/>
          </w:tcPr>
          <w:p>
            <w:r>
              <w:t>0.0000</w:t>
            </w:r>
          </w:p>
        </w:tc>
        <w:tc>
          <w:tcPr>
            <w:tcW w:type="dxa" w:w="1728"/>
          </w:tcPr>
          <w:p>
            <w:r>
              <w:t>Reject H₀ — distributions differ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Fisher Exact Test: Band 800+</w:t>
            </w:r>
          </w:p>
        </w:tc>
        <w:tc>
          <w:tcPr>
            <w:tcW w:type="dxa" w:w="1728"/>
          </w:tcPr>
          <w:p>
            <w:r>
              <w:t>0.0000</w:t>
            </w:r>
          </w:p>
        </w:tc>
        <w:tc>
          <w:tcPr>
            <w:tcW w:type="dxa" w:w="1728"/>
          </w:tcPr>
          <w:p>
            <w:r>
              <w:t>1.0000</w:t>
            </w:r>
          </w:p>
        </w:tc>
        <w:tc>
          <w:tcPr>
            <w:tcW w:type="dxa" w:w="1728"/>
          </w:tcPr>
          <w:p>
            <w:r>
              <w:t>Fail to reject H₀ — distributions are similar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Mann-Whitney U: Approved vs Declined Scores</w:t>
            </w:r>
          </w:p>
        </w:tc>
        <w:tc>
          <w:tcPr>
            <w:tcW w:type="dxa" w:w="1728"/>
          </w:tcPr>
          <w:p>
            <w:r>
              <w:t>20052.5000</w:t>
            </w:r>
          </w:p>
        </w:tc>
        <w:tc>
          <w:tcPr>
            <w:tcW w:type="dxa" w:w="1728"/>
          </w:tcPr>
          <w:p>
            <w:r>
              <w:t>0.0000</w:t>
            </w:r>
          </w:p>
        </w:tc>
        <w:tc>
          <w:tcPr>
            <w:tcW w:type="dxa" w:w="1728"/>
          </w:tcPr>
          <w:p>
            <w:r>
              <w:t>Reject H₀ — distributions differ</w:t>
            </w:r>
          </w:p>
        </w:tc>
        <w:tc>
          <w:tcPr>
            <w:tcW w:type="dxa" w:w="1728"/>
          </w:tcPr>
          <w:p>
            <w:r/>
          </w:p>
        </w:tc>
      </w:tr>
    </w:tbl>
    <w:p>
      <w:pPr>
        <w:pStyle w:val="Heading1"/>
      </w:pPr>
      <w:r>
        <w:t>Vintage Analysis (Roll Rate)</w:t>
      </w:r>
    </w:p>
    <w:p>
      <w:r>
        <w:t>Note: True roll rate matrix requires two time-snapshot datasets. This shows current DPD bucket distribution.</w:t>
      </w:r>
    </w:p>
    <w:p>
      <w:r>
        <w:rPr>
          <w:b/>
          <w:color w:val="DC2626"/>
        </w:rPr>
        <w:t>Severe Delinquency Rate: 7.14%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Bucket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Count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Percentage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Cumulative %</w:t>
            </w:r>
          </w:p>
        </w:tc>
      </w:tr>
      <w:tr>
        <w:tc>
          <w:tcPr>
            <w:tcW w:type="dxa" w:w="2160"/>
          </w:tcPr>
          <w:p>
            <w:r>
              <w:t>Current (0 DPD)</w:t>
            </w:r>
          </w:p>
        </w:tc>
        <w:tc>
          <w:tcPr>
            <w:tcW w:type="dxa" w:w="2160"/>
          </w:tcPr>
          <w:p>
            <w:r>
              <w:t>357</w:t>
            </w:r>
          </w:p>
        </w:tc>
        <w:tc>
          <w:tcPr>
            <w:tcW w:type="dxa" w:w="2160"/>
          </w:tcPr>
          <w:p>
            <w:r>
              <w:t>85.0%</w:t>
            </w:r>
          </w:p>
        </w:tc>
        <w:tc>
          <w:tcPr>
            <w:tcW w:type="dxa" w:w="2160"/>
          </w:tcPr>
          <w:p>
            <w:r>
              <w:t>85.0%</w:t>
            </w:r>
          </w:p>
        </w:tc>
      </w:tr>
      <w:tr>
        <w:tc>
          <w:tcPr>
            <w:tcW w:type="dxa" w:w="2160"/>
          </w:tcPr>
          <w:p>
            <w:r>
              <w:t>1-29 DPD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0.0%</w:t>
            </w:r>
          </w:p>
        </w:tc>
        <w:tc>
          <w:tcPr>
            <w:tcW w:type="dxa" w:w="2160"/>
          </w:tcPr>
          <w:p>
            <w:r>
              <w:t>85.0%</w:t>
            </w:r>
          </w:p>
        </w:tc>
      </w:tr>
      <w:tr>
        <w:tc>
          <w:tcPr>
            <w:tcW w:type="dxa" w:w="2160"/>
          </w:tcPr>
          <w:p>
            <w:r>
              <w:t>30-59 DPD</w:t>
            </w:r>
          </w:p>
        </w:tc>
        <w:tc>
          <w:tcPr>
            <w:tcW w:type="dxa" w:w="2160"/>
          </w:tcPr>
          <w:p>
            <w:r>
              <w:t>18</w:t>
            </w:r>
          </w:p>
        </w:tc>
        <w:tc>
          <w:tcPr>
            <w:tcW w:type="dxa" w:w="2160"/>
          </w:tcPr>
          <w:p>
            <w:r>
              <w:t>4.3%</w:t>
            </w:r>
          </w:p>
        </w:tc>
        <w:tc>
          <w:tcPr>
            <w:tcW w:type="dxa" w:w="2160"/>
          </w:tcPr>
          <w:p>
            <w:r>
              <w:t>89.3%</w:t>
            </w:r>
          </w:p>
        </w:tc>
      </w:tr>
      <w:tr>
        <w:tc>
          <w:tcPr>
            <w:tcW w:type="dxa" w:w="2160"/>
          </w:tcPr>
          <w:p>
            <w:r>
              <w:t>60-89 DPD</w:t>
            </w:r>
          </w:p>
        </w:tc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3.6%</w:t>
            </w:r>
          </w:p>
        </w:tc>
        <w:tc>
          <w:tcPr>
            <w:tcW w:type="dxa" w:w="2160"/>
          </w:tcPr>
          <w:p>
            <w:r>
              <w:t>92.9%</w:t>
            </w:r>
          </w:p>
        </w:tc>
      </w:tr>
      <w:tr>
        <w:tc>
          <w:tcPr>
            <w:tcW w:type="dxa" w:w="2160"/>
          </w:tcPr>
          <w:p>
            <w:r>
              <w:t>90+ DPD</w:t>
            </w:r>
          </w:p>
        </w:tc>
        <w:tc>
          <w:tcPr>
            <w:tcW w:type="dxa" w:w="2160"/>
          </w:tcPr>
          <w:p>
            <w:r>
              <w:t>30</w:t>
            </w:r>
          </w:p>
        </w:tc>
        <w:tc>
          <w:tcPr>
            <w:tcW w:type="dxa" w:w="2160"/>
          </w:tcPr>
          <w:p>
            <w:r>
              <w:t>7.1%</w:t>
            </w:r>
          </w:p>
        </w:tc>
        <w:tc>
          <w:tcPr>
            <w:tcW w:type="dxa" w:w="2160"/>
          </w:tcPr>
          <w:p>
            <w:r>
              <w:t>100.0%</w:t>
            </w:r>
          </w:p>
        </w:tc>
      </w:tr>
    </w:tbl>
    <w:p>
      <w:pPr>
        <w:pStyle w:val="Heading1"/>
      </w:pPr>
      <w:r>
        <w:t>Override Analysis</w:t>
      </w:r>
    </w:p>
    <w:p>
      <w:pPr>
        <w:pStyle w:val="Heading2"/>
      </w:pPr>
      <w:r>
        <w:t>Cutoff: 550</w:t>
      </w:r>
    </w:p>
    <w:p>
      <w:r>
        <w:t>"Overridden accounts show a HIGHER bad rate than model-approved accounts (50.0% vs 4.9%), indicating possible excessive risk taking on model-declines."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Model Declines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Overrides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Override Rate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Override Bad Rate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18.2%</w:t>
            </w:r>
          </w:p>
        </w:tc>
        <w:tc>
          <w:tcPr>
            <w:tcW w:type="dxa" w:w="2160"/>
          </w:tcPr>
          <w:p>
            <w:r>
              <w:t>50.0%</w:t>
            </w:r>
          </w:p>
        </w:tc>
      </w:tr>
    </w:tbl>
    <w:p>
      <w:r>
        <w:rPr>
          <w:b/>
          <w:color w:val="DC2626"/>
        </w:rPr>
        <w:br/>
        <w:t>Conclusion: Overrides are performing worse than standard model approvals.</w:t>
      </w:r>
    </w:p>
    <w:p>
      <w:pPr>
        <w:pStyle w:val="Heading2"/>
      </w:pPr>
      <w:r>
        <w:t>Cutoff: 600</w:t>
      </w:r>
    </w:p>
    <w:p>
      <w:r>
        <w:t>"Overridden accounts show a HIGHER bad rate than model-approved accounts (30.4% vs 3.1%), indicating possible excessive risk taking on model-declines."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Model Declines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Overrides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Override Rate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Override Bad Rate</w:t>
            </w:r>
          </w:p>
        </w:tc>
      </w:tr>
      <w:tr>
        <w:tc>
          <w:tcPr>
            <w:tcW w:type="dxa" w:w="2160"/>
          </w:tcPr>
          <w:p>
            <w:r>
              <w:t>57</w:t>
            </w:r>
          </w:p>
        </w:tc>
        <w:tc>
          <w:tcPr>
            <w:tcW w:type="dxa" w:w="2160"/>
          </w:tcPr>
          <w:p>
            <w:r>
              <w:t>23</w:t>
            </w:r>
          </w:p>
        </w:tc>
        <w:tc>
          <w:tcPr>
            <w:tcW w:type="dxa" w:w="2160"/>
          </w:tcPr>
          <w:p>
            <w:r>
              <w:t>40.4%</w:t>
            </w:r>
          </w:p>
        </w:tc>
        <w:tc>
          <w:tcPr>
            <w:tcW w:type="dxa" w:w="2160"/>
          </w:tcPr>
          <w:p>
            <w:r>
              <w:t>30.4%</w:t>
            </w:r>
          </w:p>
        </w:tc>
      </w:tr>
    </w:tbl>
    <w:p>
      <w:r>
        <w:rPr>
          <w:b/>
          <w:color w:val="DC2626"/>
        </w:rPr>
        <w:br/>
        <w:t>Conclusion: Overrides are performing worse than standard model approvals.</w:t>
      </w:r>
    </w:p>
    <w:p>
      <w:pPr>
        <w:pStyle w:val="Heading2"/>
      </w:pPr>
      <w:r>
        <w:t>Cutoff: 650</w:t>
      </w:r>
    </w:p>
    <w:p>
      <w:r>
        <w:t>"Overridden accounts show a HIGHER bad rate than model-approved accounts (13.0% vs 1.8%), indicating possible excessive risk taking on model-declines."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Model Declines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Overrides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Override Rate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Override Bad Rate</w:t>
            </w:r>
          </w:p>
        </w:tc>
      </w:tr>
      <w:tr>
        <w:tc>
          <w:tcPr>
            <w:tcW w:type="dxa" w:w="2160"/>
          </w:tcPr>
          <w:p>
            <w:r>
              <w:t>154</w:t>
            </w:r>
          </w:p>
        </w:tc>
        <w:tc>
          <w:tcPr>
            <w:tcW w:type="dxa" w:w="2160"/>
          </w:tcPr>
          <w:p>
            <w:r>
              <w:t>92</w:t>
            </w:r>
          </w:p>
        </w:tc>
        <w:tc>
          <w:tcPr>
            <w:tcW w:type="dxa" w:w="2160"/>
          </w:tcPr>
          <w:p>
            <w:r>
              <w:t>59.7%</w:t>
            </w:r>
          </w:p>
        </w:tc>
        <w:tc>
          <w:tcPr>
            <w:tcW w:type="dxa" w:w="2160"/>
          </w:tcPr>
          <w:p>
            <w:r>
              <w:t>13.0%</w:t>
            </w:r>
          </w:p>
        </w:tc>
      </w:tr>
    </w:tbl>
    <w:p>
      <w:r>
        <w:rPr>
          <w:b/>
          <w:color w:val="DC2626"/>
        </w:rPr>
        <w:br/>
        <w:t>Conclusion: Overrides are performing worse than standard model approvals.</w:t>
      </w:r>
    </w:p>
    <w:p>
      <w:pPr>
        <w:pStyle w:val="Heading2"/>
      </w:pPr>
      <w:r>
        <w:t>Cutoff: 700</w:t>
      </w:r>
    </w:p>
    <w:p>
      <w:r>
        <w:t>"Overridden accounts show a HIGHER bad rate than model-approved accounts (7.7% vs 0.0%), indicating possible excessive risk taking on model-declines."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Model Declines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Overrides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Override Rate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Override Bad Rate</w:t>
            </w:r>
          </w:p>
        </w:tc>
      </w:tr>
      <w:tr>
        <w:tc>
          <w:tcPr>
            <w:tcW w:type="dxa" w:w="2160"/>
          </w:tcPr>
          <w:p>
            <w:r>
              <w:t>282</w:t>
            </w:r>
          </w:p>
        </w:tc>
        <w:tc>
          <w:tcPr>
            <w:tcW w:type="dxa" w:w="2160"/>
          </w:tcPr>
          <w:p>
            <w:r>
              <w:t>208</w:t>
            </w:r>
          </w:p>
        </w:tc>
        <w:tc>
          <w:tcPr>
            <w:tcW w:type="dxa" w:w="2160"/>
          </w:tcPr>
          <w:p>
            <w:r>
              <w:t>73.8%</w:t>
            </w:r>
          </w:p>
        </w:tc>
        <w:tc>
          <w:tcPr>
            <w:tcW w:type="dxa" w:w="2160"/>
          </w:tcPr>
          <w:p>
            <w:r>
              <w:t>7.7%</w:t>
            </w:r>
          </w:p>
        </w:tc>
      </w:tr>
    </w:tbl>
    <w:p>
      <w:r>
        <w:rPr>
          <w:b/>
          <w:color w:val="DC2626"/>
        </w:rPr>
        <w:br/>
        <w:t>Conclusion: Overrides are performing worse than standard model approvals.</w:t>
      </w:r>
    </w:p>
    <w:p>
      <w:pPr>
        <w:pStyle w:val="Heading1"/>
      </w:pPr>
      <w:r>
        <w:t>Model Visualizations</w:t>
      </w:r>
    </w:p>
    <w:p>
      <w:pPr>
        <w:pStyle w:val="Heading2"/>
      </w:pPr>
      <w:r>
        <w:t>Chart Score Distribution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29184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Chart Pd Distribution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29184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Chart Bad Rate By Score Band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29184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Chart Approval By Risk Band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29184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Chart Calibration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29184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Chart Dpd Distribution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29184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Chart Decile Lift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29184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Chart Roc Curve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29184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i/>
      <w:color w:val="646464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338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00338D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