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ModelPulse — Model Risk Monitoring Report</w:t>
      </w:r>
    </w:p>
    <w:p>
      <w:pPr>
        <w:pStyle w:val="Heading1"/>
      </w:pPr>
      <w:r>
        <w:t>Report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Run ID</w:t>
            </w:r>
          </w:p>
        </w:tc>
        <w:tc>
          <w:tcPr>
            <w:tcW w:type="dxa" w:w="2160"/>
          </w:tcPr>
          <w:p>
            <w:r>
              <w:t>Generated At</w:t>
            </w:r>
          </w:p>
        </w:tc>
        <w:tc>
          <w:tcPr>
            <w:tcW w:type="dxa" w:w="2160"/>
          </w:tcPr>
          <w:p>
            <w:r>
              <w:t>Health Score</w:t>
            </w:r>
          </w:p>
        </w:tc>
        <w:tc>
          <w:tcPr>
            <w:tcW w:type="dxa" w:w="2160"/>
          </w:tcPr>
          <w:p>
            <w:r>
              <w:t>Health Status</w:t>
            </w:r>
          </w:p>
        </w:tc>
      </w:tr>
      <w:tr>
        <w:tc>
          <w:tcPr>
            <w:tcW w:type="dxa" w:w="2160"/>
          </w:tcPr>
          <w:p>
            <w:r>
              <w:t>run_c5b2ff564fbd</w:t>
            </w:r>
          </w:p>
        </w:tc>
        <w:tc>
          <w:tcPr>
            <w:tcW w:type="dxa" w:w="2160"/>
          </w:tcPr>
          <w:p>
            <w:r>
              <w:t>2026-09-16T18:45:05.794202+00:00</w:t>
            </w:r>
          </w:p>
        </w:tc>
        <w:tc>
          <w:tcPr>
            <w:tcW w:type="dxa" w:w="2160"/>
          </w:tcPr>
          <w:p>
            <w:r>
              <w:t>89.63434280771979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</w:tr>
    </w:tbl>
    <w:p>
      <w:pPr>
        <w:pStyle w:val="Heading1"/>
      </w:pPr>
      <w:r>
        <w:t>Executive Summary</w:t>
      </w:r>
    </w:p>
    <w:p>
      <w:r>
        <w:t>The model appears to be in a healthy state with no critical or warning findings, and a stable baseline. The analysis of 2500 dataset rows did not reveal any significant issues.</w:t>
      </w:r>
    </w:p>
    <w:p>
      <w:pPr>
        <w:pStyle w:val="Heading1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Threshold</w:t>
            </w:r>
          </w:p>
        </w:tc>
      </w:tr>
      <w:tr>
        <w:tc>
          <w:tcPr>
            <w:tcW w:type="dxa" w:w="2160"/>
          </w:tcPr>
          <w:p>
            <w:r>
              <w:t>Brier Skill Score</w:t>
            </w:r>
          </w:p>
        </w:tc>
        <w:tc>
          <w:tcPr>
            <w:tcW w:type="dxa" w:w="2160"/>
          </w:tcPr>
          <w:p>
            <w:r>
              <w:t>0.13598371712659207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Calibration Ratio</w:t>
            </w:r>
          </w:p>
        </w:tc>
        <w:tc>
          <w:tcPr>
            <w:tcW w:type="dxa" w:w="2160"/>
          </w:tcPr>
          <w:p>
            <w:r>
              <w:t>1.105260262636837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Row Count</w:t>
            </w:r>
          </w:p>
        </w:tc>
        <w:tc>
          <w:tcPr>
            <w:tcW w:type="dxa" w:w="2160"/>
          </w:tcPr>
          <w:p>
            <w:r>
              <w:t>2500.0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Duplicate Row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Null Rates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Probability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Target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Monitoring Readiness Summary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Score-PD Coherence</w:t>
            </w:r>
          </w:p>
        </w:tc>
        <w:tc>
          <w:tcPr>
            <w:tcW w:type="dxa" w:w="2160"/>
          </w:tcPr>
          <w:p>
            <w:r>
              <w:t>-0.9836445780682199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Band Consistency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DPD Buckets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PSI</w:t>
            </w:r>
          </w:p>
        </w:tc>
        <w:tc>
          <w:tcPr>
            <w:tcW w:type="dxa" w:w="2160"/>
          </w:tcPr>
          <w:p>
            <w:r>
              <w:t>0.0076784495621647405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ROC AUC</w:t>
            </w:r>
          </w:p>
        </w:tc>
        <w:tc>
          <w:tcPr>
            <w:tcW w:type="dxa" w:w="2160"/>
          </w:tcPr>
          <w:p>
            <w:r>
              <w:t>0.7948464755199912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Gini Coefficient</w:t>
            </w:r>
          </w:p>
        </w:tc>
        <w:tc>
          <w:tcPr>
            <w:tcW w:type="dxa" w:w="2160"/>
          </w:tcPr>
          <w:p>
            <w:r>
              <w:t>0.5896929510399824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KS Statistic</w:t>
            </w:r>
          </w:p>
        </w:tc>
        <w:tc>
          <w:tcPr>
            <w:tcW w:type="dxa" w:w="2160"/>
          </w:tcPr>
          <w:p>
            <w:r>
              <w:t>0.4664060741256165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Decile Table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Distribution Analysis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Approval Rate</w:t>
            </w:r>
          </w:p>
        </w:tc>
        <w:tc>
          <w:tcPr>
            <w:tcW w:type="dxa" w:w="2160"/>
          </w:tcPr>
          <w:p>
            <w:r>
              <w:t>0.792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Overall Bad Rate</w:t>
            </w:r>
          </w:p>
        </w:tc>
        <w:tc>
          <w:tcPr>
            <w:tcW w:type="dxa" w:w="2160"/>
          </w:tcPr>
          <w:p>
            <w:r>
              <w:t>0.1048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>
      <w:pPr>
        <w:pStyle w:val="Heading1"/>
      </w:pPr>
      <w:r>
        <w:t>Technical Analysis</w:t>
      </w:r>
    </w:p>
    <w:p>
      <w:r>
        <w:t>There are no specific metric breaches or key findings to report. The absence of findings suggests that the model's performance is stable and consistent.</w:t>
      </w:r>
    </w:p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Name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Conclusion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24.128098576613038</w:t>
            </w:r>
          </w:p>
        </w:tc>
        <w:tc>
          <w:tcPr>
            <w:tcW w:type="dxa" w:w="1728"/>
          </w:tcPr>
          <w:p>
            <w:r>
              <w:t>0.0038169854492572635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3</w:t>
            </w:r>
          </w:p>
        </w:tc>
        <w:tc>
          <w:tcPr>
            <w:tcW w:type="dxa" w:w="1728"/>
          </w:tcPr>
          <w:p>
            <w:r>
              <w:t>15.0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2</w:t>
            </w:r>
          </w:p>
        </w:tc>
        <w:tc>
          <w:tcPr>
            <w:tcW w:type="dxa" w:w="1728"/>
          </w:tcPr>
          <w:p>
            <w:r>
              <w:t>32.0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4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0</w:t>
            </w:r>
          </w:p>
        </w:tc>
        <w:tc>
          <w:tcPr>
            <w:tcW w:type="dxa" w:w="1728"/>
          </w:tcPr>
          <w:p>
            <w:r>
              <w:t>132.0</w:t>
            </w:r>
          </w:p>
        </w:tc>
        <w:tc>
          <w:tcPr>
            <w:tcW w:type="dxa" w:w="1728"/>
          </w:tcPr>
          <w:p>
            <w:r>
              <w:t>4.482138776931831e-23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1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0.000226833171345336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854216.0</w:t>
            </w:r>
          </w:p>
        </w:tc>
        <w:tc>
          <w:tcPr>
            <w:tcW w:type="dxa" w:w="1728"/>
          </w:tcPr>
          <w:p>
            <w:r>
              <w:t>3.149876964787491e-118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