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mon_stable</w:t>
            </w:r>
          </w:p>
        </w:tc>
        <w:tc>
          <w:tcPr>
            <w:tcW w:type="dxa" w:w="2160"/>
          </w:tcPr>
          <w:p>
            <w:r>
              <w:t>run_c5b2ff56...</w:t>
            </w:r>
          </w:p>
        </w:tc>
        <w:tc>
          <w:tcPr>
            <w:tcW w:type="dxa" w:w="2160"/>
          </w:tcPr>
          <w:p>
            <w:r>
              <w:t>89.6/100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appears to be in a healthy state with no critical or warning findings, and a stable baseline. The analysis of 2500 dataset rows did not reveal any significant issues.</w:t>
      </w:r>
    </w:p>
    <w:p>
      <w:pPr>
        <w:pStyle w:val="Heading2"/>
      </w:pPr>
      <w:r>
        <w:t>Technical Summary</w:t>
      </w:r>
    </w:p>
    <w:p>
      <w:r>
        <w:t>There are no specific metric breaches or key findings to report. The absence of findings suggests that the model's performance is stable and consistent.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0.1360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1.1053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2500.0000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-0.9836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0.7948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0.5897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0.4664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0.7920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0.1048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24.1281</w:t>
            </w:r>
          </w:p>
        </w:tc>
        <w:tc>
          <w:tcPr>
            <w:tcW w:type="dxa" w:w="1728"/>
          </w:tcPr>
          <w:p>
            <w:r>
              <w:t>0.0038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15.0000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32.0000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132.0000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80.0000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854216.0000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(69.2% vs 6.8%),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  <w:tc>
          <w:tcPr>
            <w:tcW w:type="dxa" w:w="2160"/>
          </w:tcPr>
          <w:p>
            <w:r>
              <w:t>69.2%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(19.6% vs 6.3%),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(15.3% vs 2.9%),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61.3%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(10.0% vs 0.5%),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1903</w:t>
            </w:r>
          </w:p>
        </w:tc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