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drawing>
          <wp:inline xmlns:a="http://schemas.openxmlformats.org/drawingml/2006/main" xmlns:pic="http://schemas.openxmlformats.org/drawingml/2006/picture">
            <wp:extent cx="1150302" cy="4572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0302" cy="4572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Title"/>
      </w:pPr>
      <w:r>
        <w:t>Model Risk Validation Report</w:t>
      </w:r>
    </w:p>
    <w:p>
      <w:r>
        <w:t>Full Technical &amp; Quantitative Analysis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color w:val="00338D"/>
              </w:rPr>
              <w:t>Monitor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Run ID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Score</w:t>
            </w:r>
          </w:p>
        </w:tc>
        <w:tc>
          <w:tcPr>
            <w:tcW w:type="dxa" w:w="2160"/>
          </w:tcPr>
          <w:p>
            <w:r>
              <w:rPr>
                <w:b/>
                <w:color w:val="00338D"/>
              </w:rPr>
              <w:t>Health Status</w:t>
            </w:r>
          </w:p>
        </w:tc>
      </w:tr>
      <w:tr>
        <w:tc>
          <w:tcPr>
            <w:tcW w:type="dxa" w:w="2160"/>
          </w:tcPr>
          <w:p>
            <w:r>
              <w:t>mon_c1027f347599</w:t>
            </w:r>
          </w:p>
        </w:tc>
        <w:tc>
          <w:tcPr>
            <w:tcW w:type="dxa" w:w="2160"/>
          </w:tcPr>
          <w:p>
            <w:r>
              <w:t>run_ccc25501...</w:t>
            </w:r>
          </w:p>
        </w:tc>
        <w:tc>
          <w:tcPr>
            <w:tcW w:type="dxa" w:w="2160"/>
          </w:tcPr>
          <w:p>
            <w:r>
              <w:t>22.5/100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CRITICAL</w:t>
            </w:r>
          </w:p>
        </w:tc>
      </w:tr>
    </w:tbl>
    <w:p>
      <w:r>
        <w:br/>
        <w:t>Generated At: 2026-09-16</w:t>
      </w:r>
    </w:p>
    <w:p>
      <w:pPr>
        <w:pStyle w:val="Heading1"/>
      </w:pPr>
      <w:r>
        <w:t>AI Narrative Analysis</w:t>
      </w:r>
    </w:p>
    <w:p>
      <w:pPr>
        <w:pStyle w:val="Heading2"/>
      </w:pPr>
      <w:r>
        <w:t>Executive Summary</w:t>
      </w:r>
    </w:p>
    <w:p>
      <w:r>
        <w:t>The model is in a critical state with 3 critical issues detected.</w:t>
      </w:r>
    </w:p>
    <w:p>
      <w:pPr>
        <w:pStyle w:val="Heading2"/>
      </w:pPr>
      <w:r>
        <w:t>Technical Summary</w:t>
      </w:r>
    </w:p>
    <w:p>
      <w:r>
        <w:t>Mock technical summary based on findings.</w:t>
      </w:r>
    </w:p>
    <w:p>
      <w:pPr>
        <w:pStyle w:val="Heading2"/>
      </w:pPr>
      <w:r>
        <w:t>Root Causes</w:t>
      </w:r>
    </w:p>
    <w:p>
      <w:pPr>
        <w:pStyle w:val="ListBullet"/>
      </w:pPr>
      <w:r>
        <w:t>Mock cause 1</w:t>
      </w:r>
    </w:p>
    <w:p>
      <w:pPr>
        <w:pStyle w:val="ListBullet"/>
      </w:pPr>
      <w:r>
        <w:t>Mock cause 2</w:t>
      </w:r>
    </w:p>
    <w:p>
      <w:pPr>
        <w:pStyle w:val="Heading2"/>
      </w:pPr>
      <w:r>
        <w:t>Recommended Actions</w:t>
      </w:r>
    </w:p>
    <w:p>
      <w:pPr>
        <w:pStyle w:val="ListBullet"/>
      </w:pPr>
      <w:r>
        <w:t>Mock action 1</w:t>
      </w:r>
    </w:p>
    <w:p>
      <w:pPr>
        <w:pStyle w:val="Heading1"/>
      </w:pPr>
      <w:r>
        <w:t>Key Performance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Metric</w:t>
            </w:r>
          </w:p>
        </w:tc>
        <w:tc>
          <w:tcPr>
            <w:tcW w:type="dxa" w:w="216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Threshold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</w:tr>
      <w:tr>
        <w:tc>
          <w:tcPr>
            <w:tcW w:type="dxa" w:w="2160"/>
          </w:tcPr>
          <w:p>
            <w:r>
              <w:t>Brier Skill Score</w:t>
            </w:r>
          </w:p>
        </w:tc>
        <w:tc>
          <w:tcPr>
            <w:tcW w:type="dxa" w:w="2160"/>
          </w:tcPr>
          <w:p>
            <w:r>
              <w:t>-0.0609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Calibration Ratio</w:t>
            </w:r>
          </w:p>
        </w:tc>
        <w:tc>
          <w:tcPr>
            <w:tcW w:type="dxa" w:w="2160"/>
          </w:tcPr>
          <w:p>
            <w:r>
              <w:t>0.5935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t>Row Count</w:t>
            </w:r>
          </w:p>
        </w:tc>
        <w:tc>
          <w:tcPr>
            <w:tcW w:type="dxa" w:w="2160"/>
          </w:tcPr>
          <w:p>
            <w:r>
              <w:t>197.0000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Duplicate Row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Null Rates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Invalid Probability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Invalid Target Count</w:t>
            </w:r>
          </w:p>
        </w:tc>
        <w:tc>
          <w:tcPr>
            <w:tcW w:type="dxa" w:w="2160"/>
          </w:tcPr>
          <w:p>
            <w:r>
              <w:t>0.0000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Monitoring Readiness Summary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Score-PD Coherence</w:t>
            </w:r>
          </w:p>
        </w:tc>
        <w:tc>
          <w:tcPr>
            <w:tcW w:type="dxa" w:w="2160"/>
          </w:tcPr>
          <w:p>
            <w:r>
              <w:t>-0.0422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t>Band Consistency</w:t>
            </w:r>
          </w:p>
        </w:tc>
        <w:tc>
          <w:tcPr>
            <w:tcW w:type="dxa" w:w="2160"/>
          </w:tcPr>
          <w:p>
            <w:r>
              <w:t>0.8680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WARNING</w:t>
            </w:r>
          </w:p>
        </w:tc>
      </w:tr>
      <w:tr>
        <w:tc>
          <w:tcPr>
            <w:tcW w:type="dxa" w:w="2160"/>
          </w:tcPr>
          <w:p>
            <w:r>
              <w:t>DPD Buckets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 PSI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SKIPPED</w:t>
            </w:r>
          </w:p>
        </w:tc>
      </w:tr>
      <w:tr>
        <w:tc>
          <w:tcPr>
            <w:tcW w:type="dxa" w:w="2160"/>
          </w:tcPr>
          <w:p>
            <w:r>
              <w:t>ROC AUC</w:t>
            </w:r>
          </w:p>
        </w:tc>
        <w:tc>
          <w:tcPr>
            <w:tcW w:type="dxa" w:w="2160"/>
          </w:tcPr>
          <w:p>
            <w:r>
              <w:t>0.3341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t>Gini Coefficient</w:t>
            </w:r>
          </w:p>
        </w:tc>
        <w:tc>
          <w:tcPr>
            <w:tcW w:type="dxa" w:w="2160"/>
          </w:tcPr>
          <w:p>
            <w:r>
              <w:t>-0.3319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t>KS Statistic</w:t>
            </w:r>
          </w:p>
        </w:tc>
        <w:tc>
          <w:tcPr>
            <w:tcW w:type="dxa" w:w="2160"/>
          </w:tcPr>
          <w:p>
            <w:r>
              <w:t>0.3563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Decile Table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Score Distribution Analysis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DC2626"/>
              </w:rPr>
              <w:t>CRITICAL</w:t>
            </w:r>
          </w:p>
        </w:tc>
      </w:tr>
      <w:tr>
        <w:tc>
          <w:tcPr>
            <w:tcW w:type="dxa" w:w="2160"/>
          </w:tcPr>
          <w:p>
            <w:r>
              <w:t>Approval Rate</w:t>
            </w:r>
          </w:p>
        </w:tc>
        <w:tc>
          <w:tcPr>
            <w:tcW w:type="dxa" w:w="2160"/>
          </w:tcPr>
          <w:p>
            <w:r>
              <w:t>0.7716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  <w:tr>
        <w:tc>
          <w:tcPr>
            <w:tcW w:type="dxa" w:w="2160"/>
          </w:tcPr>
          <w:p>
            <w:r>
              <w:t>Overall Bad Rate</w:t>
            </w:r>
          </w:p>
        </w:tc>
        <w:tc>
          <w:tcPr>
            <w:tcW w:type="dxa" w:w="2160"/>
          </w:tcPr>
          <w:p>
            <w:r>
              <w:t>0.0558</w:t>
            </w:r>
          </w:p>
        </w:tc>
        <w:tc>
          <w:tcPr>
            <w:tcW w:type="dxa" w:w="2160"/>
          </w:tcPr>
          <w:p>
            <w:r>
              <w:t>N/A</w:t>
            </w:r>
          </w:p>
        </w:tc>
        <w:tc>
          <w:tcPr>
            <w:tcW w:type="dxa" w:w="2160"/>
          </w:tcPr>
          <w:p>
            <w:r>
              <w:rPr>
                <w:b/>
                <w:color w:val="16A34A"/>
              </w:rPr>
              <w:t>OK</w:t>
            </w:r>
          </w:p>
        </w:tc>
      </w:tr>
    </w:tbl>
    <w:p>
      <w:pPr>
        <w:pStyle w:val="Heading1"/>
      </w:pPr>
      <w:r>
        <w:t>Statistical Tests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Test Name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Statistic</w:t>
            </w:r>
          </w:p>
        </w:tc>
        <w:tc>
          <w:tcPr>
            <w:tcW w:type="dxa" w:w="1728"/>
          </w:tcPr>
          <w:p>
            <w:r>
              <w:rPr>
                <w:b/>
              </w:rPr>
              <w:t>P-Value</w:t>
            </w:r>
          </w:p>
        </w:tc>
        <w:tc>
          <w:tcPr>
            <w:tcW w:type="dxa" w:w="1728"/>
          </w:tcPr>
          <w:p>
            <w:r>
              <w:rPr>
                <w:b/>
              </w:rPr>
              <w:t>Conclusion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Result</w:t>
            </w:r>
          </w:p>
        </w:tc>
      </w:tr>
      <w:tr>
        <w:tc>
          <w:tcPr>
            <w:tcW w:type="dxa" w:w="1728"/>
          </w:tcPr>
          <w:p>
            <w:r>
              <w:t>Hosmer-Lemeshow Test</w:t>
            </w:r>
          </w:p>
        </w:tc>
        <w:tc>
          <w:tcPr>
            <w:tcW w:type="dxa" w:w="1728"/>
          </w:tcPr>
          <w:p>
            <w:r>
              <w:t>5.6961</w:t>
            </w:r>
          </w:p>
        </w:tc>
        <w:tc>
          <w:tcPr>
            <w:tcW w:type="dxa" w:w="1728"/>
          </w:tcPr>
          <w:p>
            <w:r>
              <w:t>0.6607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600-700</w:t>
            </w:r>
          </w:p>
        </w:tc>
        <w:tc>
          <w:tcPr>
            <w:tcW w:type="dxa" w:w="1728"/>
          </w:tcPr>
          <w:p>
            <w:r>
              <w:t>5.0000</w:t>
            </w:r>
          </w:p>
        </w:tc>
        <w:tc>
          <w:tcPr>
            <w:tcW w:type="dxa" w:w="1728"/>
          </w:tcPr>
          <w:p>
            <w:r>
              <w:t>0.6607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700-800</w:t>
            </w:r>
          </w:p>
        </w:tc>
        <w:tc>
          <w:tcPr>
            <w:tcW w:type="dxa" w:w="1728"/>
          </w:tcPr>
          <w:p>
            <w:r>
              <w:t>4.0000</w:t>
            </w:r>
          </w:p>
        </w:tc>
        <w:tc>
          <w:tcPr>
            <w:tcW w:type="dxa" w:w="1728"/>
          </w:tcPr>
          <w:p>
            <w:r>
              <w:t>0.6607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Binomial Test: Band &lt;600</w:t>
            </w:r>
          </w:p>
        </w:tc>
        <w:tc>
          <w:tcPr>
            <w:tcW w:type="dxa" w:w="1728"/>
          </w:tcPr>
          <w:p>
            <w:r>
              <w:t>1.0000</w:t>
            </w:r>
          </w:p>
        </w:tc>
        <w:tc>
          <w:tcPr>
            <w:tcW w:type="dxa" w:w="1728"/>
          </w:tcPr>
          <w:p>
            <w:r>
              <w:t>0.9810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Fisher Exact Test: Band 800+</w:t>
            </w:r>
          </w:p>
        </w:tc>
        <w:tc>
          <w:tcPr>
            <w:tcW w:type="dxa" w:w="1728"/>
          </w:tcPr>
          <w:p>
            <w:r>
              <w:t>1.4091</w:t>
            </w:r>
          </w:p>
        </w:tc>
        <w:tc>
          <w:tcPr>
            <w:tcW w:type="dxa" w:w="1728"/>
          </w:tcPr>
          <w:p>
            <w:r>
              <w:t>0.6942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  <w:tr>
        <w:tc>
          <w:tcPr>
            <w:tcW w:type="dxa" w:w="1728"/>
          </w:tcPr>
          <w:p>
            <w:r>
              <w:t>Mann-Whitney U: Approved vs Declined Scores</w:t>
            </w:r>
          </w:p>
        </w:tc>
        <w:tc>
          <w:tcPr>
            <w:tcW w:type="dxa" w:w="1728"/>
          </w:tcPr>
          <w:p>
            <w:r>
              <w:t>3354.0000</w:t>
            </w:r>
          </w:p>
        </w:tc>
        <w:tc>
          <w:tcPr>
            <w:tcW w:type="dxa" w:w="1728"/>
          </w:tcPr>
          <w:p>
            <w:r>
              <w:t>0.6942</w:t>
            </w:r>
          </w:p>
        </w:tc>
        <w:tc>
          <w:tcPr>
            <w:tcW w:type="dxa" w:w="1728"/>
          </w:tcPr>
          <w:p>
            <w:r>
              <w:t>Fail to reject H₀ — distributions are similar</w:t>
            </w:r>
          </w:p>
        </w:tc>
        <w:tc>
          <w:tcPr>
            <w:tcW w:type="dxa" w:w="1728"/>
          </w:tcPr>
          <w:p>
            <w:r/>
          </w:p>
        </w:tc>
      </w:tr>
    </w:tbl>
    <w:p>
      <w:pPr>
        <w:pStyle w:val="Heading1"/>
      </w:pPr>
      <w:r>
        <w:t>Vintage Analysis (Roll Rate)</w:t>
      </w:r>
    </w:p>
    <w:p>
      <w:r>
        <w:t>Note: True roll rate matrix requires two time-snapshot datasets. This shows current DPD bucket distribution.</w:t>
      </w:r>
    </w:p>
    <w:p>
      <w:r>
        <w:rPr>
          <w:b/>
          <w:color w:val="DC2626"/>
        </w:rPr>
        <w:t>Severe Delinquency Rate: 23.86%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Bucket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Percentage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Cumulative %</w:t>
            </w:r>
          </w:p>
        </w:tc>
      </w:tr>
      <w:tr>
        <w:tc>
          <w:tcPr>
            <w:tcW w:type="dxa" w:w="2160"/>
          </w:tcPr>
          <w:p>
            <w:r>
              <w:t>Current (0 DPD)</w:t>
            </w:r>
          </w:p>
        </w:tc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1-29 DPD</w:t>
            </w:r>
          </w:p>
        </w:tc>
        <w:tc>
          <w:tcPr>
            <w:tcW w:type="dxa" w:w="2160"/>
          </w:tcPr>
          <w:p>
            <w:r>
              <w:t>0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30-59 DPD</w:t>
            </w:r>
          </w:p>
        </w:tc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12.2%</w:t>
            </w:r>
          </w:p>
        </w:tc>
        <w:tc>
          <w:tcPr>
            <w:tcW w:type="dxa" w:w="2160"/>
          </w:tcPr>
          <w:p>
            <w:r>
              <w:t>62.9%</w:t>
            </w:r>
          </w:p>
        </w:tc>
      </w:tr>
      <w:tr>
        <w:tc>
          <w:tcPr>
            <w:tcW w:type="dxa" w:w="2160"/>
          </w:tcPr>
          <w:p>
            <w:r>
              <w:t>60-89 DPD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13.2%</w:t>
            </w:r>
          </w:p>
        </w:tc>
        <w:tc>
          <w:tcPr>
            <w:tcW w:type="dxa" w:w="2160"/>
          </w:tcPr>
          <w:p>
            <w:r>
              <w:t>76.1%</w:t>
            </w:r>
          </w:p>
        </w:tc>
      </w:tr>
      <w:tr>
        <w:tc>
          <w:tcPr>
            <w:tcW w:type="dxa" w:w="2160"/>
          </w:tcPr>
          <w:p>
            <w:r>
              <w:t>90+ DPD</w:t>
            </w:r>
          </w:p>
        </w:tc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23.9%</w:t>
            </w:r>
          </w:p>
        </w:tc>
        <w:tc>
          <w:tcPr>
            <w:tcW w:type="dxa" w:w="2160"/>
          </w:tcPr>
          <w:p>
            <w:r>
              <w:t>100.0%</w:t>
            </w:r>
          </w:p>
        </w:tc>
      </w:tr>
    </w:tbl>
    <w:p>
      <w:pPr>
        <w:pStyle w:val="Heading1"/>
      </w:pPr>
      <w:r>
        <w:t>Override Analysis</w:t>
      </w:r>
    </w:p>
    <w:p>
      <w:pPr>
        <w:pStyle w:val="Heading2"/>
      </w:pPr>
      <w:r>
        <w:t>Cutoff: 550</w:t>
      </w:r>
    </w:p>
    <w:p>
      <w:r>
        <w:t>"Overridden accounts in this dataset show LOWER bad rate than model-approved accounts (0.0% vs 6.3%), suggesting underwriters are exercising sound judgment for this risk segment. Review override criteria."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74.3%</w:t>
            </w:r>
          </w:p>
        </w:tc>
        <w:tc>
          <w:tcPr>
            <w:tcW w:type="dxa" w:w="2160"/>
          </w:tcPr>
          <w:p>
            <w:r>
              <w:t>0.0%</w:t>
            </w:r>
          </w:p>
        </w:tc>
      </w:tr>
    </w:tbl>
    <w:p>
      <w:r>
        <w:rPr>
          <w:b/>
          <w:color w:val="16A34A"/>
        </w:rPr>
        <w:br/>
        <w:t>Conclusion: Overrides are performing better or equal to model approvals.</w:t>
      </w:r>
    </w:p>
    <w:p>
      <w:pPr>
        <w:pStyle w:val="Heading2"/>
      </w:pPr>
      <w:r>
        <w:t>Cutoff: 600</w:t>
      </w:r>
    </w:p>
    <w:p>
      <w:r>
        <w:t>"Overridden accounts in this dataset show LOWER bad rate than model-approved accounts (3.3% vs 6.5%), suggesting underwriters are exercising sound judgment for this risk segment. Review override criteria."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82.2%</w:t>
            </w:r>
          </w:p>
        </w:tc>
        <w:tc>
          <w:tcPr>
            <w:tcW w:type="dxa" w:w="2160"/>
          </w:tcPr>
          <w:p>
            <w:r>
              <w:t>3.3%</w:t>
            </w:r>
          </w:p>
        </w:tc>
      </w:tr>
    </w:tbl>
    <w:p>
      <w:r>
        <w:rPr>
          <w:b/>
          <w:color w:val="16A34A"/>
        </w:rPr>
        <w:br/>
        <w:t>Conclusion: Overrides are performing better or equal to model approvals.</w:t>
      </w:r>
    </w:p>
    <w:p>
      <w:pPr>
        <w:pStyle w:val="Heading2"/>
      </w:pPr>
      <w:r>
        <w:t>Cutoff: 650</w:t>
      </w:r>
    </w:p>
    <w:p>
      <w:r>
        <w:t>"Overridden accounts in this dataset show LOWER bad rate than model-approved accounts (3.6% vs 7.4%), suggesting underwriters are exercising sound judgment for this risk segment. Review override criteria."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107</w:t>
            </w:r>
          </w:p>
        </w:tc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78.5%</w:t>
            </w:r>
          </w:p>
        </w:tc>
        <w:tc>
          <w:tcPr>
            <w:tcW w:type="dxa" w:w="2160"/>
          </w:tcPr>
          <w:p>
            <w:r>
              <w:t>3.6%</w:t>
            </w:r>
          </w:p>
        </w:tc>
      </w:tr>
    </w:tbl>
    <w:p>
      <w:r>
        <w:rPr>
          <w:b/>
          <w:color w:val="16A34A"/>
        </w:rPr>
        <w:br/>
        <w:t>Conclusion: Overrides are performing better or equal to model approvals.</w:t>
      </w:r>
    </w:p>
    <w:p>
      <w:pPr>
        <w:pStyle w:val="Heading2"/>
      </w:pPr>
      <w:r>
        <w:t>Cutoff: 700</w:t>
      </w:r>
    </w:p>
    <w:p>
      <w:r>
        <w:t>"Overridden accounts in this dataset show LOWER bad rate than model-approved accounts (3.8% vs 8.5%), suggesting underwriters are exercising sound judgment for this risk segment. Review override criteria."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Model Declines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Rate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Override Bad Rate</w:t>
            </w:r>
          </w:p>
        </w:tc>
      </w:tr>
      <w:tr>
        <w:tc>
          <w:tcPr>
            <w:tcW w:type="dxa" w:w="2160"/>
          </w:tcPr>
          <w:p>
            <w:r>
              <w:t>136</w:t>
            </w:r>
          </w:p>
        </w:tc>
        <w:tc>
          <w:tcPr>
            <w:tcW w:type="dxa" w:w="2160"/>
          </w:tcPr>
          <w:p>
            <w:r>
              <w:t>105</w:t>
            </w:r>
          </w:p>
        </w:tc>
        <w:tc>
          <w:tcPr>
            <w:tcW w:type="dxa" w:w="2160"/>
          </w:tcPr>
          <w:p>
            <w:r>
              <w:t>77.2%</w:t>
            </w:r>
          </w:p>
        </w:tc>
        <w:tc>
          <w:tcPr>
            <w:tcW w:type="dxa" w:w="2160"/>
          </w:tcPr>
          <w:p>
            <w:r>
              <w:t>3.8%</w:t>
            </w:r>
          </w:p>
        </w:tc>
      </w:tr>
    </w:tbl>
    <w:p>
      <w:r>
        <w:rPr>
          <w:b/>
          <w:color w:val="16A34A"/>
        </w:rPr>
        <w:br/>
        <w:t>Conclusion: Overrides are performing better or equal to model approvals.</w:t>
      </w:r>
    </w:p>
    <w:p>
      <w:pPr>
        <w:pStyle w:val="Heading1"/>
      </w:pPr>
      <w:r>
        <w:t>Model Visualizations</w:t>
      </w:r>
    </w:p>
    <w:p>
      <w:pPr>
        <w:pStyle w:val="Heading2"/>
      </w:pPr>
      <w:r>
        <w:t>Chart Score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Bad Rate By Score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Approval By Risk Band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Calibration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Dpd Distribution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Decile Lift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Chart Roc Curve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  <w:color w:val="646464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338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b/>
      <w:color w:val="00338D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