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mon_baseline</w:t>
            </w:r>
          </w:p>
        </w:tc>
        <w:tc>
          <w:tcPr>
            <w:tcW w:type="dxa" w:w="2160"/>
          </w:tcPr>
          <w:p>
            <w:r>
              <w:t>run_f66c1afe...</w:t>
            </w:r>
          </w:p>
        </w:tc>
        <w:tc>
          <w:tcPr>
            <w:tcW w:type="dxa" w:w="2160"/>
          </w:tcPr>
          <w:p>
            <w:r>
              <w:t>90.1/100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AI Narrative Analysis</w:t>
      </w:r>
    </w:p>
    <w:p>
      <w:pPr>
        <w:pStyle w:val="Heading2"/>
      </w:pPr>
      <w:r>
        <w:t>Executive Summary</w:t>
      </w:r>
    </w:p>
    <w:p>
      <w:r>
        <w:t>The model is healthy and stable.</w:t>
      </w:r>
    </w:p>
    <w:p>
      <w:pPr>
        <w:pStyle w:val="Heading2"/>
      </w:pPr>
      <w:r>
        <w:t>Technical Summary</w:t>
      </w:r>
    </w:p>
    <w:p>
      <w:r>
        <w:t>Mock technical summary based on findings.</w:t>
      </w:r>
    </w:p>
    <w:p>
      <w:pPr>
        <w:pStyle w:val="Heading2"/>
      </w:pPr>
      <w:r>
        <w:t>Root Causes</w:t>
      </w:r>
    </w:p>
    <w:p>
      <w:pPr>
        <w:pStyle w:val="ListBullet"/>
      </w:pPr>
      <w:r>
        <w:t>Mock cause 1</w:t>
      </w:r>
    </w:p>
    <w:p>
      <w:pPr>
        <w:pStyle w:val="ListBullet"/>
      </w:pPr>
      <w:r>
        <w:t>Mock cause 2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Mock action 1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Brier Skill Score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0.1165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Calibration Ratio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5000.0000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Duplicate 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Null Rates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Probability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Target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Monitoring Readiness Summary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Score-PD Coherence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-0.9836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Band Consistency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DPD Buckets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PSI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ROC AUC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0.7854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Gini Coefficient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0.5708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KS Statistic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0.4353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Decile Table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Distribution Analysis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Approval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0.8012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Overall Bad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0.0916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41.5414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225.0000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23.0000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210.0000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800+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3372339.5000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Vintage Analysis (Roll Rate)</w:t>
      </w:r>
    </w:p>
    <w:p>
      <w:r>
        <w:t>Note: True roll rate matrix requires two time-snapshot datasets. This shows current DPD bucket distribution.</w:t>
      </w:r>
    </w:p>
    <w:p>
      <w:r>
        <w:rPr>
          <w:b/>
          <w:color w:val="DC2626"/>
        </w:rPr>
        <w:t>Severe Delinquency Rate: 6.60%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%</w:t>
            </w:r>
          </w:p>
        </w:tc>
      </w:tr>
      <w:tr>
        <w:tc>
          <w:tcPr>
            <w:tcW w:type="dxa" w:w="2160"/>
          </w:tcPr>
          <w:p>
            <w:r>
              <w:t>Current (0 DPD)</w:t>
            </w:r>
          </w:p>
        </w:tc>
        <w:tc>
          <w:tcPr>
            <w:tcW w:type="dxa" w:w="2160"/>
          </w:tcPr>
          <w:p>
            <w:r>
              <w:t>4250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  <w:tc>
          <w:tcPr>
            <w:tcW w:type="dxa" w:w="2160"/>
          </w:tcPr>
          <w:p>
            <w:r>
              <w:t>89.3%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</w:tr>
      <w:tr>
        <w:tc>
          <w:tcPr>
            <w:tcW w:type="dxa" w:w="2160"/>
          </w:tcPr>
          <w:p>
            <w:r>
              <w:t>90+ DPD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(31.0% vs 6.1%),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16.9%</w:t>
            </w:r>
          </w:p>
        </w:tc>
        <w:tc>
          <w:tcPr>
            <w:tcW w:type="dxa" w:w="2160"/>
          </w:tcPr>
          <w:p>
            <w:r>
              <w:t>31.0%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(22.7% vs 5.1%),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757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35.5%</w:t>
            </w:r>
          </w:p>
        </w:tc>
        <w:tc>
          <w:tcPr>
            <w:tcW w:type="dxa" w:w="2160"/>
          </w:tcPr>
          <w:p>
            <w:r>
              <w:t>22.7%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(13.0% vs 3.1%),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2115</w:t>
            </w:r>
          </w:p>
        </w:tc>
        <w:tc>
          <w:tcPr>
            <w:tcW w:type="dxa" w:w="2160"/>
          </w:tcPr>
          <w:p>
            <w:r>
              <w:t>1291</w:t>
            </w:r>
          </w:p>
        </w:tc>
        <w:tc>
          <w:tcPr>
            <w:tcW w:type="dxa" w:w="2160"/>
          </w:tcPr>
          <w:p>
            <w:r>
              <w:t>61.0%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(8.3% vs 1.8%),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3746</w:t>
            </w:r>
          </w:p>
        </w:tc>
        <w:tc>
          <w:tcPr>
            <w:tcW w:type="dxa" w:w="2160"/>
          </w:tcPr>
          <w:p>
            <w:r>
              <w:t>2771</w:t>
            </w:r>
          </w:p>
        </w:tc>
        <w:tc>
          <w:tcPr>
            <w:tcW w:type="dxa" w:w="2160"/>
          </w:tcPr>
          <w:p>
            <w:r>
              <w:t>74.0%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