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run_f66c1afeefdd</w:t>
            </w:r>
          </w:p>
        </w:tc>
        <w:tc>
          <w:tcPr>
            <w:tcW w:type="dxa" w:w="2160"/>
          </w:tcPr>
          <w:p>
            <w:r>
              <w:t>2026-09-16T18:45:55.945927+00:00</w:t>
            </w:r>
          </w:p>
        </w:tc>
        <w:tc>
          <w:tcPr>
            <w:tcW w:type="dxa" w:w="2160"/>
          </w:tcPr>
          <w:p>
            <w:r>
              <w:t>90.08137364498232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is healthy and stable.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0.11649367548031564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0.9999999257641976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5000.0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-0.9835932614812057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0.7853789185457805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0.5707578370915609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0.43529868726432963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0.8012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0.0916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Technical Analysis</w:t>
      </w:r>
    </w:p>
    <w:p>
      <w:r>
        <w:t>Mock technical summary based on findings.</w:t>
      </w:r>
    </w:p>
    <w:p>
      <w:pPr>
        <w:pStyle w:val="Heading1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41.541368223844</w:t>
            </w:r>
          </w:p>
        </w:tc>
        <w:tc>
          <w:tcPr>
            <w:tcW w:type="dxa" w:w="1728"/>
          </w:tcPr>
          <w:p>
            <w:r>
              <w:t>3.3016069636595687e-06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</w:t>
            </w:r>
          </w:p>
        </w:tc>
        <w:tc>
          <w:tcPr>
            <w:tcW w:type="dxa" w:w="1728"/>
          </w:tcPr>
          <w:p>
            <w:r>
              <w:t>2.6584506291665387e-48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</w:t>
            </w:r>
          </w:p>
        </w:tc>
        <w:tc>
          <w:tcPr>
            <w:tcW w:type="dxa" w:w="1728"/>
          </w:tcPr>
          <w:p>
            <w:r>
              <w:t>1.43079984038083e-251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