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mon_baseline</w:t>
            </w:r>
          </w:p>
        </w:tc>
        <w:tc>
          <w:tcPr>
            <w:tcW w:type="dxa" w:w="2160"/>
          </w:tcPr>
          <w:p>
            <w:r>
              <w:t>run_f66c1afe...</w:t>
            </w:r>
          </w:p>
        </w:tc>
        <w:tc>
          <w:tcPr>
            <w:tcW w:type="dxa" w:w="2160"/>
          </w:tcPr>
          <w:p>
            <w:r>
              <w:t>90.1/100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is healthy and stable.</w:t>
      </w:r>
    </w:p>
    <w:p>
      <w:pPr>
        <w:pStyle w:val="Heading2"/>
      </w:pPr>
      <w:r>
        <w:t>Technical Summary</w:t>
      </w:r>
    </w:p>
    <w:p>
      <w:r>
        <w:t>Mock technical summary based on findings.</w:t>
      </w:r>
    </w:p>
    <w:p>
      <w:pPr>
        <w:pStyle w:val="Heading2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0.1165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5000.0000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0.7854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0.5708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0.4353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6.60%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4250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89.3%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(31.0% vs 6.1%),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(22.7% vs 5.1%),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(13.0%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2115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(8.3% vs 1.8%),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3746</w:t>
            </w:r>
          </w:p>
        </w:tc>
        <w:tc>
          <w:tcPr>
            <w:tcW w:type="dxa" w:w="2160"/>
          </w:tcPr>
          <w:p>
            <w:r>
              <w:t>2771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