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mon_stable</w:t>
            </w:r>
          </w:p>
        </w:tc>
        <w:tc>
          <w:tcPr>
            <w:tcW w:type="dxa" w:w="2160"/>
          </w:tcPr>
          <w:p>
            <w:r>
              <w:t>run_feae0f43...</w:t>
            </w:r>
          </w:p>
        </w:tc>
        <w:tc>
          <w:tcPr>
            <w:tcW w:type="dxa" w:w="2160"/>
          </w:tcPr>
          <w:p>
            <w:r>
              <w:t>89.6/100</w:t>
            </w:r>
          </w:p>
        </w:tc>
        <w:tc>
          <w:tcPr>
            <w:tcW w:type="dxa" w:w="2160"/>
          </w:tcPr>
          <w:p>
            <w:r>
              <w:t>HEALTHY</w:t>
            </w:r>
          </w:p>
        </w:tc>
      </w:tr>
    </w:tbl>
    <w:p>
      <w:r>
        <w:br/>
        <w:t>Generated At: 2026-09-20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1728"/>
          </w:tcPr>
          <w:p>
            <w:r>
              <w:t>Brier Skill Score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0.1360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Calibration Ratio</w:t>
            </w:r>
          </w:p>
        </w:tc>
        <w:tc>
          <w:tcPr>
            <w:tcW w:type="dxa" w:w="1728"/>
          </w:tcPr>
          <w:p>
            <w:r>
              <w:t>calibration</w:t>
            </w:r>
          </w:p>
        </w:tc>
        <w:tc>
          <w:tcPr>
            <w:tcW w:type="dxa" w:w="1728"/>
          </w:tcPr>
          <w:p>
            <w:r>
              <w:t>1.1053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2500.0000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Duplicate Row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Null Rates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Probability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Invalid Target Count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0.0000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Monitoring Readiness Summary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Score-PD Coherence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-0.9836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Band Consistency</w:t>
            </w:r>
          </w:p>
        </w:tc>
        <w:tc>
          <w:tcPr>
            <w:tcW w:type="dxa" w:w="1728"/>
          </w:tcPr>
          <w:p>
            <w:r>
              <w:t>data_quality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DPD Buckets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Severe Delinquency Rate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0.0832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30+ DPD Rate</w:t>
            </w:r>
          </w:p>
        </w:tc>
        <w:tc>
          <w:tcPr>
            <w:tcW w:type="dxa" w:w="1728"/>
          </w:tcPr>
          <w:p>
            <w:r>
              <w:t>delinquency</w:t>
            </w:r>
          </w:p>
        </w:tc>
        <w:tc>
          <w:tcPr>
            <w:tcW w:type="dxa" w:w="1728"/>
          </w:tcPr>
          <w:p>
            <w:r>
              <w:t>0.1600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PSI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0.0077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Feature CSI Drift</w:t>
            </w:r>
          </w:p>
        </w:tc>
        <w:tc>
          <w:tcPr>
            <w:tcW w:type="dxa" w:w="1728"/>
          </w:tcPr>
          <w:p>
            <w:r>
              <w:t>drift</w:t>
            </w:r>
          </w:p>
        </w:tc>
        <w:tc>
          <w:tcPr>
            <w:tcW w:type="dxa" w:w="1728"/>
          </w:tcPr>
          <w:p>
            <w:r>
              <w:t>0.0106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ROC AUC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0.7948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Gini Coefficient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0.5897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KS Statistic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0.4664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Decile Table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1728"/>
          </w:tcPr>
          <w:p>
            <w:r>
              <w:t>Score Distribution Analysis</w:t>
            </w:r>
          </w:p>
        </w:tc>
        <w:tc>
          <w:tcPr>
            <w:tcW w:type="dxa" w:w="1728"/>
          </w:tcPr>
          <w:p>
            <w:r>
              <w:t>performance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t>N/A</w:t>
            </w:r>
          </w:p>
        </w:tc>
        <w:tc>
          <w:tcPr>
            <w:tcW w:type="dxa" w:w="1728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8.32%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2100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84.0%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109</w:t>
            </w:r>
          </w:p>
        </w:tc>
        <w:tc>
          <w:tcPr>
            <w:tcW w:type="dxa" w:w="2160"/>
          </w:tcPr>
          <w:p>
            <w:r>
              <w:t>4.4%</w:t>
            </w:r>
          </w:p>
        </w:tc>
        <w:tc>
          <w:tcPr>
            <w:tcW w:type="dxa" w:w="2160"/>
          </w:tcPr>
          <w:p>
            <w:r>
              <w:t>88.4%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  <w:tc>
          <w:tcPr>
            <w:tcW w:type="dxa" w:w="2160"/>
          </w:tcPr>
          <w:p>
            <w:r>
              <w:t>91.7%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208</w:t>
            </w:r>
          </w:p>
        </w:tc>
        <w:tc>
          <w:tcPr>
            <w:tcW w:type="dxa" w:w="2160"/>
          </w:tcPr>
          <w:p>
            <w:r>
              <w:t>8.3%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show a HIGHER bad rate than model-approved accounts (69.2% vs 6.8%),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15.9%</w:t>
            </w:r>
          </w:p>
        </w:tc>
        <w:tc>
          <w:tcPr>
            <w:tcW w:type="dxa" w:w="2160"/>
          </w:tcPr>
          <w:p>
            <w:r>
              <w:t>69.2%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600</w:t>
      </w:r>
    </w:p>
    <w:p>
      <w:r>
        <w:t>"Overridden accounts show a HIGHER bad rate than model-approved accounts (19.6% vs 6.3%),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389</w:t>
            </w:r>
          </w:p>
        </w:tc>
        <w:tc>
          <w:tcPr>
            <w:tcW w:type="dxa" w:w="2160"/>
          </w:tcPr>
          <w:p>
            <w:r>
              <w:t>138</w:t>
            </w:r>
          </w:p>
        </w:tc>
        <w:tc>
          <w:tcPr>
            <w:tcW w:type="dxa" w:w="2160"/>
          </w:tcPr>
          <w:p>
            <w:r>
              <w:t>35.5%</w:t>
            </w:r>
          </w:p>
        </w:tc>
        <w:tc>
          <w:tcPr>
            <w:tcW w:type="dxa" w:w="2160"/>
          </w:tcPr>
          <w:p>
            <w:r>
              <w:t>19.6%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650</w:t>
      </w:r>
    </w:p>
    <w:p>
      <w:r>
        <w:t>"Overridden accounts show a HIGHER bad rate than model-approved accounts (15.3% vs 2.9%),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1117</w:t>
            </w:r>
          </w:p>
        </w:tc>
        <w:tc>
          <w:tcPr>
            <w:tcW w:type="dxa" w:w="2160"/>
          </w:tcPr>
          <w:p>
            <w:r>
              <w:t>685</w:t>
            </w:r>
          </w:p>
        </w:tc>
        <w:tc>
          <w:tcPr>
            <w:tcW w:type="dxa" w:w="2160"/>
          </w:tcPr>
          <w:p>
            <w:r>
              <w:t>61.3%</w:t>
            </w:r>
          </w:p>
        </w:tc>
        <w:tc>
          <w:tcPr>
            <w:tcW w:type="dxa" w:w="2160"/>
          </w:tcPr>
          <w:p>
            <w:r>
              <w:t>15.3%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p>
      <w:pPr>
        <w:pStyle w:val="Heading2"/>
      </w:pPr>
      <w:r>
        <w:t>Cutoff: 700</w:t>
      </w:r>
    </w:p>
    <w:p>
      <w:r>
        <w:t>"Overridden accounts show a HIGHER bad rate than model-approved accounts (10.0% vs 0.5%), indicating possible excessive risk taking on model-declines."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1903</w:t>
            </w:r>
          </w:p>
        </w:tc>
        <w:tc>
          <w:tcPr>
            <w:tcW w:type="dxa" w:w="2160"/>
          </w:tcPr>
          <w:p>
            <w:r>
              <w:t>1405</w:t>
            </w:r>
          </w:p>
        </w:tc>
        <w:tc>
          <w:tcPr>
            <w:tcW w:type="dxa" w:w="2160"/>
          </w:tcPr>
          <w:p>
            <w:r>
              <w:t>73.8%</w:t>
            </w:r>
          </w:p>
        </w:tc>
        <w:tc>
          <w:tcPr>
            <w:tcW w:type="dxa" w:w="2160"/>
          </w:tcPr>
          <w:p>
            <w:r>
              <w:t>10.0%</w:t>
            </w:r>
          </w:p>
        </w:tc>
      </w:tr>
    </w:tbl>
    <w:p>
      <w:r>
        <w:rPr>
          <w:b/>
          <w:color w:val="DC2626"/>
        </w:rPr>
        <w:br/>
        <w:t>Conclusion: Overrides are performing worse than standard model approvals.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