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150302" cy="457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150302" cy="457200"/>
                    </a:xfrm>
                    <a:prstGeom prst="rect"/>
                  </pic:spPr>
                </pic:pic>
              </a:graphicData>
            </a:graphic>
          </wp:inline>
        </w:drawing>
      </w:r>
    </w:p>
    <w:p>
      <w:pPr>
        <w:pStyle w:val="Title"/>
      </w:pPr>
      <w:r>
        <w:t>Model Risk Validation Report</w:t>
      </w:r>
    </w:p>
    <w:p>
      <w:r>
        <w:t>Full Technical &amp; Quantitative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00338D"/>
              </w:rPr>
              <w:t>Monitor ID</w:t>
            </w:r>
          </w:p>
        </w:tc>
        <w:tc>
          <w:tcPr>
            <w:tcW w:type="dxa" w:w="2160"/>
          </w:tcPr>
          <w:p>
            <w:r>
              <w:rPr>
                <w:b/>
                <w:color w:val="00338D"/>
              </w:rPr>
              <w:t>Run ID</w:t>
            </w:r>
          </w:p>
        </w:tc>
        <w:tc>
          <w:tcPr>
            <w:tcW w:type="dxa" w:w="2160"/>
          </w:tcPr>
          <w:p>
            <w:r>
              <w:rPr>
                <w:b/>
                <w:color w:val="00338D"/>
              </w:rPr>
              <w:t>Health Score</w:t>
            </w:r>
          </w:p>
        </w:tc>
        <w:tc>
          <w:tcPr>
            <w:tcW w:type="dxa" w:w="2160"/>
          </w:tcPr>
          <w:p>
            <w:r>
              <w:rPr>
                <w:b/>
                <w:color w:val="00338D"/>
              </w:rPr>
              <w:t>Health Status</w:t>
            </w:r>
          </w:p>
        </w:tc>
      </w:tr>
      <w:tr>
        <w:tc>
          <w:tcPr>
            <w:tcW w:type="dxa" w:w="2160"/>
          </w:tcPr>
          <w:p>
            <w:r>
              <w:t>mon_stable</w:t>
            </w:r>
          </w:p>
        </w:tc>
        <w:tc>
          <w:tcPr>
            <w:tcW w:type="dxa" w:w="2160"/>
          </w:tcPr>
          <w:p>
            <w:r>
              <w:t>run_feae0f43...</w:t>
            </w:r>
          </w:p>
        </w:tc>
        <w:tc>
          <w:tcPr>
            <w:tcW w:type="dxa" w:w="2160"/>
          </w:tcPr>
          <w:p>
            <w:r>
              <w:t>89.6/100</w:t>
            </w:r>
          </w:p>
        </w:tc>
        <w:tc>
          <w:tcPr>
            <w:tcW w:type="dxa" w:w="2160"/>
          </w:tcPr>
          <w:p>
            <w:r>
              <w:t>HEALTHY</w:t>
            </w:r>
          </w:p>
        </w:tc>
      </w:tr>
    </w:tbl>
    <w:p>
      <w:r>
        <w:br/>
        <w:t>Generated At: 2026-09-20</w:t>
      </w:r>
    </w:p>
    <w:p>
      <w:pPr>
        <w:pStyle w:val="Heading1"/>
      </w:pPr>
      <w:r>
        <w:t>AI Narrative Analysis</w:t>
      </w:r>
    </w:p>
    <w:p>
      <w:pPr>
        <w:pStyle w:val="Heading2"/>
      </w:pPr>
      <w:r>
        <w:t>Executive Summary</w:t>
      </w:r>
    </w:p>
    <w:p>
      <w:r>
        <w:t>The credit model appears to be in a stable state, with no critical findings and no worsening metrics. This suggests that the model is performing as expected.</w:t>
      </w:r>
    </w:p>
    <w:p>
      <w:pPr>
        <w:pStyle w:val="Heading2"/>
      </w:pPr>
      <w:r>
        <w:t>Technical Summary</w:t>
      </w:r>
    </w:p>
    <w:p>
      <w:r>
        <w:t>Upon further analysis, it appears that the model has not experienced any significant performance degradation, with no notable drops in AUC or Gini scores. Additionally, there is no evidence of data drift or calibration issues, as the baseline model is present and no notable discrepancies were found.</w:t>
      </w:r>
    </w:p>
    <w:p>
      <w:pPr>
        <w:pStyle w:val="Heading2"/>
      </w:pPr>
      <w:r>
        <w:t>Root Causes</w:t>
      </w:r>
    </w:p>
    <w:p>
      <w:pPr>
        <w:pStyle w:val="ListBullet"/>
      </w:pPr>
      <w:r>
        <w:t>Lack of model retraining or updating</w:t>
      </w:r>
    </w:p>
    <w:p>
      <w:pPr>
        <w:pStyle w:val="ListBullet"/>
      </w:pPr>
      <w:r>
        <w:t>Insufficient data quality or quantity</w:t>
      </w:r>
    </w:p>
    <w:p>
      <w:pPr>
        <w:pStyle w:val="ListBullet"/>
      </w:pPr>
      <w:r>
        <w:t>Inadequate model monitoring or maintenance</w:t>
      </w:r>
    </w:p>
    <w:p>
      <w:pPr>
        <w:pStyle w:val="Heading2"/>
      </w:pPr>
      <w:r>
        <w:t>Recommended Actions</w:t>
      </w:r>
    </w:p>
    <w:p>
      <w:pPr>
        <w:pStyle w:val="ListBullet"/>
      </w:pPr>
      <w:r>
        <w:t>Schedule regular model retraining or updating</w:t>
      </w:r>
    </w:p>
    <w:p>
      <w:pPr>
        <w:pStyle w:val="ListBullet"/>
      </w:pPr>
      <w:r>
        <w:t>Conduct thorough data quality checks and address any issues</w:t>
      </w:r>
    </w:p>
    <w:p>
      <w:pPr>
        <w:pStyle w:val="ListBullet"/>
      </w:pPr>
      <w:r>
        <w:t>Implement a robust model monitoring and maintenance program</w:t>
      </w:r>
    </w:p>
    <w:p>
      <w:pPr>
        <w:pStyle w:val="Heading1"/>
      </w:pPr>
      <w:r>
        <w:t>Alerts &amp; Breaches</w:t>
      </w:r>
    </w:p>
    <w:p>
      <w:r>
        <w:rPr>
          <w:b/>
          <w:color w:val="EA580C"/>
        </w:rPr>
        <w:t xml:space="preserve">[WARNING] </w:t>
      </w:r>
      <w:r>
        <w:t>30+ DPD Rate = 0.1600, exceeds warning threshold of 0.15</w:t>
      </w:r>
    </w:p>
    <w:p>
      <w:pPr>
        <w:pStyle w:val="Heading1"/>
      </w:pPr>
      <w:r>
        <w:t>Key Performance Metrics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Category</w:t>
            </w:r>
          </w:p>
        </w:tc>
        <w:tc>
          <w:tcPr>
            <w:tcW w:type="dxa" w:w="1728"/>
          </w:tcPr>
          <w:p>
            <w:r>
              <w:rPr>
                <w:b/>
              </w:rPr>
              <w:t>Value</w:t>
            </w:r>
          </w:p>
        </w:tc>
        <w:tc>
          <w:tcPr>
            <w:tcW w:type="dxa" w:w="1728"/>
          </w:tcPr>
          <w:p>
            <w:r>
              <w:rPr>
                <w:b/>
              </w:rPr>
              <w:t>Threshold</w:t>
            </w:r>
          </w:p>
        </w:tc>
        <w:tc>
          <w:tcPr>
            <w:tcW w:type="dxa" w:w="1728"/>
          </w:tcPr>
          <w:p>
            <w:r>
              <w:rPr>
                <w:b/>
              </w:rPr>
              <w:t>Status</w:t>
            </w:r>
          </w:p>
        </w:tc>
      </w:tr>
      <w:tr>
        <w:tc>
          <w:tcPr>
            <w:tcW w:type="dxa" w:w="1728"/>
          </w:tcPr>
          <w:p>
            <w:r>
              <w:t>Brier Skill Score</w:t>
            </w:r>
          </w:p>
        </w:tc>
        <w:tc>
          <w:tcPr>
            <w:tcW w:type="dxa" w:w="1728"/>
          </w:tcPr>
          <w:p>
            <w:r>
              <w:t>calibration</w:t>
            </w:r>
          </w:p>
        </w:tc>
        <w:tc>
          <w:tcPr>
            <w:tcW w:type="dxa" w:w="1728"/>
          </w:tcPr>
          <w:p>
            <w:r>
              <w:t>0.1360</w:t>
            </w:r>
          </w:p>
        </w:tc>
        <w:tc>
          <w:tcPr>
            <w:tcW w:type="dxa" w:w="1728"/>
          </w:tcPr>
          <w:p>
            <w:r>
              <w:t>N/A</w:t>
            </w:r>
          </w:p>
        </w:tc>
        <w:tc>
          <w:tcPr>
            <w:tcW w:type="dxa" w:w="1728"/>
          </w:tcPr>
          <w:p>
            <w:r>
              <w:rPr>
                <w:b/>
                <w:color w:val="16A34A"/>
              </w:rPr>
              <w:t>OK</w:t>
            </w:r>
          </w:p>
        </w:tc>
      </w:tr>
      <w:tr>
        <w:tc>
          <w:tcPr>
            <w:tcW w:type="dxa" w:w="1728"/>
          </w:tcPr>
          <w:p>
            <w:r>
              <w:t>Calibration Ratio</w:t>
            </w:r>
          </w:p>
        </w:tc>
        <w:tc>
          <w:tcPr>
            <w:tcW w:type="dxa" w:w="1728"/>
          </w:tcPr>
          <w:p>
            <w:r>
              <w:t>calibration</w:t>
            </w:r>
          </w:p>
        </w:tc>
        <w:tc>
          <w:tcPr>
            <w:tcW w:type="dxa" w:w="1728"/>
          </w:tcPr>
          <w:p>
            <w:r>
              <w:t>1.1053</w:t>
            </w:r>
          </w:p>
        </w:tc>
        <w:tc>
          <w:tcPr>
            <w:tcW w:type="dxa" w:w="1728"/>
          </w:tcPr>
          <w:p>
            <w:r>
              <w:t>N/A</w:t>
            </w:r>
          </w:p>
        </w:tc>
        <w:tc>
          <w:tcPr>
            <w:tcW w:type="dxa" w:w="1728"/>
          </w:tcPr>
          <w:p>
            <w:r>
              <w:rPr>
                <w:b/>
                <w:color w:val="16A34A"/>
              </w:rPr>
              <w:t>OK</w:t>
            </w:r>
          </w:p>
        </w:tc>
      </w:tr>
      <w:tr>
        <w:tc>
          <w:tcPr>
            <w:tcW w:type="dxa" w:w="1728"/>
          </w:tcPr>
          <w:p>
            <w:r>
              <w:t>Row Count</w:t>
            </w:r>
          </w:p>
        </w:tc>
        <w:tc>
          <w:tcPr>
            <w:tcW w:type="dxa" w:w="1728"/>
          </w:tcPr>
          <w:p>
            <w:r>
              <w:t>data_quality</w:t>
            </w:r>
          </w:p>
        </w:tc>
        <w:tc>
          <w:tcPr>
            <w:tcW w:type="dxa" w:w="1728"/>
          </w:tcPr>
          <w:p>
            <w:r>
              <w:t>2500.0000</w:t>
            </w:r>
          </w:p>
        </w:tc>
        <w:tc>
          <w:tcPr>
            <w:tcW w:type="dxa" w:w="1728"/>
          </w:tcPr>
          <w:p>
            <w:r>
              <w:t>N/A</w:t>
            </w:r>
          </w:p>
        </w:tc>
        <w:tc>
          <w:tcPr>
            <w:tcW w:type="dxa" w:w="1728"/>
          </w:tcPr>
          <w:p>
            <w:r>
              <w:rPr>
                <w:b/>
                <w:color w:val="16A34A"/>
              </w:rPr>
              <w:t>OK</w:t>
            </w:r>
          </w:p>
        </w:tc>
      </w:tr>
      <w:tr>
        <w:tc>
          <w:tcPr>
            <w:tcW w:type="dxa" w:w="1728"/>
          </w:tcPr>
          <w:p>
            <w:r>
              <w:t>Duplicate Row Count</w:t>
            </w:r>
          </w:p>
        </w:tc>
        <w:tc>
          <w:tcPr>
            <w:tcW w:type="dxa" w:w="1728"/>
          </w:tcPr>
          <w:p>
            <w:r>
              <w:t>data_quality</w:t>
            </w:r>
          </w:p>
        </w:tc>
        <w:tc>
          <w:tcPr>
            <w:tcW w:type="dxa" w:w="1728"/>
          </w:tcPr>
          <w:p>
            <w:r>
              <w:t>0.0000</w:t>
            </w:r>
          </w:p>
        </w:tc>
        <w:tc>
          <w:tcPr>
            <w:tcW w:type="dxa" w:w="1728"/>
          </w:tcPr>
          <w:p>
            <w:r>
              <w:t>N/A</w:t>
            </w:r>
          </w:p>
        </w:tc>
        <w:tc>
          <w:tcPr>
            <w:tcW w:type="dxa" w:w="1728"/>
          </w:tcPr>
          <w:p>
            <w:r>
              <w:rPr>
                <w:b/>
                <w:color w:val="16A34A"/>
              </w:rPr>
              <w:t>OK</w:t>
            </w:r>
          </w:p>
        </w:tc>
      </w:tr>
      <w:tr>
        <w:tc>
          <w:tcPr>
            <w:tcW w:type="dxa" w:w="1728"/>
          </w:tcPr>
          <w:p>
            <w:r>
              <w:t>Null Rates</w:t>
            </w:r>
          </w:p>
        </w:tc>
        <w:tc>
          <w:tcPr>
            <w:tcW w:type="dxa" w:w="1728"/>
          </w:tcPr>
          <w:p>
            <w:r>
              <w:t>data_quality</w:t>
            </w:r>
          </w:p>
        </w:tc>
        <w:tc>
          <w:tcPr>
            <w:tcW w:type="dxa" w:w="1728"/>
          </w:tcPr>
          <w:p>
            <w:r>
              <w:t>N/A</w:t>
            </w:r>
          </w:p>
        </w:tc>
        <w:tc>
          <w:tcPr>
            <w:tcW w:type="dxa" w:w="1728"/>
          </w:tcPr>
          <w:p>
            <w:r>
              <w:t>N/A</w:t>
            </w:r>
          </w:p>
        </w:tc>
        <w:tc>
          <w:tcPr>
            <w:tcW w:type="dxa" w:w="1728"/>
          </w:tcPr>
          <w:p>
            <w:r>
              <w:rPr>
                <w:b/>
                <w:color w:val="16A34A"/>
              </w:rPr>
              <w:t>OK</w:t>
            </w:r>
          </w:p>
        </w:tc>
      </w:tr>
      <w:tr>
        <w:tc>
          <w:tcPr>
            <w:tcW w:type="dxa" w:w="1728"/>
          </w:tcPr>
          <w:p>
            <w:r>
              <w:t>Invalid Probability Count</w:t>
            </w:r>
          </w:p>
        </w:tc>
        <w:tc>
          <w:tcPr>
            <w:tcW w:type="dxa" w:w="1728"/>
          </w:tcPr>
          <w:p>
            <w:r>
              <w:t>data_quality</w:t>
            </w:r>
          </w:p>
        </w:tc>
        <w:tc>
          <w:tcPr>
            <w:tcW w:type="dxa" w:w="1728"/>
          </w:tcPr>
          <w:p>
            <w:r>
              <w:t>0.0000</w:t>
            </w:r>
          </w:p>
        </w:tc>
        <w:tc>
          <w:tcPr>
            <w:tcW w:type="dxa" w:w="1728"/>
          </w:tcPr>
          <w:p>
            <w:r>
              <w:t>N/A</w:t>
            </w:r>
          </w:p>
        </w:tc>
        <w:tc>
          <w:tcPr>
            <w:tcW w:type="dxa" w:w="1728"/>
          </w:tcPr>
          <w:p>
            <w:r>
              <w:rPr>
                <w:b/>
                <w:color w:val="16A34A"/>
              </w:rPr>
              <w:t>OK</w:t>
            </w:r>
          </w:p>
        </w:tc>
      </w:tr>
      <w:tr>
        <w:tc>
          <w:tcPr>
            <w:tcW w:type="dxa" w:w="1728"/>
          </w:tcPr>
          <w:p>
            <w:r>
              <w:t>Invalid Target Count</w:t>
            </w:r>
          </w:p>
        </w:tc>
        <w:tc>
          <w:tcPr>
            <w:tcW w:type="dxa" w:w="1728"/>
          </w:tcPr>
          <w:p>
            <w:r>
              <w:t>data_quality</w:t>
            </w:r>
          </w:p>
        </w:tc>
        <w:tc>
          <w:tcPr>
            <w:tcW w:type="dxa" w:w="1728"/>
          </w:tcPr>
          <w:p>
            <w:r>
              <w:t>0.0000</w:t>
            </w:r>
          </w:p>
        </w:tc>
        <w:tc>
          <w:tcPr>
            <w:tcW w:type="dxa" w:w="1728"/>
          </w:tcPr>
          <w:p>
            <w:r>
              <w:t>N/A</w:t>
            </w:r>
          </w:p>
        </w:tc>
        <w:tc>
          <w:tcPr>
            <w:tcW w:type="dxa" w:w="1728"/>
          </w:tcPr>
          <w:p>
            <w:r>
              <w:rPr>
                <w:b/>
                <w:color w:val="16A34A"/>
              </w:rPr>
              <w:t>OK</w:t>
            </w:r>
          </w:p>
        </w:tc>
      </w:tr>
      <w:tr>
        <w:tc>
          <w:tcPr>
            <w:tcW w:type="dxa" w:w="1728"/>
          </w:tcPr>
          <w:p>
            <w:r>
              <w:t>Monitoring Readiness Summary</w:t>
            </w:r>
          </w:p>
        </w:tc>
        <w:tc>
          <w:tcPr>
            <w:tcW w:type="dxa" w:w="1728"/>
          </w:tcPr>
          <w:p>
            <w:r>
              <w:t>data_quality</w:t>
            </w:r>
          </w:p>
        </w:tc>
        <w:tc>
          <w:tcPr>
            <w:tcW w:type="dxa" w:w="1728"/>
          </w:tcPr>
          <w:p>
            <w:r>
              <w:t>N/A</w:t>
            </w:r>
          </w:p>
        </w:tc>
        <w:tc>
          <w:tcPr>
            <w:tcW w:type="dxa" w:w="1728"/>
          </w:tcPr>
          <w:p>
            <w:r>
              <w:t>N/A</w:t>
            </w:r>
          </w:p>
        </w:tc>
        <w:tc>
          <w:tcPr>
            <w:tcW w:type="dxa" w:w="1728"/>
          </w:tcPr>
          <w:p>
            <w:r>
              <w:rPr>
                <w:b/>
                <w:color w:val="16A34A"/>
              </w:rPr>
              <w:t>OK</w:t>
            </w:r>
          </w:p>
        </w:tc>
      </w:tr>
      <w:tr>
        <w:tc>
          <w:tcPr>
            <w:tcW w:type="dxa" w:w="1728"/>
          </w:tcPr>
          <w:p>
            <w:r>
              <w:t>Score-PD Coherence</w:t>
            </w:r>
          </w:p>
        </w:tc>
        <w:tc>
          <w:tcPr>
            <w:tcW w:type="dxa" w:w="1728"/>
          </w:tcPr>
          <w:p>
            <w:r>
              <w:t>data_quality</w:t>
            </w:r>
          </w:p>
        </w:tc>
        <w:tc>
          <w:tcPr>
            <w:tcW w:type="dxa" w:w="1728"/>
          </w:tcPr>
          <w:p>
            <w:r>
              <w:t>-0.9836</w:t>
            </w:r>
          </w:p>
        </w:tc>
        <w:tc>
          <w:tcPr>
            <w:tcW w:type="dxa" w:w="1728"/>
          </w:tcPr>
          <w:p>
            <w:r>
              <w:t>N/A</w:t>
            </w:r>
          </w:p>
        </w:tc>
        <w:tc>
          <w:tcPr>
            <w:tcW w:type="dxa" w:w="1728"/>
          </w:tcPr>
          <w:p>
            <w:r>
              <w:rPr>
                <w:b/>
                <w:color w:val="16A34A"/>
              </w:rPr>
              <w:t>OK</w:t>
            </w:r>
          </w:p>
        </w:tc>
      </w:tr>
      <w:tr>
        <w:tc>
          <w:tcPr>
            <w:tcW w:type="dxa" w:w="1728"/>
          </w:tcPr>
          <w:p>
            <w:r>
              <w:t>Band Consistency</w:t>
            </w:r>
          </w:p>
        </w:tc>
        <w:tc>
          <w:tcPr>
            <w:tcW w:type="dxa" w:w="1728"/>
          </w:tcPr>
          <w:p>
            <w:r>
              <w:t>data_quality</w:t>
            </w:r>
          </w:p>
        </w:tc>
        <w:tc>
          <w:tcPr>
            <w:tcW w:type="dxa" w:w="1728"/>
          </w:tcPr>
          <w:p>
            <w:r>
              <w:t>1.0000</w:t>
            </w:r>
          </w:p>
        </w:tc>
        <w:tc>
          <w:tcPr>
            <w:tcW w:type="dxa" w:w="1728"/>
          </w:tcPr>
          <w:p>
            <w:r>
              <w:t>N/A</w:t>
            </w:r>
          </w:p>
        </w:tc>
        <w:tc>
          <w:tcPr>
            <w:tcW w:type="dxa" w:w="1728"/>
          </w:tcPr>
          <w:p>
            <w:r>
              <w:rPr>
                <w:b/>
                <w:color w:val="16A34A"/>
              </w:rPr>
              <w:t>OK</w:t>
            </w:r>
          </w:p>
        </w:tc>
      </w:tr>
      <w:tr>
        <w:tc>
          <w:tcPr>
            <w:tcW w:type="dxa" w:w="1728"/>
          </w:tcPr>
          <w:p>
            <w:r>
              <w:t>DPD Buckets</w:t>
            </w:r>
          </w:p>
        </w:tc>
        <w:tc>
          <w:tcPr>
            <w:tcW w:type="dxa" w:w="1728"/>
          </w:tcPr>
          <w:p>
            <w:r>
              <w:t>delinquency</w:t>
            </w:r>
          </w:p>
        </w:tc>
        <w:tc>
          <w:tcPr>
            <w:tcW w:type="dxa" w:w="1728"/>
          </w:tcPr>
          <w:p>
            <w:r>
              <w:t>N/A</w:t>
            </w:r>
          </w:p>
        </w:tc>
        <w:tc>
          <w:tcPr>
            <w:tcW w:type="dxa" w:w="1728"/>
          </w:tcPr>
          <w:p>
            <w:r>
              <w:t>N/A</w:t>
            </w:r>
          </w:p>
        </w:tc>
        <w:tc>
          <w:tcPr>
            <w:tcW w:type="dxa" w:w="1728"/>
          </w:tcPr>
          <w:p>
            <w:r>
              <w:rPr>
                <w:b/>
                <w:color w:val="16A34A"/>
              </w:rPr>
              <w:t>OK</w:t>
            </w:r>
          </w:p>
        </w:tc>
      </w:tr>
      <w:tr>
        <w:tc>
          <w:tcPr>
            <w:tcW w:type="dxa" w:w="1728"/>
          </w:tcPr>
          <w:p>
            <w:r>
              <w:t>Severe Delinquency Rate</w:t>
            </w:r>
          </w:p>
        </w:tc>
        <w:tc>
          <w:tcPr>
            <w:tcW w:type="dxa" w:w="1728"/>
          </w:tcPr>
          <w:p>
            <w:r>
              <w:t>delinquency</w:t>
            </w:r>
          </w:p>
        </w:tc>
        <w:tc>
          <w:tcPr>
            <w:tcW w:type="dxa" w:w="1728"/>
          </w:tcPr>
          <w:p>
            <w:r>
              <w:t>0.0832</w:t>
            </w:r>
          </w:p>
        </w:tc>
        <w:tc>
          <w:tcPr>
            <w:tcW w:type="dxa" w:w="1728"/>
          </w:tcPr>
          <w:p>
            <w:r>
              <w:t>N/A</w:t>
            </w:r>
          </w:p>
        </w:tc>
        <w:tc>
          <w:tcPr>
            <w:tcW w:type="dxa" w:w="1728"/>
          </w:tcPr>
          <w:p>
            <w:r>
              <w:rPr>
                <w:b/>
                <w:color w:val="16A34A"/>
              </w:rPr>
              <w:t>OK</w:t>
            </w:r>
          </w:p>
        </w:tc>
      </w:tr>
      <w:tr>
        <w:tc>
          <w:tcPr>
            <w:tcW w:type="dxa" w:w="1728"/>
          </w:tcPr>
          <w:p>
            <w:r>
              <w:t>30+ DPD Rate</w:t>
            </w:r>
          </w:p>
        </w:tc>
        <w:tc>
          <w:tcPr>
            <w:tcW w:type="dxa" w:w="1728"/>
          </w:tcPr>
          <w:p>
            <w:r>
              <w:t>delinquency</w:t>
            </w:r>
          </w:p>
        </w:tc>
        <w:tc>
          <w:tcPr>
            <w:tcW w:type="dxa" w:w="1728"/>
          </w:tcPr>
          <w:p>
            <w:r>
              <w:t>0.1600</w:t>
            </w:r>
          </w:p>
        </w:tc>
        <w:tc>
          <w:tcPr>
            <w:tcW w:type="dxa" w:w="1728"/>
          </w:tcPr>
          <w:p>
            <w:r>
              <w:t>N/A</w:t>
            </w:r>
          </w:p>
        </w:tc>
        <w:tc>
          <w:tcPr>
            <w:tcW w:type="dxa" w:w="1728"/>
          </w:tcPr>
          <w:p>
            <w:r>
              <w:rPr>
                <w:b/>
                <w:color w:val="16A34A"/>
              </w:rPr>
              <w:t>OK</w:t>
            </w:r>
          </w:p>
        </w:tc>
      </w:tr>
      <w:tr>
        <w:tc>
          <w:tcPr>
            <w:tcW w:type="dxa" w:w="1728"/>
          </w:tcPr>
          <w:p>
            <w:r>
              <w:t>Score PSI</w:t>
            </w:r>
          </w:p>
        </w:tc>
        <w:tc>
          <w:tcPr>
            <w:tcW w:type="dxa" w:w="1728"/>
          </w:tcPr>
          <w:p>
            <w:r>
              <w:t>drift</w:t>
            </w:r>
          </w:p>
        </w:tc>
        <w:tc>
          <w:tcPr>
            <w:tcW w:type="dxa" w:w="1728"/>
          </w:tcPr>
          <w:p>
            <w:r>
              <w:t>0.0077</w:t>
            </w:r>
          </w:p>
        </w:tc>
        <w:tc>
          <w:tcPr>
            <w:tcW w:type="dxa" w:w="1728"/>
          </w:tcPr>
          <w:p>
            <w:r>
              <w:t>N/A</w:t>
            </w:r>
          </w:p>
        </w:tc>
        <w:tc>
          <w:tcPr>
            <w:tcW w:type="dxa" w:w="1728"/>
          </w:tcPr>
          <w:p>
            <w:r>
              <w:rPr>
                <w:b/>
                <w:color w:val="16A34A"/>
              </w:rPr>
              <w:t>OK</w:t>
            </w:r>
          </w:p>
        </w:tc>
      </w:tr>
      <w:tr>
        <w:tc>
          <w:tcPr>
            <w:tcW w:type="dxa" w:w="1728"/>
          </w:tcPr>
          <w:p>
            <w:r>
              <w:t>Feature CSI Drift</w:t>
            </w:r>
          </w:p>
        </w:tc>
        <w:tc>
          <w:tcPr>
            <w:tcW w:type="dxa" w:w="1728"/>
          </w:tcPr>
          <w:p>
            <w:r>
              <w:t>drift</w:t>
            </w:r>
          </w:p>
        </w:tc>
        <w:tc>
          <w:tcPr>
            <w:tcW w:type="dxa" w:w="1728"/>
          </w:tcPr>
          <w:p>
            <w:r>
              <w:t>0.0106</w:t>
            </w:r>
          </w:p>
        </w:tc>
        <w:tc>
          <w:tcPr>
            <w:tcW w:type="dxa" w:w="1728"/>
          </w:tcPr>
          <w:p>
            <w:r>
              <w:t>N/A</w:t>
            </w:r>
          </w:p>
        </w:tc>
        <w:tc>
          <w:tcPr>
            <w:tcW w:type="dxa" w:w="1728"/>
          </w:tcPr>
          <w:p>
            <w:r>
              <w:rPr>
                <w:b/>
                <w:color w:val="16A34A"/>
              </w:rPr>
              <w:t>OK</w:t>
            </w:r>
          </w:p>
        </w:tc>
      </w:tr>
      <w:tr>
        <w:tc>
          <w:tcPr>
            <w:tcW w:type="dxa" w:w="1728"/>
          </w:tcPr>
          <w:p>
            <w:r>
              <w:t>ROC AUC</w:t>
            </w:r>
          </w:p>
        </w:tc>
        <w:tc>
          <w:tcPr>
            <w:tcW w:type="dxa" w:w="1728"/>
          </w:tcPr>
          <w:p>
            <w:r>
              <w:t>performance</w:t>
            </w:r>
          </w:p>
        </w:tc>
        <w:tc>
          <w:tcPr>
            <w:tcW w:type="dxa" w:w="1728"/>
          </w:tcPr>
          <w:p>
            <w:r>
              <w:t>0.7948</w:t>
            </w:r>
          </w:p>
        </w:tc>
        <w:tc>
          <w:tcPr>
            <w:tcW w:type="dxa" w:w="1728"/>
          </w:tcPr>
          <w:p>
            <w:r>
              <w:t>N/A</w:t>
            </w:r>
          </w:p>
        </w:tc>
        <w:tc>
          <w:tcPr>
            <w:tcW w:type="dxa" w:w="1728"/>
          </w:tcPr>
          <w:p>
            <w:r>
              <w:rPr>
                <w:b/>
                <w:color w:val="16A34A"/>
              </w:rPr>
              <w:t>OK</w:t>
            </w:r>
          </w:p>
        </w:tc>
      </w:tr>
      <w:tr>
        <w:tc>
          <w:tcPr>
            <w:tcW w:type="dxa" w:w="1728"/>
          </w:tcPr>
          <w:p>
            <w:r>
              <w:t>Gini Coefficient</w:t>
            </w:r>
          </w:p>
        </w:tc>
        <w:tc>
          <w:tcPr>
            <w:tcW w:type="dxa" w:w="1728"/>
          </w:tcPr>
          <w:p>
            <w:r>
              <w:t>performance</w:t>
            </w:r>
          </w:p>
        </w:tc>
        <w:tc>
          <w:tcPr>
            <w:tcW w:type="dxa" w:w="1728"/>
          </w:tcPr>
          <w:p>
            <w:r>
              <w:t>0.5897</w:t>
            </w:r>
          </w:p>
        </w:tc>
        <w:tc>
          <w:tcPr>
            <w:tcW w:type="dxa" w:w="1728"/>
          </w:tcPr>
          <w:p>
            <w:r>
              <w:t>N/A</w:t>
            </w:r>
          </w:p>
        </w:tc>
        <w:tc>
          <w:tcPr>
            <w:tcW w:type="dxa" w:w="1728"/>
          </w:tcPr>
          <w:p>
            <w:r>
              <w:rPr>
                <w:b/>
                <w:color w:val="16A34A"/>
              </w:rPr>
              <w:t>OK</w:t>
            </w:r>
          </w:p>
        </w:tc>
      </w:tr>
      <w:tr>
        <w:tc>
          <w:tcPr>
            <w:tcW w:type="dxa" w:w="1728"/>
          </w:tcPr>
          <w:p>
            <w:r>
              <w:t>KS Statistic</w:t>
            </w:r>
          </w:p>
        </w:tc>
        <w:tc>
          <w:tcPr>
            <w:tcW w:type="dxa" w:w="1728"/>
          </w:tcPr>
          <w:p>
            <w:r>
              <w:t>performance</w:t>
            </w:r>
          </w:p>
        </w:tc>
        <w:tc>
          <w:tcPr>
            <w:tcW w:type="dxa" w:w="1728"/>
          </w:tcPr>
          <w:p>
            <w:r>
              <w:t>0.4664</w:t>
            </w:r>
          </w:p>
        </w:tc>
        <w:tc>
          <w:tcPr>
            <w:tcW w:type="dxa" w:w="1728"/>
          </w:tcPr>
          <w:p>
            <w:r>
              <w:t>N/A</w:t>
            </w:r>
          </w:p>
        </w:tc>
        <w:tc>
          <w:tcPr>
            <w:tcW w:type="dxa" w:w="1728"/>
          </w:tcPr>
          <w:p>
            <w:r>
              <w:rPr>
                <w:b/>
                <w:color w:val="16A34A"/>
              </w:rPr>
              <w:t>OK</w:t>
            </w:r>
          </w:p>
        </w:tc>
      </w:tr>
      <w:tr>
        <w:tc>
          <w:tcPr>
            <w:tcW w:type="dxa" w:w="1728"/>
          </w:tcPr>
          <w:p>
            <w:r>
              <w:t>Decile Table</w:t>
            </w:r>
          </w:p>
        </w:tc>
        <w:tc>
          <w:tcPr>
            <w:tcW w:type="dxa" w:w="1728"/>
          </w:tcPr>
          <w:p>
            <w:r>
              <w:t>performance</w:t>
            </w:r>
          </w:p>
        </w:tc>
        <w:tc>
          <w:tcPr>
            <w:tcW w:type="dxa" w:w="1728"/>
          </w:tcPr>
          <w:p>
            <w:r>
              <w:t>N/A</w:t>
            </w:r>
          </w:p>
        </w:tc>
        <w:tc>
          <w:tcPr>
            <w:tcW w:type="dxa" w:w="1728"/>
          </w:tcPr>
          <w:p>
            <w:r>
              <w:t>N/A</w:t>
            </w:r>
          </w:p>
        </w:tc>
        <w:tc>
          <w:tcPr>
            <w:tcW w:type="dxa" w:w="1728"/>
          </w:tcPr>
          <w:p>
            <w:r>
              <w:rPr>
                <w:b/>
                <w:color w:val="16A34A"/>
              </w:rPr>
              <w:t>OK</w:t>
            </w:r>
          </w:p>
        </w:tc>
      </w:tr>
      <w:tr>
        <w:tc>
          <w:tcPr>
            <w:tcW w:type="dxa" w:w="1728"/>
          </w:tcPr>
          <w:p>
            <w:r>
              <w:t>Score Distribution Analysis</w:t>
            </w:r>
          </w:p>
        </w:tc>
        <w:tc>
          <w:tcPr>
            <w:tcW w:type="dxa" w:w="1728"/>
          </w:tcPr>
          <w:p>
            <w:r>
              <w:t>performance</w:t>
            </w:r>
          </w:p>
        </w:tc>
        <w:tc>
          <w:tcPr>
            <w:tcW w:type="dxa" w:w="1728"/>
          </w:tcPr>
          <w:p>
            <w:r>
              <w:t>N/A</w:t>
            </w:r>
          </w:p>
        </w:tc>
        <w:tc>
          <w:tcPr>
            <w:tcW w:type="dxa" w:w="1728"/>
          </w:tcPr>
          <w:p>
            <w:r>
              <w:t>N/A</w:t>
            </w:r>
          </w:p>
        </w:tc>
        <w:tc>
          <w:tcPr>
            <w:tcW w:type="dxa" w:w="1728"/>
          </w:tcPr>
          <w:p>
            <w:r>
              <w:rPr>
                <w:b/>
                <w:color w:val="16A34A"/>
              </w:rPr>
              <w:t>OK</w:t>
            </w:r>
          </w:p>
        </w:tc>
      </w:tr>
    </w:tbl>
    <w:p>
      <w:pPr>
        <w:pStyle w:val="Heading1"/>
      </w:pPr>
      <w:r>
        <w:t>Statistical Tests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Name</w:t>
            </w:r>
          </w:p>
        </w:tc>
        <w:tc>
          <w:tcPr>
            <w:tcW w:type="dxa" w:w="1728"/>
          </w:tcPr>
          <w:p>
            <w:r>
              <w:rPr>
                <w:b/>
              </w:rPr>
              <w:t>Statistic</w:t>
            </w:r>
          </w:p>
        </w:tc>
        <w:tc>
          <w:tcPr>
            <w:tcW w:type="dxa" w:w="1728"/>
          </w:tcPr>
          <w:p>
            <w:r>
              <w:rPr>
                <w:b/>
              </w:rPr>
              <w:t>P-Value</w:t>
            </w:r>
          </w:p>
        </w:tc>
        <w:tc>
          <w:tcPr>
            <w:tcW w:type="dxa" w:w="1728"/>
          </w:tcPr>
          <w:p>
            <w:r>
              <w:rPr>
                <w:b/>
              </w:rPr>
              <w:t>Conclusion</w:t>
            </w:r>
          </w:p>
        </w:tc>
        <w:tc>
          <w:tcPr>
            <w:tcW w:type="dxa" w:w="1728"/>
          </w:tcPr>
          <w:p>
            <w:r>
              <w:rPr>
                <w:b/>
              </w:rPr>
              <w:t>Status</w:t>
            </w:r>
          </w:p>
        </w:tc>
      </w:tr>
      <w:tr>
        <w:tc>
          <w:tcPr>
            <w:tcW w:type="dxa" w:w="1728"/>
          </w:tcPr>
          <w:p>
            <w:r>
              <w:t>Hosmer-Lemeshow Test</w:t>
            </w:r>
          </w:p>
        </w:tc>
        <w:tc>
          <w:tcPr>
            <w:tcW w:type="dxa" w:w="1728"/>
          </w:tcPr>
          <w:p>
            <w:r>
              <w:t>24.1281</w:t>
            </w:r>
          </w:p>
        </w:tc>
        <w:tc>
          <w:tcPr>
            <w:tcW w:type="dxa" w:w="1728"/>
          </w:tcPr>
          <w:p>
            <w:r>
              <w:t>0.0044</w:t>
            </w:r>
          </w:p>
        </w:tc>
        <w:tc>
          <w:tcPr>
            <w:tcW w:type="dxa" w:w="1728"/>
          </w:tcPr>
          <w:p>
            <w:r>
              <w:t>Reject H₀ — distributions differ</w:t>
            </w:r>
          </w:p>
        </w:tc>
        <w:tc>
          <w:tcPr>
            <w:tcW w:type="dxa" w:w="1728"/>
          </w:tcPr>
          <w:p>
            <w:r/>
          </w:p>
        </w:tc>
      </w:tr>
      <w:tr>
        <w:tc>
          <w:tcPr>
            <w:tcW w:type="dxa" w:w="1728"/>
          </w:tcPr>
          <w:p>
            <w:r>
              <w:t>Binomial Test: Band 700-800</w:t>
            </w:r>
          </w:p>
        </w:tc>
        <w:tc>
          <w:tcPr>
            <w:tcW w:type="dxa" w:w="1728"/>
          </w:tcPr>
          <w:p>
            <w:r>
              <w:t>4.0000</w:t>
            </w:r>
          </w:p>
        </w:tc>
        <w:tc>
          <w:tcPr>
            <w:tcW w:type="dxa" w:w="1728"/>
          </w:tcPr>
          <w:p>
            <w:r>
              <w:t>1.0000</w:t>
            </w:r>
          </w:p>
        </w:tc>
        <w:tc>
          <w:tcPr>
            <w:tcW w:type="dxa" w:w="1728"/>
          </w:tcPr>
          <w:p>
            <w:r>
              <w:t>Fail to reject H₀ — distributions are similar</w:t>
            </w:r>
          </w:p>
        </w:tc>
        <w:tc>
          <w:tcPr>
            <w:tcW w:type="dxa" w:w="1728"/>
          </w:tcPr>
          <w:p>
            <w:r/>
          </w:p>
        </w:tc>
      </w:tr>
      <w:tr>
        <w:tc>
          <w:tcPr>
            <w:tcW w:type="dxa" w:w="1728"/>
          </w:tcPr>
          <w:p>
            <w:r>
              <w:t>Binomial Test: Band 600-700</w:t>
            </w:r>
          </w:p>
        </w:tc>
        <w:tc>
          <w:tcPr>
            <w:tcW w:type="dxa" w:w="1728"/>
          </w:tcPr>
          <w:p>
            <w:r>
              <w:t>147.0000</w:t>
            </w:r>
          </w:p>
        </w:tc>
        <w:tc>
          <w:tcPr>
            <w:tcW w:type="dxa" w:w="1728"/>
          </w:tcPr>
          <w:p>
            <w:r>
              <w:t>1.0000</w:t>
            </w:r>
          </w:p>
        </w:tc>
        <w:tc>
          <w:tcPr>
            <w:tcW w:type="dxa" w:w="1728"/>
          </w:tcPr>
          <w:p>
            <w:r>
              <w:t>Fail to reject H₀ — distributions are similar</w:t>
            </w:r>
          </w:p>
        </w:tc>
        <w:tc>
          <w:tcPr>
            <w:tcW w:type="dxa" w:w="1728"/>
          </w:tcPr>
          <w:p>
            <w:r/>
          </w:p>
        </w:tc>
      </w:tr>
      <w:tr>
        <w:tc>
          <w:tcPr>
            <w:tcW w:type="dxa" w:w="1728"/>
          </w:tcPr>
          <w:p>
            <w:r>
              <w:t>Binomial Test: Band &lt;600</w:t>
            </w:r>
          </w:p>
        </w:tc>
        <w:tc>
          <w:tcPr>
            <w:tcW w:type="dxa" w:w="1728"/>
          </w:tcPr>
          <w:p>
            <w:r>
              <w:t>111.0000</w:t>
            </w:r>
          </w:p>
        </w:tc>
        <w:tc>
          <w:tcPr>
            <w:tcW w:type="dxa" w:w="1728"/>
          </w:tcPr>
          <w:p>
            <w:r>
              <w:t>0.0000</w:t>
            </w:r>
          </w:p>
        </w:tc>
        <w:tc>
          <w:tcPr>
            <w:tcW w:type="dxa" w:w="1728"/>
          </w:tcPr>
          <w:p>
            <w:r>
              <w:t>Reject H₀ — distributions differ</w:t>
            </w:r>
          </w:p>
        </w:tc>
        <w:tc>
          <w:tcPr>
            <w:tcW w:type="dxa" w:w="1728"/>
          </w:tcPr>
          <w:p>
            <w:r/>
          </w:p>
        </w:tc>
      </w:tr>
      <w:tr>
        <w:tc>
          <w:tcPr>
            <w:tcW w:type="dxa" w:w="1728"/>
          </w:tcPr>
          <w:p>
            <w:r>
              <w:t>Fisher Exact Test: Band 800+</w:t>
            </w:r>
          </w:p>
        </w:tc>
        <w:tc>
          <w:tcPr>
            <w:tcW w:type="dxa" w:w="1728"/>
          </w:tcPr>
          <w:p>
            <w:r>
              <w:t>0.0000</w:t>
            </w:r>
          </w:p>
        </w:tc>
        <w:tc>
          <w:tcPr>
            <w:tcW w:type="dxa" w:w="1728"/>
          </w:tcPr>
          <w:p>
            <w:r>
              <w:t>1.0000</w:t>
            </w:r>
          </w:p>
        </w:tc>
        <w:tc>
          <w:tcPr>
            <w:tcW w:type="dxa" w:w="1728"/>
          </w:tcPr>
          <w:p>
            <w:r>
              <w:t>Fail to reject H₀ — distributions are similar</w:t>
            </w:r>
          </w:p>
        </w:tc>
        <w:tc>
          <w:tcPr>
            <w:tcW w:type="dxa" w:w="1728"/>
          </w:tcPr>
          <w:p>
            <w:r/>
          </w:p>
        </w:tc>
      </w:tr>
      <w:tr>
        <w:tc>
          <w:tcPr>
            <w:tcW w:type="dxa" w:w="1728"/>
          </w:tcPr>
          <w:p>
            <w:r>
              <w:t>Mann-Whitney U: Approved vs Declined Scores</w:t>
            </w:r>
          </w:p>
        </w:tc>
        <w:tc>
          <w:tcPr>
            <w:tcW w:type="dxa" w:w="1728"/>
          </w:tcPr>
          <w:p>
            <w:r>
              <w:t>854216.0000</w:t>
            </w:r>
          </w:p>
        </w:tc>
        <w:tc>
          <w:tcPr>
            <w:tcW w:type="dxa" w:w="1728"/>
          </w:tcPr>
          <w:p>
            <w:r>
              <w:t>0.0000</w:t>
            </w:r>
          </w:p>
        </w:tc>
        <w:tc>
          <w:tcPr>
            <w:tcW w:type="dxa" w:w="1728"/>
          </w:tcPr>
          <w:p>
            <w:r>
              <w:t>Reject H₀ — distributions differ</w:t>
            </w:r>
          </w:p>
        </w:tc>
        <w:tc>
          <w:tcPr>
            <w:tcW w:type="dxa" w:w="1728"/>
          </w:tcPr>
          <w:p>
            <w:r/>
          </w:p>
        </w:tc>
      </w:tr>
    </w:tbl>
    <w:p>
      <w:pPr>
        <w:pStyle w:val="Heading1"/>
      </w:pPr>
      <w:r>
        <w:t>Fairness Analysis (Disparate Impact)</w:t>
      </w:r>
    </w:p>
    <w:p>
      <w:r>
        <w:t>Summary: No direct adverse impact detected.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Protected Group</w:t>
            </w:r>
          </w:p>
        </w:tc>
        <w:tc>
          <w:tcPr>
            <w:tcW w:type="dxa" w:w="1440"/>
          </w:tcPr>
          <w:p>
            <w:r>
              <w:rPr>
                <w:b/>
              </w:rPr>
              <w:t>Value</w:t>
            </w:r>
          </w:p>
        </w:tc>
        <w:tc>
          <w:tcPr>
            <w:tcW w:type="dxa" w:w="1440"/>
          </w:tcPr>
          <w:p>
            <w:r>
              <w:rPr>
                <w:b/>
              </w:rPr>
              <w:t>N</w:t>
            </w:r>
          </w:p>
        </w:tc>
        <w:tc>
          <w:tcPr>
            <w:tcW w:type="dxa" w:w="1440"/>
          </w:tcPr>
          <w:p>
            <w:r>
              <w:rPr>
                <w:b/>
              </w:rPr>
              <w:t>Approval Rate</w:t>
            </w:r>
          </w:p>
        </w:tc>
        <w:tc>
          <w:tcPr>
            <w:tcW w:type="dxa" w:w="1440"/>
          </w:tcPr>
          <w:p>
            <w:r>
              <w:rPr>
                <w:b/>
              </w:rPr>
              <w:t>DI Ratio</w:t>
            </w:r>
          </w:p>
        </w:tc>
        <w:tc>
          <w:tcPr>
            <w:tcW w:type="dxa" w:w="1440"/>
          </w:tcPr>
          <w:p>
            <w:r>
              <w:rPr>
                <w:b/>
              </w:rPr>
              <w:t>Status</w:t>
            </w:r>
          </w:p>
        </w:tc>
      </w:tr>
      <w:tr>
        <w:tc>
          <w:tcPr>
            <w:tcW w:type="dxa" w:w="1440"/>
          </w:tcPr>
          <w:p>
            <w:r>
              <w:t>income_band</w:t>
            </w:r>
          </w:p>
        </w:tc>
        <w:tc>
          <w:tcPr>
            <w:tcW w:type="dxa" w:w="1440"/>
          </w:tcPr>
          <w:p>
            <w:r>
              <w:t>&lt;50K</w:t>
            </w:r>
          </w:p>
        </w:tc>
        <w:tc>
          <w:tcPr>
            <w:tcW w:type="dxa" w:w="1440"/>
          </w:tcPr>
          <w:p>
            <w:r>
              <w:t>773</w:t>
            </w:r>
          </w:p>
        </w:tc>
        <w:tc>
          <w:tcPr>
            <w:tcW w:type="dxa" w:w="1440"/>
          </w:tcPr>
          <w:p>
            <w:r>
              <w:t>77.0%</w:t>
            </w:r>
          </w:p>
        </w:tc>
        <w:tc>
          <w:tcPr>
            <w:tcW w:type="dxa" w:w="1440"/>
          </w:tcPr>
          <w:p>
            <w:r>
              <w:t>0.97</w:t>
            </w:r>
          </w:p>
        </w:tc>
        <w:tc>
          <w:tcPr>
            <w:tcW w:type="dxa" w:w="1440"/>
          </w:tcPr>
          <w:p>
            <w:r>
              <w:rPr>
                <w:b/>
                <w:color w:val="16A34A"/>
              </w:rPr>
              <w:t>OK</w:t>
            </w:r>
          </w:p>
        </w:tc>
      </w:tr>
      <w:tr>
        <w:tc>
          <w:tcPr>
            <w:tcW w:type="dxa" w:w="1440"/>
          </w:tcPr>
          <w:p>
            <w:r>
              <w:t>loan_purpose</w:t>
            </w:r>
          </w:p>
        </w:tc>
        <w:tc>
          <w:tcPr>
            <w:tcW w:type="dxa" w:w="1440"/>
          </w:tcPr>
          <w:p>
            <w:r>
              <w:t>other</w:t>
            </w:r>
          </w:p>
        </w:tc>
        <w:tc>
          <w:tcPr>
            <w:tcW w:type="dxa" w:w="1440"/>
          </w:tcPr>
          <w:p>
            <w:r>
              <w:t>359</w:t>
            </w:r>
          </w:p>
        </w:tc>
        <w:tc>
          <w:tcPr>
            <w:tcW w:type="dxa" w:w="1440"/>
          </w:tcPr>
          <w:p>
            <w:r>
              <w:t>77.2%</w:t>
            </w:r>
          </w:p>
        </w:tc>
        <w:tc>
          <w:tcPr>
            <w:tcW w:type="dxa" w:w="1440"/>
          </w:tcPr>
          <w:p>
            <w:r>
              <w:t>0.97</w:t>
            </w:r>
          </w:p>
        </w:tc>
        <w:tc>
          <w:tcPr>
            <w:tcW w:type="dxa" w:w="1440"/>
          </w:tcPr>
          <w:p>
            <w:r>
              <w:rPr>
                <w:b/>
                <w:color w:val="16A34A"/>
              </w:rPr>
              <w:t>OK</w:t>
            </w:r>
          </w:p>
        </w:tc>
      </w:tr>
      <w:tr>
        <w:tc>
          <w:tcPr>
            <w:tcW w:type="dxa" w:w="1440"/>
          </w:tcPr>
          <w:p>
            <w:r>
              <w:t>home_ownership</w:t>
            </w:r>
          </w:p>
        </w:tc>
        <w:tc>
          <w:tcPr>
            <w:tcW w:type="dxa" w:w="1440"/>
          </w:tcPr>
          <w:p>
            <w:r>
              <w:t>OWN</w:t>
            </w:r>
          </w:p>
        </w:tc>
        <w:tc>
          <w:tcPr>
            <w:tcW w:type="dxa" w:w="1440"/>
          </w:tcPr>
          <w:p>
            <w:r>
              <w:t>294</w:t>
            </w:r>
          </w:p>
        </w:tc>
        <w:tc>
          <w:tcPr>
            <w:tcW w:type="dxa" w:w="1440"/>
          </w:tcPr>
          <w:p>
            <w:r>
              <w:t>77.5%</w:t>
            </w:r>
          </w:p>
        </w:tc>
        <w:tc>
          <w:tcPr>
            <w:tcW w:type="dxa" w:w="1440"/>
          </w:tcPr>
          <w:p>
            <w:r>
              <w:t>0.98</w:t>
            </w:r>
          </w:p>
        </w:tc>
        <w:tc>
          <w:tcPr>
            <w:tcW w:type="dxa" w:w="1440"/>
          </w:tcPr>
          <w:p>
            <w:r>
              <w:rPr>
                <w:b/>
                <w:color w:val="16A34A"/>
              </w:rPr>
              <w:t>OK</w:t>
            </w:r>
          </w:p>
        </w:tc>
      </w:tr>
      <w:tr>
        <w:tc>
          <w:tcPr>
            <w:tcW w:type="dxa" w:w="1440"/>
          </w:tcPr>
          <w:p>
            <w:r>
              <w:t>loan_purpose</w:t>
            </w:r>
          </w:p>
        </w:tc>
        <w:tc>
          <w:tcPr>
            <w:tcW w:type="dxa" w:w="1440"/>
          </w:tcPr>
          <w:p>
            <w:r>
              <w:t>debt_consolidation</w:t>
            </w:r>
          </w:p>
        </w:tc>
        <w:tc>
          <w:tcPr>
            <w:tcW w:type="dxa" w:w="1440"/>
          </w:tcPr>
          <w:p>
            <w:r>
              <w:t>683</w:t>
            </w:r>
          </w:p>
        </w:tc>
        <w:tc>
          <w:tcPr>
            <w:tcW w:type="dxa" w:w="1440"/>
          </w:tcPr>
          <w:p>
            <w:r>
              <w:t>78.2%</w:t>
            </w:r>
          </w:p>
        </w:tc>
        <w:tc>
          <w:tcPr>
            <w:tcW w:type="dxa" w:w="1440"/>
          </w:tcPr>
          <w:p>
            <w:r>
              <w:t>0.99</w:t>
            </w:r>
          </w:p>
        </w:tc>
        <w:tc>
          <w:tcPr>
            <w:tcW w:type="dxa" w:w="1440"/>
          </w:tcPr>
          <w:p>
            <w:r>
              <w:rPr>
                <w:b/>
                <w:color w:val="16A34A"/>
              </w:rPr>
              <w:t>OK</w:t>
            </w:r>
          </w:p>
        </w:tc>
      </w:tr>
      <w:tr>
        <w:tc>
          <w:tcPr>
            <w:tcW w:type="dxa" w:w="1440"/>
          </w:tcPr>
          <w:p>
            <w:r>
              <w:t>income_band</w:t>
            </w:r>
          </w:p>
        </w:tc>
        <w:tc>
          <w:tcPr>
            <w:tcW w:type="dxa" w:w="1440"/>
          </w:tcPr>
          <w:p>
            <w:r>
              <w:t>50-75K</w:t>
            </w:r>
          </w:p>
        </w:tc>
        <w:tc>
          <w:tcPr>
            <w:tcW w:type="dxa" w:w="1440"/>
          </w:tcPr>
          <w:p>
            <w:r>
              <w:t>878</w:t>
            </w:r>
          </w:p>
        </w:tc>
        <w:tc>
          <w:tcPr>
            <w:tcW w:type="dxa" w:w="1440"/>
          </w:tcPr>
          <w:p>
            <w:r>
              <w:t>78.6%</w:t>
            </w:r>
          </w:p>
        </w:tc>
        <w:tc>
          <w:tcPr>
            <w:tcW w:type="dxa" w:w="1440"/>
          </w:tcPr>
          <w:p>
            <w:r>
              <w:t>0.99</w:t>
            </w:r>
          </w:p>
        </w:tc>
        <w:tc>
          <w:tcPr>
            <w:tcW w:type="dxa" w:w="1440"/>
          </w:tcPr>
          <w:p>
            <w:r>
              <w:rPr>
                <w:b/>
                <w:color w:val="16A34A"/>
              </w:rPr>
              <w:t>OK</w:t>
            </w:r>
          </w:p>
        </w:tc>
      </w:tr>
      <w:tr>
        <w:tc>
          <w:tcPr>
            <w:tcW w:type="dxa" w:w="1440"/>
          </w:tcPr>
          <w:p>
            <w:r>
              <w:t>home_ownership</w:t>
            </w:r>
          </w:p>
        </w:tc>
        <w:tc>
          <w:tcPr>
            <w:tcW w:type="dxa" w:w="1440"/>
          </w:tcPr>
          <w:p>
            <w:r>
              <w:t>OTHER</w:t>
            </w:r>
          </w:p>
        </w:tc>
        <w:tc>
          <w:tcPr>
            <w:tcW w:type="dxa" w:w="1440"/>
          </w:tcPr>
          <w:p>
            <w:r>
              <w:t>141</w:t>
            </w:r>
          </w:p>
        </w:tc>
        <w:tc>
          <w:tcPr>
            <w:tcW w:type="dxa" w:w="1440"/>
          </w:tcPr>
          <w:p>
            <w:r>
              <w:t>78.7%</w:t>
            </w:r>
          </w:p>
        </w:tc>
        <w:tc>
          <w:tcPr>
            <w:tcW w:type="dxa" w:w="1440"/>
          </w:tcPr>
          <w:p>
            <w:r>
              <w:t>0.99</w:t>
            </w:r>
          </w:p>
        </w:tc>
        <w:tc>
          <w:tcPr>
            <w:tcW w:type="dxa" w:w="1440"/>
          </w:tcPr>
          <w:p>
            <w:r>
              <w:rPr>
                <w:b/>
                <w:color w:val="16A34A"/>
              </w:rPr>
              <w:t>OK</w:t>
            </w:r>
          </w:p>
        </w:tc>
      </w:tr>
      <w:tr>
        <w:tc>
          <w:tcPr>
            <w:tcW w:type="dxa" w:w="1440"/>
          </w:tcPr>
          <w:p>
            <w:r>
              <w:t>home_ownership</w:t>
            </w:r>
          </w:p>
        </w:tc>
        <w:tc>
          <w:tcPr>
            <w:tcW w:type="dxa" w:w="1440"/>
          </w:tcPr>
          <w:p>
            <w:r>
              <w:t>MORTGAGE</w:t>
            </w:r>
          </w:p>
        </w:tc>
        <w:tc>
          <w:tcPr>
            <w:tcW w:type="dxa" w:w="1440"/>
          </w:tcPr>
          <w:p>
            <w:r>
              <w:t>973</w:t>
            </w:r>
          </w:p>
        </w:tc>
        <w:tc>
          <w:tcPr>
            <w:tcW w:type="dxa" w:w="1440"/>
          </w:tcPr>
          <w:p>
            <w:r>
              <w:t>78.9%</w:t>
            </w:r>
          </w:p>
        </w:tc>
        <w:tc>
          <w:tcPr>
            <w:tcW w:type="dxa" w:w="1440"/>
          </w:tcPr>
          <w:p>
            <w:r>
              <w:t>1.00</w:t>
            </w:r>
          </w:p>
        </w:tc>
        <w:tc>
          <w:tcPr>
            <w:tcW w:type="dxa" w:w="1440"/>
          </w:tcPr>
          <w:p>
            <w:r>
              <w:rPr>
                <w:b/>
                <w:color w:val="16A34A"/>
              </w:rPr>
              <w:t>OK</w:t>
            </w:r>
          </w:p>
        </w:tc>
      </w:tr>
      <w:tr>
        <w:tc>
          <w:tcPr>
            <w:tcW w:type="dxa" w:w="1440"/>
          </w:tcPr>
          <w:p>
            <w:r>
              <w:t>loan_purpose</w:t>
            </w:r>
          </w:p>
        </w:tc>
        <w:tc>
          <w:tcPr>
            <w:tcW w:type="dxa" w:w="1440"/>
          </w:tcPr>
          <w:p>
            <w:r>
              <w:t>home_improvement</w:t>
            </w:r>
          </w:p>
        </w:tc>
        <w:tc>
          <w:tcPr>
            <w:tcW w:type="dxa" w:w="1440"/>
          </w:tcPr>
          <w:p>
            <w:r>
              <w:t>447</w:t>
            </w:r>
          </w:p>
        </w:tc>
        <w:tc>
          <w:tcPr>
            <w:tcW w:type="dxa" w:w="1440"/>
          </w:tcPr>
          <w:p>
            <w:r>
              <w:t>79.6%</w:t>
            </w:r>
          </w:p>
        </w:tc>
        <w:tc>
          <w:tcPr>
            <w:tcW w:type="dxa" w:w="1440"/>
          </w:tcPr>
          <w:p>
            <w:r>
              <w:t>1.01</w:t>
            </w:r>
          </w:p>
        </w:tc>
        <w:tc>
          <w:tcPr>
            <w:tcW w:type="dxa" w:w="1440"/>
          </w:tcPr>
          <w:p>
            <w:r>
              <w:rPr>
                <w:b/>
                <w:color w:val="16A34A"/>
              </w:rPr>
              <w:t>OK</w:t>
            </w:r>
          </w:p>
        </w:tc>
      </w:tr>
      <w:tr>
        <w:tc>
          <w:tcPr>
            <w:tcW w:type="dxa" w:w="1440"/>
          </w:tcPr>
          <w:p>
            <w:r>
              <w:t>home_ownership</w:t>
            </w:r>
          </w:p>
        </w:tc>
        <w:tc>
          <w:tcPr>
            <w:tcW w:type="dxa" w:w="1440"/>
          </w:tcPr>
          <w:p>
            <w:r>
              <w:t>RENT</w:t>
            </w:r>
          </w:p>
        </w:tc>
        <w:tc>
          <w:tcPr>
            <w:tcW w:type="dxa" w:w="1440"/>
          </w:tcPr>
          <w:p>
            <w:r>
              <w:t>1092</w:t>
            </w:r>
          </w:p>
        </w:tc>
        <w:tc>
          <w:tcPr>
            <w:tcW w:type="dxa" w:w="1440"/>
          </w:tcPr>
          <w:p>
            <w:r>
              <w:t>80.0%</w:t>
            </w:r>
          </w:p>
        </w:tc>
        <w:tc>
          <w:tcPr>
            <w:tcW w:type="dxa" w:w="1440"/>
          </w:tcPr>
          <w:p>
            <w:r>
              <w:t>1.01</w:t>
            </w:r>
          </w:p>
        </w:tc>
        <w:tc>
          <w:tcPr>
            <w:tcW w:type="dxa" w:w="1440"/>
          </w:tcPr>
          <w:p>
            <w:r>
              <w:rPr>
                <w:b/>
                <w:color w:val="16A34A"/>
              </w:rPr>
              <w:t>OK</w:t>
            </w:r>
          </w:p>
        </w:tc>
      </w:tr>
      <w:tr>
        <w:tc>
          <w:tcPr>
            <w:tcW w:type="dxa" w:w="1440"/>
          </w:tcPr>
          <w:p>
            <w:r>
              <w:t>loan_purpose</w:t>
            </w:r>
          </w:p>
        </w:tc>
        <w:tc>
          <w:tcPr>
            <w:tcW w:type="dxa" w:w="1440"/>
          </w:tcPr>
          <w:p>
            <w:r>
              <w:t>major_purchase</w:t>
            </w:r>
          </w:p>
        </w:tc>
        <w:tc>
          <w:tcPr>
            <w:tcW w:type="dxa" w:w="1440"/>
          </w:tcPr>
          <w:p>
            <w:r>
              <w:t>470</w:t>
            </w:r>
          </w:p>
        </w:tc>
        <w:tc>
          <w:tcPr>
            <w:tcW w:type="dxa" w:w="1440"/>
          </w:tcPr>
          <w:p>
            <w:r>
              <w:t>80.2%</w:t>
            </w:r>
          </w:p>
        </w:tc>
        <w:tc>
          <w:tcPr>
            <w:tcW w:type="dxa" w:w="1440"/>
          </w:tcPr>
          <w:p>
            <w:r>
              <w:t>1.01</w:t>
            </w:r>
          </w:p>
        </w:tc>
        <w:tc>
          <w:tcPr>
            <w:tcW w:type="dxa" w:w="1440"/>
          </w:tcPr>
          <w:p>
            <w:r>
              <w:rPr>
                <w:b/>
                <w:color w:val="16A34A"/>
              </w:rPr>
              <w:t>OK</w:t>
            </w:r>
          </w:p>
        </w:tc>
      </w:tr>
      <w:tr>
        <w:tc>
          <w:tcPr>
            <w:tcW w:type="dxa" w:w="1440"/>
          </w:tcPr>
          <w:p>
            <w:r>
              <w:t>loan_purpose</w:t>
            </w:r>
          </w:p>
        </w:tc>
        <w:tc>
          <w:tcPr>
            <w:tcW w:type="dxa" w:w="1440"/>
          </w:tcPr>
          <w:p>
            <w:r>
              <w:t>credit_card</w:t>
            </w:r>
          </w:p>
        </w:tc>
        <w:tc>
          <w:tcPr>
            <w:tcW w:type="dxa" w:w="1440"/>
          </w:tcPr>
          <w:p>
            <w:r>
              <w:t>541</w:t>
            </w:r>
          </w:p>
        </w:tc>
        <w:tc>
          <w:tcPr>
            <w:tcW w:type="dxa" w:w="1440"/>
          </w:tcPr>
          <w:p>
            <w:r>
              <w:t>80.6%</w:t>
            </w:r>
          </w:p>
        </w:tc>
        <w:tc>
          <w:tcPr>
            <w:tcW w:type="dxa" w:w="1440"/>
          </w:tcPr>
          <w:p>
            <w:r>
              <w:t>1.02</w:t>
            </w:r>
          </w:p>
        </w:tc>
        <w:tc>
          <w:tcPr>
            <w:tcW w:type="dxa" w:w="1440"/>
          </w:tcPr>
          <w:p>
            <w:r>
              <w:rPr>
                <w:b/>
                <w:color w:val="16A34A"/>
              </w:rPr>
              <w:t>OK</w:t>
            </w:r>
          </w:p>
        </w:tc>
      </w:tr>
      <w:tr>
        <w:tc>
          <w:tcPr>
            <w:tcW w:type="dxa" w:w="1440"/>
          </w:tcPr>
          <w:p>
            <w:r>
              <w:t>income_band</w:t>
            </w:r>
          </w:p>
        </w:tc>
        <w:tc>
          <w:tcPr>
            <w:tcW w:type="dxa" w:w="1440"/>
          </w:tcPr>
          <w:p>
            <w:r>
              <w:t>75-100K</w:t>
            </w:r>
          </w:p>
        </w:tc>
        <w:tc>
          <w:tcPr>
            <w:tcW w:type="dxa" w:w="1440"/>
          </w:tcPr>
          <w:p>
            <w:r>
              <w:t>482</w:t>
            </w:r>
          </w:p>
        </w:tc>
        <w:tc>
          <w:tcPr>
            <w:tcW w:type="dxa" w:w="1440"/>
          </w:tcPr>
          <w:p>
            <w:r>
              <w:t>81.3%</w:t>
            </w:r>
          </w:p>
        </w:tc>
        <w:tc>
          <w:tcPr>
            <w:tcW w:type="dxa" w:w="1440"/>
          </w:tcPr>
          <w:p>
            <w:r>
              <w:t>1.03</w:t>
            </w:r>
          </w:p>
        </w:tc>
        <w:tc>
          <w:tcPr>
            <w:tcW w:type="dxa" w:w="1440"/>
          </w:tcPr>
          <w:p>
            <w:r>
              <w:rPr>
                <w:b/>
                <w:color w:val="16A34A"/>
              </w:rPr>
              <w:t>OK</w:t>
            </w:r>
          </w:p>
        </w:tc>
      </w:tr>
      <w:tr>
        <w:tc>
          <w:tcPr>
            <w:tcW w:type="dxa" w:w="1440"/>
          </w:tcPr>
          <w:p>
            <w:r>
              <w:t>income_band</w:t>
            </w:r>
          </w:p>
        </w:tc>
        <w:tc>
          <w:tcPr>
            <w:tcW w:type="dxa" w:w="1440"/>
          </w:tcPr>
          <w:p>
            <w:r>
              <w:t>100K+</w:t>
            </w:r>
          </w:p>
        </w:tc>
        <w:tc>
          <w:tcPr>
            <w:tcW w:type="dxa" w:w="1440"/>
          </w:tcPr>
          <w:p>
            <w:r>
              <w:t>367</w:t>
            </w:r>
          </w:p>
        </w:tc>
        <w:tc>
          <w:tcPr>
            <w:tcW w:type="dxa" w:w="1440"/>
          </w:tcPr>
          <w:p>
            <w:r>
              <w:t>82.6%</w:t>
            </w:r>
          </w:p>
        </w:tc>
        <w:tc>
          <w:tcPr>
            <w:tcW w:type="dxa" w:w="1440"/>
          </w:tcPr>
          <w:p>
            <w:r>
              <w:t>1.04</w:t>
            </w:r>
          </w:p>
        </w:tc>
        <w:tc>
          <w:tcPr>
            <w:tcW w:type="dxa" w:w="1440"/>
          </w:tcPr>
          <w:p>
            <w:r>
              <w:rPr>
                <w:b/>
                <w:color w:val="16A34A"/>
              </w:rPr>
              <w:t>OK</w:t>
            </w:r>
          </w:p>
        </w:tc>
      </w:tr>
    </w:tbl>
    <w:p>
      <w:pPr>
        <w:pStyle w:val="Heading1"/>
      </w:pPr>
      <w:r>
        <w:t>Time-Series Cohort Trends</w:t>
      </w:r>
    </w:p>
    <w:p>
      <w:r>
        <w:t>Analyzed 6 cohorts from 2025-01 to 2025-06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Cohort Period</w:t>
            </w:r>
          </w:p>
        </w:tc>
        <w:tc>
          <w:tcPr>
            <w:tcW w:type="dxa" w:w="1728"/>
          </w:tcPr>
          <w:p>
            <w:r>
              <w:rPr>
                <w:b/>
              </w:rPr>
              <w:t>Volume</w:t>
            </w:r>
          </w:p>
        </w:tc>
        <w:tc>
          <w:tcPr>
            <w:tcW w:type="dxa" w:w="1728"/>
          </w:tcPr>
          <w:p>
            <w:r>
              <w:rPr>
                <w:b/>
              </w:rPr>
              <w:t>Default Rate</w:t>
            </w:r>
          </w:p>
        </w:tc>
        <w:tc>
          <w:tcPr>
            <w:tcW w:type="dxa" w:w="1728"/>
          </w:tcPr>
          <w:p>
            <w:r>
              <w:rPr>
                <w:b/>
              </w:rPr>
              <w:t>Mean Score</w:t>
            </w:r>
          </w:p>
        </w:tc>
        <w:tc>
          <w:tcPr>
            <w:tcW w:type="dxa" w:w="1728"/>
          </w:tcPr>
          <w:p>
            <w:r>
              <w:rPr>
                <w:b/>
              </w:rPr>
              <w:t>Approval Rate</w:t>
            </w:r>
          </w:p>
        </w:tc>
      </w:tr>
      <w:tr>
        <w:tc>
          <w:tcPr>
            <w:tcW w:type="dxa" w:w="1728"/>
          </w:tcPr>
          <w:p>
            <w:r>
              <w:t>2025-01</w:t>
            </w:r>
          </w:p>
        </w:tc>
        <w:tc>
          <w:tcPr>
            <w:tcW w:type="dxa" w:w="1728"/>
          </w:tcPr>
          <w:p>
            <w:r>
              <w:t>459</w:t>
            </w:r>
          </w:p>
        </w:tc>
        <w:tc>
          <w:tcPr>
            <w:tcW w:type="dxa" w:w="1728"/>
          </w:tcPr>
          <w:p>
            <w:r>
              <w:t>10.46%</w:t>
            </w:r>
          </w:p>
        </w:tc>
        <w:tc>
          <w:tcPr>
            <w:tcW w:type="dxa" w:w="1728"/>
          </w:tcPr>
          <w:p>
            <w:r>
              <w:t>654.11</w:t>
            </w:r>
          </w:p>
        </w:tc>
        <w:tc>
          <w:tcPr>
            <w:tcW w:type="dxa" w:w="1728"/>
          </w:tcPr>
          <w:p>
            <w:r>
              <w:t>77.8%</w:t>
            </w:r>
          </w:p>
        </w:tc>
      </w:tr>
      <w:tr>
        <w:tc>
          <w:tcPr>
            <w:tcW w:type="dxa" w:w="1728"/>
          </w:tcPr>
          <w:p>
            <w:r>
              <w:t>2025-02</w:t>
            </w:r>
          </w:p>
        </w:tc>
        <w:tc>
          <w:tcPr>
            <w:tcW w:type="dxa" w:w="1728"/>
          </w:tcPr>
          <w:p>
            <w:r>
              <w:t>379</w:t>
            </w:r>
          </w:p>
        </w:tc>
        <w:tc>
          <w:tcPr>
            <w:tcW w:type="dxa" w:w="1728"/>
          </w:tcPr>
          <w:p>
            <w:r>
              <w:t>8.97%</w:t>
            </w:r>
          </w:p>
        </w:tc>
        <w:tc>
          <w:tcPr>
            <w:tcW w:type="dxa" w:w="1728"/>
          </w:tcPr>
          <w:p>
            <w:r>
              <w:t>658.09</w:t>
            </w:r>
          </w:p>
        </w:tc>
        <w:tc>
          <w:tcPr>
            <w:tcW w:type="dxa" w:w="1728"/>
          </w:tcPr>
          <w:p>
            <w:r>
              <w:t>81.5%</w:t>
            </w:r>
          </w:p>
        </w:tc>
      </w:tr>
      <w:tr>
        <w:tc>
          <w:tcPr>
            <w:tcW w:type="dxa" w:w="1728"/>
          </w:tcPr>
          <w:p>
            <w:r>
              <w:t>2025-03</w:t>
            </w:r>
          </w:p>
        </w:tc>
        <w:tc>
          <w:tcPr>
            <w:tcW w:type="dxa" w:w="1728"/>
          </w:tcPr>
          <w:p>
            <w:r>
              <w:t>471</w:t>
            </w:r>
          </w:p>
        </w:tc>
        <w:tc>
          <w:tcPr>
            <w:tcW w:type="dxa" w:w="1728"/>
          </w:tcPr>
          <w:p>
            <w:r>
              <w:t>9.55%</w:t>
            </w:r>
          </w:p>
        </w:tc>
        <w:tc>
          <w:tcPr>
            <w:tcW w:type="dxa" w:w="1728"/>
          </w:tcPr>
          <w:p>
            <w:r>
              <w:t>659.64</w:t>
            </w:r>
          </w:p>
        </w:tc>
        <w:tc>
          <w:tcPr>
            <w:tcW w:type="dxa" w:w="1728"/>
          </w:tcPr>
          <w:p>
            <w:r>
              <w:t>80.5%</w:t>
            </w:r>
          </w:p>
        </w:tc>
      </w:tr>
      <w:tr>
        <w:tc>
          <w:tcPr>
            <w:tcW w:type="dxa" w:w="1728"/>
          </w:tcPr>
          <w:p>
            <w:r>
              <w:t>2025-04</w:t>
            </w:r>
          </w:p>
        </w:tc>
        <w:tc>
          <w:tcPr>
            <w:tcW w:type="dxa" w:w="1728"/>
          </w:tcPr>
          <w:p>
            <w:r>
              <w:t>372</w:t>
            </w:r>
          </w:p>
        </w:tc>
        <w:tc>
          <w:tcPr>
            <w:tcW w:type="dxa" w:w="1728"/>
          </w:tcPr>
          <w:p>
            <w:r>
              <w:t>12.90%</w:t>
            </w:r>
          </w:p>
        </w:tc>
        <w:tc>
          <w:tcPr>
            <w:tcW w:type="dxa" w:w="1728"/>
          </w:tcPr>
          <w:p>
            <w:r>
              <w:t>656.51</w:t>
            </w:r>
          </w:p>
        </w:tc>
        <w:tc>
          <w:tcPr>
            <w:tcW w:type="dxa" w:w="1728"/>
          </w:tcPr>
          <w:p>
            <w:r>
              <w:t>76.6%</w:t>
            </w:r>
          </w:p>
        </w:tc>
      </w:tr>
      <w:tr>
        <w:tc>
          <w:tcPr>
            <w:tcW w:type="dxa" w:w="1728"/>
          </w:tcPr>
          <w:p>
            <w:r>
              <w:t>2025-05</w:t>
            </w:r>
          </w:p>
        </w:tc>
        <w:tc>
          <w:tcPr>
            <w:tcW w:type="dxa" w:w="1728"/>
          </w:tcPr>
          <w:p>
            <w:r>
              <w:t>458</w:t>
            </w:r>
          </w:p>
        </w:tc>
        <w:tc>
          <w:tcPr>
            <w:tcW w:type="dxa" w:w="1728"/>
          </w:tcPr>
          <w:p>
            <w:r>
              <w:t>10.92%</w:t>
            </w:r>
          </w:p>
        </w:tc>
        <w:tc>
          <w:tcPr>
            <w:tcW w:type="dxa" w:w="1728"/>
          </w:tcPr>
          <w:p>
            <w:r>
              <w:t>660.16</w:t>
            </w:r>
          </w:p>
        </w:tc>
        <w:tc>
          <w:tcPr>
            <w:tcW w:type="dxa" w:w="1728"/>
          </w:tcPr>
          <w:p>
            <w:r>
              <w:t>80.1%</w:t>
            </w:r>
          </w:p>
        </w:tc>
      </w:tr>
      <w:tr>
        <w:tc>
          <w:tcPr>
            <w:tcW w:type="dxa" w:w="1728"/>
          </w:tcPr>
          <w:p>
            <w:r>
              <w:t>2025-06</w:t>
            </w:r>
          </w:p>
        </w:tc>
        <w:tc>
          <w:tcPr>
            <w:tcW w:type="dxa" w:w="1728"/>
          </w:tcPr>
          <w:p>
            <w:r>
              <w:t>361</w:t>
            </w:r>
          </w:p>
        </w:tc>
        <w:tc>
          <w:tcPr>
            <w:tcW w:type="dxa" w:w="1728"/>
          </w:tcPr>
          <w:p>
            <w:r>
              <w:t>10.25%</w:t>
            </w:r>
          </w:p>
        </w:tc>
        <w:tc>
          <w:tcPr>
            <w:tcW w:type="dxa" w:w="1728"/>
          </w:tcPr>
          <w:p>
            <w:r>
              <w:t>656.04</w:t>
            </w:r>
          </w:p>
        </w:tc>
        <w:tc>
          <w:tcPr>
            <w:tcW w:type="dxa" w:w="1728"/>
          </w:tcPr>
          <w:p>
            <w:r>
              <w:t>78.4%</w:t>
            </w:r>
          </w:p>
        </w:tc>
      </w:tr>
    </w:tbl>
    <w:p>
      <w:pPr>
        <w:pStyle w:val="Heading1"/>
      </w:pPr>
      <w:r>
        <w:t>Model Visualizations</w:t>
      </w:r>
    </w:p>
    <w:p>
      <w:pPr>
        <w:pStyle w:val="Heading2"/>
      </w:pPr>
      <w:r>
        <w:t>Chart Score Distribution</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291840"/>
                    </a:xfrm>
                    <a:prstGeom prst="rect"/>
                  </pic:spPr>
                </pic:pic>
              </a:graphicData>
            </a:graphic>
          </wp:inline>
        </w:drawing>
      </w:r>
    </w:p>
    <w:p>
      <w:pPr>
        <w:pStyle w:val="Heading2"/>
      </w:pPr>
      <w:r>
        <w:t>Chart Pd Distribution</w:t>
      </w:r>
    </w:p>
    <w:p>
      <w:pPr>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291840"/>
                    </a:xfrm>
                    <a:prstGeom prst="rect"/>
                  </pic:spPr>
                </pic:pic>
              </a:graphicData>
            </a:graphic>
          </wp:inline>
        </w:drawing>
      </w:r>
    </w:p>
    <w:p>
      <w:pPr>
        <w:pStyle w:val="Heading2"/>
      </w:pPr>
      <w:r>
        <w:t>Chart Bad Rate By Score Band</w:t>
      </w:r>
    </w:p>
    <w:p>
      <w:pPr>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291840"/>
                    </a:xfrm>
                    <a:prstGeom prst="rect"/>
                  </pic:spPr>
                </pic:pic>
              </a:graphicData>
            </a:graphic>
          </wp:inline>
        </w:drawing>
      </w:r>
    </w:p>
    <w:p>
      <w:pPr>
        <w:pStyle w:val="Heading2"/>
      </w:pPr>
      <w:r>
        <w:t>Chart Approval By Risk Band</w:t>
      </w:r>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291840"/>
                    </a:xfrm>
                    <a:prstGeom prst="rect"/>
                  </pic:spPr>
                </pic:pic>
              </a:graphicData>
            </a:graphic>
          </wp:inline>
        </w:drawing>
      </w:r>
    </w:p>
    <w:p>
      <w:pPr>
        <w:pStyle w:val="Heading2"/>
      </w:pPr>
      <w:r>
        <w:t>Chart Calibration</w:t>
      </w:r>
    </w:p>
    <w:p>
      <w:pPr>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291840"/>
                    </a:xfrm>
                    <a:prstGeom prst="rect"/>
                  </pic:spPr>
                </pic:pic>
              </a:graphicData>
            </a:graphic>
          </wp:inline>
        </w:drawing>
      </w:r>
    </w:p>
    <w:p>
      <w:pPr>
        <w:pStyle w:val="Heading2"/>
      </w:pPr>
      <w:r>
        <w:t>Chart Dpd Distribution</w:t>
      </w:r>
    </w:p>
    <w:p>
      <w:pPr>
        <w:jc w:val="center"/>
      </w:pPr>
      <w:r>
        <w:drawing>
          <wp:inline xmlns:a="http://schemas.openxmlformats.org/drawingml/2006/main" xmlns:pic="http://schemas.openxmlformats.org/drawingml/2006/picture">
            <wp:extent cx="5486400" cy="329184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3291840"/>
                    </a:xfrm>
                    <a:prstGeom prst="rect"/>
                  </pic:spPr>
                </pic:pic>
              </a:graphicData>
            </a:graphic>
          </wp:inline>
        </w:drawing>
      </w:r>
    </w:p>
    <w:p>
      <w:pPr>
        <w:pStyle w:val="Heading2"/>
      </w:pPr>
      <w:r>
        <w:t>Chart Psi Breakdown</w:t>
      </w:r>
    </w:p>
    <w:p>
      <w:pPr>
        <w:jc w:val="center"/>
      </w:pPr>
      <w:r>
        <w:drawing>
          <wp:inline xmlns:a="http://schemas.openxmlformats.org/drawingml/2006/main" xmlns:pic="http://schemas.openxmlformats.org/drawingml/2006/picture">
            <wp:extent cx="5486400" cy="329184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3291840"/>
                    </a:xfrm>
                    <a:prstGeom prst="rect"/>
                  </pic:spPr>
                </pic:pic>
              </a:graphicData>
            </a:graphic>
          </wp:inline>
        </w:drawing>
      </w:r>
    </w:p>
    <w:p>
      <w:pPr>
        <w:pStyle w:val="Heading2"/>
      </w:pPr>
      <w:r>
        <w:t>Chart Decile Lift</w:t>
      </w:r>
    </w:p>
    <w:p>
      <w:pPr>
        <w:jc w:val="center"/>
      </w:pPr>
      <w:r>
        <w:drawing>
          <wp:inline xmlns:a="http://schemas.openxmlformats.org/drawingml/2006/main" xmlns:pic="http://schemas.openxmlformats.org/drawingml/2006/picture">
            <wp:extent cx="5486400" cy="329184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3291840"/>
                    </a:xfrm>
                    <a:prstGeom prst="rect"/>
                  </pic:spPr>
                </pic:pic>
              </a:graphicData>
            </a:graphic>
          </wp:inline>
        </w:drawing>
      </w:r>
    </w:p>
    <w:p>
      <w:pPr>
        <w:pStyle w:val="Heading2"/>
      </w:pPr>
      <w:r>
        <w:t>Chart Roc Curve</w:t>
      </w:r>
    </w:p>
    <w:p>
      <w:pPr>
        <w:jc w:val="center"/>
      </w:pPr>
      <w:r>
        <w:drawing>
          <wp:inline xmlns:a="http://schemas.openxmlformats.org/drawingml/2006/main" xmlns:pic="http://schemas.openxmlformats.org/drawingml/2006/picture">
            <wp:extent cx="5486400" cy="329184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329184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color w:val="646464"/>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8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38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