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8976452367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28-01-2026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Bank of India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t xml:space="preserve">I am the investigating officer of the case mentioned in the subject. In this case, the victim has lost ₹23,00,000. Of the amount lost, partial amounts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(3rd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41778466754</w:t>
            </w:r>
          </w:p>
        </w:tc>
        <w:tc>
          <w:tcPr>
            <w:tcW w:type="dxa" w:w="1559"/>
          </w:tcPr>
          <w:p>
            <w:r>
              <w:t>18/12/2025 11:45:41 AM</w:t>
            </w:r>
          </w:p>
        </w:tc>
        <w:tc>
          <w:tcPr>
            <w:tcW w:type="dxa" w:w="1559"/>
          </w:tcPr>
          <w:p>
            <w:r>
              <w:t>679.0</w:t>
            </w:r>
          </w:p>
        </w:tc>
        <w:tc>
          <w:tcPr>
            <w:tcW w:type="dxa" w:w="2176"/>
          </w:tcPr>
          <w:p>
            <w:r>
              <w:t>535273722456</w:t>
            </w:r>
          </w:p>
        </w:tc>
        <w:tc>
          <w:tcPr>
            <w:tcW w:type="dxa" w:w="1652"/>
          </w:tcPr>
          <w:p>
            <w:r>
              <w:t>SBIN0005585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