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6908" w14:textId="77777777" w:rsidR="00CD5BF7" w:rsidRPr="00CD5BF7" w:rsidRDefault="00CD5BF7" w:rsidP="00CD5BF7">
      <w:pPr>
        <w:spacing w:line="360" w:lineRule="auto"/>
        <w:jc w:val="center"/>
        <w:rPr>
          <w:b/>
          <w:bCs/>
          <w:sz w:val="44"/>
          <w:szCs w:val="44"/>
        </w:rPr>
      </w:pPr>
      <w:r w:rsidRPr="00CD5BF7">
        <w:rPr>
          <w:b/>
          <w:bCs/>
          <w:sz w:val="44"/>
          <w:szCs w:val="44"/>
        </w:rPr>
        <w:t>Dashboard Title:</w:t>
      </w:r>
      <w:r w:rsidRPr="00CD5BF7">
        <w:rPr>
          <w:sz w:val="44"/>
          <w:szCs w:val="44"/>
        </w:rPr>
        <w:br/>
      </w:r>
      <w:r w:rsidRPr="00CD5BF7">
        <w:rPr>
          <w:b/>
          <w:bCs/>
          <w:sz w:val="44"/>
          <w:szCs w:val="44"/>
        </w:rPr>
        <w:t>Edge Group Sales Performance by 2025</w:t>
      </w:r>
    </w:p>
    <w:p w14:paraId="609E6DC3" w14:textId="77777777" w:rsidR="00CD5BF7" w:rsidRPr="00CD5BF7" w:rsidRDefault="00CD5BF7" w:rsidP="00CD5BF7">
      <w:pPr>
        <w:spacing w:line="360" w:lineRule="auto"/>
        <w:jc w:val="center"/>
        <w:rPr>
          <w:b/>
          <w:bCs/>
          <w:sz w:val="44"/>
          <w:szCs w:val="44"/>
        </w:rPr>
      </w:pPr>
    </w:p>
    <w:p w14:paraId="2F2BB9AF" w14:textId="77777777" w:rsidR="00CD5BF7" w:rsidRPr="00CD5BF7" w:rsidRDefault="00CD5BF7" w:rsidP="00CD5BF7">
      <w:pPr>
        <w:spacing w:line="360" w:lineRule="auto"/>
        <w:jc w:val="center"/>
        <w:rPr>
          <w:b/>
          <w:bCs/>
          <w:sz w:val="44"/>
          <w:szCs w:val="44"/>
        </w:rPr>
      </w:pPr>
      <w:r w:rsidRPr="00CD5BF7">
        <w:rPr>
          <w:b/>
          <w:bCs/>
          <w:sz w:val="44"/>
          <w:szCs w:val="44"/>
        </w:rPr>
        <w:t>Prepared By: Idowu Emmanuel Ifeoluwa</w:t>
      </w:r>
    </w:p>
    <w:p w14:paraId="197D850D" w14:textId="77777777" w:rsidR="00CD5BF7" w:rsidRPr="00CD5BF7" w:rsidRDefault="00CD5BF7" w:rsidP="00CD5BF7">
      <w:pPr>
        <w:spacing w:line="360" w:lineRule="auto"/>
        <w:jc w:val="center"/>
        <w:rPr>
          <w:b/>
          <w:bCs/>
          <w:sz w:val="44"/>
          <w:szCs w:val="44"/>
        </w:rPr>
      </w:pPr>
    </w:p>
    <w:p w14:paraId="6B65FC56" w14:textId="1411011F" w:rsidR="00F14AD7" w:rsidRPr="00CD5BF7" w:rsidRDefault="00CD5BF7" w:rsidP="00CD5BF7">
      <w:pPr>
        <w:spacing w:line="360" w:lineRule="auto"/>
        <w:jc w:val="center"/>
        <w:rPr>
          <w:sz w:val="22"/>
          <w:szCs w:val="22"/>
        </w:rPr>
      </w:pPr>
      <w:r w:rsidRPr="00CD5BF7">
        <w:rPr>
          <w:b/>
          <w:bCs/>
          <w:sz w:val="44"/>
          <w:szCs w:val="44"/>
        </w:rPr>
        <w:t>Tools: Microsoft-Excel</w:t>
      </w:r>
      <w:r w:rsidR="00000000" w:rsidRPr="00CD5BF7">
        <w:rPr>
          <w:sz w:val="22"/>
          <w:szCs w:val="22"/>
        </w:rPr>
        <w:br w:type="page"/>
      </w:r>
    </w:p>
    <w:p w14:paraId="428E57FE"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1. OUTLINE</w:t>
      </w:r>
    </w:p>
    <w:p w14:paraId="69D282B6" w14:textId="442F6419" w:rsidR="00F14AD7" w:rsidRPr="00CD5BF7" w:rsidRDefault="00000000" w:rsidP="00CD5BF7">
      <w:pPr>
        <w:spacing w:before="80" w:after="80" w:line="360" w:lineRule="auto"/>
        <w:jc w:val="both"/>
        <w:rPr>
          <w:sz w:val="22"/>
          <w:szCs w:val="22"/>
        </w:rPr>
      </w:pPr>
      <w:r w:rsidRPr="00CD5BF7">
        <w:rPr>
          <w:sz w:val="22"/>
          <w:szCs w:val="22"/>
        </w:rPr>
        <w:t xml:space="preserve">This report presents a comprehensive analytical review of </w:t>
      </w:r>
      <w:r w:rsidR="00997288" w:rsidRPr="00CD5BF7">
        <w:rPr>
          <w:sz w:val="22"/>
          <w:szCs w:val="22"/>
        </w:rPr>
        <w:t>Edge group</w:t>
      </w:r>
      <w:r w:rsidRPr="00CD5BF7">
        <w:rPr>
          <w:sz w:val="22"/>
          <w:szCs w:val="22"/>
        </w:rPr>
        <w:t xml:space="preserve"> 2014 sales performance data. The following sections are covered in sequence:</w:t>
      </w:r>
    </w:p>
    <w:p w14:paraId="4BED7F58"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Introduction</w:t>
      </w:r>
    </w:p>
    <w:p w14:paraId="713B3D24"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Story of Data</w:t>
      </w:r>
    </w:p>
    <w:p w14:paraId="08A576AF"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Data Splitting and Preprocessing</w:t>
      </w:r>
    </w:p>
    <w:p w14:paraId="4EC6BA91"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Pre-Analysis</w:t>
      </w:r>
    </w:p>
    <w:p w14:paraId="38F01FD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In-Analysis</w:t>
      </w:r>
    </w:p>
    <w:p w14:paraId="6F029322"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Post-Analysis and Insights</w:t>
      </w:r>
    </w:p>
    <w:p w14:paraId="50D36E3F"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Data Visualizations &amp; Charts</w:t>
      </w:r>
    </w:p>
    <w:p w14:paraId="5A393A21"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Recommendations and Observations</w:t>
      </w:r>
    </w:p>
    <w:p w14:paraId="6077FC9F"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Conclusion</w:t>
      </w:r>
    </w:p>
    <w:p w14:paraId="76234A88"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References &amp; Appendices</w:t>
      </w:r>
    </w:p>
    <w:p w14:paraId="42EF3D64" w14:textId="77777777" w:rsidR="00F14AD7" w:rsidRPr="00CD5BF7" w:rsidRDefault="00000000" w:rsidP="00CD5BF7">
      <w:pPr>
        <w:spacing w:line="360" w:lineRule="auto"/>
        <w:rPr>
          <w:sz w:val="22"/>
          <w:szCs w:val="22"/>
        </w:rPr>
      </w:pPr>
      <w:r w:rsidRPr="00CD5BF7">
        <w:rPr>
          <w:sz w:val="22"/>
          <w:szCs w:val="22"/>
        </w:rPr>
        <w:br w:type="page"/>
      </w:r>
    </w:p>
    <w:p w14:paraId="6F12F413"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2. INTRODUCTION</w:t>
      </w:r>
    </w:p>
    <w:p w14:paraId="452A796F" w14:textId="77777777" w:rsidR="00F14AD7" w:rsidRPr="00CD5BF7" w:rsidRDefault="00000000" w:rsidP="00CD5BF7">
      <w:pPr>
        <w:spacing w:line="360" w:lineRule="auto"/>
        <w:rPr>
          <w:b/>
          <w:bCs/>
          <w:color w:val="375623"/>
          <w:sz w:val="22"/>
          <w:szCs w:val="22"/>
        </w:rPr>
      </w:pPr>
      <w:r w:rsidRPr="00CD5BF7">
        <w:rPr>
          <w:b/>
          <w:bCs/>
          <w:sz w:val="22"/>
          <w:szCs w:val="22"/>
        </w:rPr>
        <w:t>Objective of the Project</w:t>
      </w:r>
    </w:p>
    <w:p w14:paraId="09816CF9" w14:textId="034ACCB6" w:rsidR="00F14AD7" w:rsidRPr="00CD5BF7" w:rsidRDefault="00000000" w:rsidP="00CD5BF7">
      <w:pPr>
        <w:spacing w:before="80" w:after="80" w:line="360" w:lineRule="auto"/>
        <w:jc w:val="both"/>
        <w:rPr>
          <w:sz w:val="22"/>
          <w:szCs w:val="22"/>
        </w:rPr>
      </w:pPr>
      <w:r w:rsidRPr="00CD5BF7">
        <w:rPr>
          <w:sz w:val="22"/>
          <w:szCs w:val="22"/>
        </w:rPr>
        <w:t xml:space="preserve">The primary objective of this analysis is to evaluate </w:t>
      </w:r>
      <w:r w:rsidR="00997288" w:rsidRPr="00CD5BF7">
        <w:rPr>
          <w:sz w:val="22"/>
          <w:szCs w:val="22"/>
        </w:rPr>
        <w:t>Edge group</w:t>
      </w:r>
      <w:r w:rsidRPr="00CD5BF7">
        <w:rPr>
          <w:sz w:val="22"/>
          <w:szCs w:val="22"/>
        </w:rPr>
        <w:t xml:space="preserve"> </w:t>
      </w:r>
      <w:r w:rsidR="00495DD8" w:rsidRPr="00CD5BF7">
        <w:rPr>
          <w:sz w:val="22"/>
          <w:szCs w:val="22"/>
        </w:rPr>
        <w:t>2014</w:t>
      </w:r>
      <w:r w:rsidRPr="00CD5BF7">
        <w:rPr>
          <w:sz w:val="22"/>
          <w:szCs w:val="22"/>
        </w:rPr>
        <w:t xml:space="preserve"> sales performance across four key dimensions — regional distribution, salesperson productivity, product category contribution, and temporal sales trends. The analysis aims to identify performance gaps, concentration risks, and strategic opportunities that can inform commercial decision-making for the 2015 fiscal year.</w:t>
      </w:r>
    </w:p>
    <w:p w14:paraId="453E312C" w14:textId="77777777" w:rsidR="00F14AD7" w:rsidRPr="00CD5BF7" w:rsidRDefault="00000000" w:rsidP="00CD5BF7">
      <w:pPr>
        <w:spacing w:line="360" w:lineRule="auto"/>
        <w:rPr>
          <w:b/>
          <w:bCs/>
          <w:color w:val="375623"/>
          <w:sz w:val="22"/>
          <w:szCs w:val="22"/>
        </w:rPr>
      </w:pPr>
      <w:r w:rsidRPr="00CD5BF7">
        <w:rPr>
          <w:b/>
          <w:bCs/>
          <w:sz w:val="22"/>
          <w:szCs w:val="22"/>
        </w:rPr>
        <w:t>Problem Being Addressed</w:t>
      </w:r>
    </w:p>
    <w:p w14:paraId="7DF13EF8" w14:textId="2D41D856" w:rsidR="00F14AD7" w:rsidRPr="00CD5BF7" w:rsidRDefault="00997288" w:rsidP="00CD5BF7">
      <w:pPr>
        <w:spacing w:before="80" w:after="80" w:line="360" w:lineRule="auto"/>
        <w:jc w:val="both"/>
        <w:rPr>
          <w:sz w:val="22"/>
          <w:szCs w:val="22"/>
        </w:rPr>
      </w:pPr>
      <w:r w:rsidRPr="00CD5BF7">
        <w:rPr>
          <w:sz w:val="22"/>
          <w:szCs w:val="22"/>
        </w:rPr>
        <w:t>Edge group</w:t>
      </w:r>
      <w:r w:rsidR="00000000" w:rsidRPr="00CD5BF7">
        <w:rPr>
          <w:sz w:val="22"/>
          <w:szCs w:val="22"/>
        </w:rPr>
        <w:t xml:space="preserve"> operates across four regions (North, East, South, West) with eight salespersons managing accounts across multiple US states. Despite generating a total annual revenue of $435,066.16 across 369 transactions, preliminary observation suggests that performance is heavily concentrated in a small number of regions, salespersons, customers, and product categories. This analysis seeks to answer the following core questions:</w:t>
      </w:r>
    </w:p>
    <w:p w14:paraId="2B09B611"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Which regions, salespersons, and product categories are driving the most revenue?</w:t>
      </w:r>
    </w:p>
    <w:p w14:paraId="2E9A7B53"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Where are the significant performance gaps and what is causing them?</w:t>
      </w:r>
    </w:p>
    <w:p w14:paraId="7779EE20"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What seasonal patterns exist in the monthly revenue trend?</w:t>
      </w:r>
    </w:p>
    <w:p w14:paraId="1BB12CB3"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What strategic actions can be taken to improve revenue balance and reduce concentration risk?</w:t>
      </w:r>
    </w:p>
    <w:p w14:paraId="770C983B" w14:textId="77777777" w:rsidR="00F14AD7" w:rsidRPr="00CD5BF7" w:rsidRDefault="00000000" w:rsidP="00CD5BF7">
      <w:pPr>
        <w:spacing w:line="360" w:lineRule="auto"/>
        <w:rPr>
          <w:b/>
          <w:bCs/>
          <w:color w:val="375623"/>
          <w:sz w:val="22"/>
          <w:szCs w:val="22"/>
        </w:rPr>
      </w:pPr>
      <w:r w:rsidRPr="00CD5BF7">
        <w:rPr>
          <w:b/>
          <w:bCs/>
          <w:sz w:val="22"/>
          <w:szCs w:val="22"/>
        </w:rPr>
        <w:t>Key Datasets and Methodologies</w:t>
      </w:r>
    </w:p>
    <w:p w14:paraId="3938FB08" w14:textId="6DBE2FE6" w:rsidR="00F14AD7" w:rsidRPr="00CD5BF7" w:rsidRDefault="00000000" w:rsidP="00CD5BF7">
      <w:pPr>
        <w:spacing w:before="80" w:after="80" w:line="360" w:lineRule="auto"/>
        <w:jc w:val="both"/>
        <w:rPr>
          <w:sz w:val="22"/>
          <w:szCs w:val="22"/>
        </w:rPr>
      </w:pPr>
      <w:r w:rsidRPr="00CD5BF7">
        <w:rPr>
          <w:sz w:val="22"/>
          <w:szCs w:val="22"/>
        </w:rPr>
        <w:t xml:space="preserve">The analysis is based on a single primary dataset containing 369 transaction records spanning the full </w:t>
      </w:r>
      <w:r w:rsidR="00495DD8" w:rsidRPr="00CD5BF7">
        <w:rPr>
          <w:sz w:val="22"/>
          <w:szCs w:val="22"/>
        </w:rPr>
        <w:t>2014</w:t>
      </w:r>
      <w:r w:rsidRPr="00CD5BF7">
        <w:rPr>
          <w:sz w:val="22"/>
          <w:szCs w:val="22"/>
        </w:rPr>
        <w:t xml:space="preserve"> calendar year. The following analytical methods were employed in Microsoft Excel:</w:t>
      </w:r>
    </w:p>
    <w:p w14:paraId="5A033573"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Pivot Tables — for aggregating revenue by region, salesperson, product category, customer, and month</w:t>
      </w:r>
    </w:p>
    <w:p w14:paraId="04E0BA07"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Data Slicers — for interactive filtering across dimensions</w:t>
      </w:r>
    </w:p>
    <w:p w14:paraId="3C4D4D4C"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 xml:space="preserve">Charts and Visualizations — including pie charts, bar charts, </w:t>
      </w:r>
      <w:proofErr w:type="spellStart"/>
      <w:r w:rsidRPr="00CD5BF7">
        <w:rPr>
          <w:sz w:val="22"/>
          <w:szCs w:val="22"/>
        </w:rPr>
        <w:t>treemaps</w:t>
      </w:r>
      <w:proofErr w:type="spellEnd"/>
      <w:r w:rsidRPr="00CD5BF7">
        <w:rPr>
          <w:sz w:val="22"/>
          <w:szCs w:val="22"/>
        </w:rPr>
        <w:t>, line charts, and geographic maps</w:t>
      </w:r>
    </w:p>
    <w:p w14:paraId="7C9B43A2"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Dashboard Design — consolidating all key metrics into a single interactive view</w:t>
      </w:r>
    </w:p>
    <w:p w14:paraId="6B7E94AF" w14:textId="77777777" w:rsidR="00F14AD7" w:rsidRPr="00CD5BF7" w:rsidRDefault="00000000" w:rsidP="00CD5BF7">
      <w:pPr>
        <w:spacing w:line="360" w:lineRule="auto"/>
        <w:rPr>
          <w:sz w:val="22"/>
          <w:szCs w:val="22"/>
        </w:rPr>
      </w:pPr>
      <w:r w:rsidRPr="00CD5BF7">
        <w:rPr>
          <w:sz w:val="22"/>
          <w:szCs w:val="22"/>
        </w:rPr>
        <w:br w:type="page"/>
      </w:r>
    </w:p>
    <w:p w14:paraId="721B0112"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3. STORY OF DATA</w:t>
      </w:r>
    </w:p>
    <w:p w14:paraId="1105075A" w14:textId="77777777" w:rsidR="00F14AD7" w:rsidRPr="00CD5BF7" w:rsidRDefault="00000000" w:rsidP="00CD5BF7">
      <w:pPr>
        <w:spacing w:line="360" w:lineRule="auto"/>
        <w:rPr>
          <w:b/>
          <w:bCs/>
          <w:color w:val="375623"/>
          <w:sz w:val="22"/>
          <w:szCs w:val="22"/>
        </w:rPr>
      </w:pPr>
      <w:r w:rsidRPr="00CD5BF7">
        <w:rPr>
          <w:b/>
          <w:bCs/>
          <w:sz w:val="22"/>
          <w:szCs w:val="22"/>
        </w:rPr>
        <w:t>Data Source</w:t>
      </w:r>
    </w:p>
    <w:p w14:paraId="08F7CC42" w14:textId="42E14AC5" w:rsidR="00F14AD7" w:rsidRPr="00CD5BF7" w:rsidRDefault="00000000" w:rsidP="00CD5BF7">
      <w:pPr>
        <w:spacing w:before="80" w:after="80" w:line="360" w:lineRule="auto"/>
        <w:jc w:val="both"/>
        <w:rPr>
          <w:sz w:val="22"/>
          <w:szCs w:val="22"/>
        </w:rPr>
      </w:pPr>
      <w:r w:rsidRPr="00CD5BF7">
        <w:rPr>
          <w:sz w:val="22"/>
          <w:szCs w:val="22"/>
        </w:rPr>
        <w:t xml:space="preserve">The dataset is an internal sales transaction record for </w:t>
      </w:r>
      <w:r w:rsidR="00997288" w:rsidRPr="00CD5BF7">
        <w:rPr>
          <w:sz w:val="22"/>
          <w:szCs w:val="22"/>
        </w:rPr>
        <w:t>Edge group</w:t>
      </w:r>
      <w:r w:rsidRPr="00CD5BF7">
        <w:rPr>
          <w:sz w:val="22"/>
          <w:szCs w:val="22"/>
        </w:rPr>
        <w:t xml:space="preserve"> — a retail organization operating across four US regions. It was provided as part of the </w:t>
      </w:r>
      <w:proofErr w:type="spellStart"/>
      <w:r w:rsidRPr="00CD5BF7">
        <w:rPr>
          <w:sz w:val="22"/>
          <w:szCs w:val="22"/>
        </w:rPr>
        <w:t>Vephla</w:t>
      </w:r>
      <w:proofErr w:type="spellEnd"/>
      <w:r w:rsidRPr="00CD5BF7">
        <w:rPr>
          <w:sz w:val="22"/>
          <w:szCs w:val="22"/>
        </w:rPr>
        <w:t xml:space="preserve"> University Data Analytics </w:t>
      </w:r>
      <w:proofErr w:type="spellStart"/>
      <w:r w:rsidRPr="00CD5BF7">
        <w:rPr>
          <w:sz w:val="22"/>
          <w:szCs w:val="22"/>
        </w:rPr>
        <w:t>Programme</w:t>
      </w:r>
      <w:proofErr w:type="spellEnd"/>
      <w:r w:rsidRPr="00CD5BF7">
        <w:rPr>
          <w:sz w:val="22"/>
          <w:szCs w:val="22"/>
        </w:rPr>
        <w:t xml:space="preserve"> curriculum and represents real-world commercial sales data structured for analytical practice.</w:t>
      </w:r>
    </w:p>
    <w:p w14:paraId="2563BB2C" w14:textId="77777777" w:rsidR="00F14AD7" w:rsidRPr="00CD5BF7" w:rsidRDefault="00000000" w:rsidP="00CD5BF7">
      <w:pPr>
        <w:spacing w:line="360" w:lineRule="auto"/>
        <w:rPr>
          <w:b/>
          <w:bCs/>
          <w:color w:val="375623"/>
          <w:sz w:val="22"/>
          <w:szCs w:val="22"/>
        </w:rPr>
      </w:pPr>
      <w:r w:rsidRPr="00CD5BF7">
        <w:rPr>
          <w:b/>
          <w:bCs/>
          <w:sz w:val="22"/>
          <w:szCs w:val="22"/>
        </w:rPr>
        <w:t>Data Collection Process</w:t>
      </w:r>
    </w:p>
    <w:p w14:paraId="7E104D7D" w14:textId="77777777" w:rsidR="00F14AD7" w:rsidRPr="00CD5BF7" w:rsidRDefault="00000000" w:rsidP="00CD5BF7">
      <w:pPr>
        <w:spacing w:before="80" w:after="80" w:line="360" w:lineRule="auto"/>
        <w:jc w:val="both"/>
        <w:rPr>
          <w:sz w:val="22"/>
          <w:szCs w:val="22"/>
        </w:rPr>
      </w:pPr>
      <w:r w:rsidRPr="00CD5BF7">
        <w:rPr>
          <w:sz w:val="22"/>
          <w:szCs w:val="22"/>
        </w:rPr>
        <w:t>The data was provided in a pre-compiled Microsoft Excel workbook containing a structured transaction table. No manual data entry or external scraping was required. The dataset was delivered in its raw form and required cleaning and transformation before analysis could commence.</w:t>
      </w:r>
    </w:p>
    <w:p w14:paraId="5279B1B1" w14:textId="77777777" w:rsidR="00F14AD7" w:rsidRPr="00CD5BF7" w:rsidRDefault="00000000" w:rsidP="00CD5BF7">
      <w:pPr>
        <w:spacing w:line="360" w:lineRule="auto"/>
        <w:rPr>
          <w:b/>
          <w:bCs/>
          <w:color w:val="375623"/>
          <w:sz w:val="22"/>
          <w:szCs w:val="22"/>
        </w:rPr>
      </w:pPr>
      <w:r w:rsidRPr="00CD5BF7">
        <w:rPr>
          <w:b/>
          <w:bCs/>
          <w:sz w:val="22"/>
          <w:szCs w:val="22"/>
        </w:rPr>
        <w:t>Data Structure</w:t>
      </w:r>
    </w:p>
    <w:p w14:paraId="21A2A1C1" w14:textId="77777777" w:rsidR="00F14AD7" w:rsidRPr="00CD5BF7" w:rsidRDefault="00000000" w:rsidP="00CD5BF7">
      <w:pPr>
        <w:spacing w:before="80" w:after="80" w:line="360" w:lineRule="auto"/>
        <w:jc w:val="both"/>
        <w:rPr>
          <w:sz w:val="22"/>
          <w:szCs w:val="22"/>
        </w:rPr>
      </w:pPr>
      <w:r w:rsidRPr="00CD5BF7">
        <w:rPr>
          <w:sz w:val="22"/>
          <w:szCs w:val="22"/>
        </w:rPr>
        <w:t>The dataset contains 369 rows of transaction data (excluding the header row) and 26 columns. Each row represents a single order transaction. The key columns are organized as follows:</w:t>
      </w:r>
    </w:p>
    <w:p w14:paraId="77242368" w14:textId="77777777" w:rsidR="00F14AD7" w:rsidRPr="00CD5BF7" w:rsidRDefault="00F14AD7" w:rsidP="00CD5BF7">
      <w:pPr>
        <w:spacing w:before="100" w:after="100" w:line="360" w:lineRule="auto"/>
        <w:rPr>
          <w:sz w:val="22"/>
          <w:szCs w:val="22"/>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5500"/>
      </w:tblGrid>
      <w:tr w:rsidR="00F14AD7" w:rsidRPr="00CD5BF7" w14:paraId="30D024DF" w14:textId="77777777">
        <w:tblPrEx>
          <w:tblCellMar>
            <w:top w:w="0" w:type="dxa"/>
            <w:bottom w:w="0" w:type="dxa"/>
          </w:tblCellMar>
        </w:tblPrEx>
        <w:tc>
          <w:tcPr>
            <w:tcW w:w="2500" w:type="dxa"/>
            <w:shd w:val="clear" w:color="auto" w:fill="1F4E00"/>
            <w:vAlign w:val="center"/>
          </w:tcPr>
          <w:p w14:paraId="406F32C2" w14:textId="77777777" w:rsidR="00F14AD7" w:rsidRPr="00CD5BF7" w:rsidRDefault="00000000" w:rsidP="00CD5BF7">
            <w:pPr>
              <w:spacing w:line="360" w:lineRule="auto"/>
              <w:jc w:val="center"/>
              <w:rPr>
                <w:sz w:val="22"/>
                <w:szCs w:val="22"/>
              </w:rPr>
            </w:pPr>
            <w:r w:rsidRPr="00CD5BF7">
              <w:rPr>
                <w:b/>
                <w:bCs/>
                <w:color w:val="FFFFFF"/>
                <w:sz w:val="22"/>
                <w:szCs w:val="22"/>
              </w:rPr>
              <w:t>Column</w:t>
            </w:r>
          </w:p>
        </w:tc>
        <w:tc>
          <w:tcPr>
            <w:tcW w:w="5500" w:type="dxa"/>
            <w:shd w:val="clear" w:color="auto" w:fill="1F4E00"/>
            <w:vAlign w:val="center"/>
          </w:tcPr>
          <w:p w14:paraId="04FB1E90" w14:textId="77777777" w:rsidR="00F14AD7" w:rsidRPr="00CD5BF7" w:rsidRDefault="00000000" w:rsidP="00CD5BF7">
            <w:pPr>
              <w:spacing w:line="360" w:lineRule="auto"/>
              <w:jc w:val="center"/>
              <w:rPr>
                <w:sz w:val="22"/>
                <w:szCs w:val="22"/>
              </w:rPr>
            </w:pPr>
            <w:r w:rsidRPr="00CD5BF7">
              <w:rPr>
                <w:b/>
                <w:bCs/>
                <w:color w:val="FFFFFF"/>
                <w:sz w:val="22"/>
                <w:szCs w:val="22"/>
              </w:rPr>
              <w:t>Description</w:t>
            </w:r>
          </w:p>
        </w:tc>
      </w:tr>
      <w:tr w:rsidR="00F14AD7" w:rsidRPr="00CD5BF7" w14:paraId="1B08A86B" w14:textId="77777777">
        <w:tblPrEx>
          <w:tblCellMar>
            <w:top w:w="0" w:type="dxa"/>
            <w:bottom w:w="0" w:type="dxa"/>
          </w:tblCellMar>
        </w:tblPrEx>
        <w:tc>
          <w:tcPr>
            <w:tcW w:w="2500" w:type="dxa"/>
            <w:shd w:val="clear" w:color="auto" w:fill="E2EFDA"/>
            <w:vAlign w:val="center"/>
          </w:tcPr>
          <w:p w14:paraId="3C235F72" w14:textId="77777777" w:rsidR="00F14AD7" w:rsidRPr="00CD5BF7" w:rsidRDefault="00000000" w:rsidP="00CD5BF7">
            <w:pPr>
              <w:spacing w:line="360" w:lineRule="auto"/>
              <w:jc w:val="center"/>
              <w:rPr>
                <w:sz w:val="22"/>
                <w:szCs w:val="22"/>
              </w:rPr>
            </w:pPr>
            <w:r w:rsidRPr="00CD5BF7">
              <w:rPr>
                <w:sz w:val="22"/>
                <w:szCs w:val="22"/>
              </w:rPr>
              <w:t>Order ID</w:t>
            </w:r>
          </w:p>
        </w:tc>
        <w:tc>
          <w:tcPr>
            <w:tcW w:w="5500" w:type="dxa"/>
            <w:shd w:val="clear" w:color="auto" w:fill="E2EFDA"/>
            <w:vAlign w:val="center"/>
          </w:tcPr>
          <w:p w14:paraId="3411697D" w14:textId="77777777" w:rsidR="00F14AD7" w:rsidRPr="00CD5BF7" w:rsidRDefault="00000000" w:rsidP="00CD5BF7">
            <w:pPr>
              <w:spacing w:line="360" w:lineRule="auto"/>
              <w:jc w:val="center"/>
              <w:rPr>
                <w:sz w:val="22"/>
                <w:szCs w:val="22"/>
              </w:rPr>
            </w:pPr>
            <w:r w:rsidRPr="00CD5BF7">
              <w:rPr>
                <w:sz w:val="22"/>
                <w:szCs w:val="22"/>
              </w:rPr>
              <w:t>Unique identifier for each transaction</w:t>
            </w:r>
          </w:p>
        </w:tc>
      </w:tr>
      <w:tr w:rsidR="00F14AD7" w:rsidRPr="00CD5BF7" w14:paraId="20A84E98" w14:textId="77777777">
        <w:tblPrEx>
          <w:tblCellMar>
            <w:top w:w="0" w:type="dxa"/>
            <w:bottom w:w="0" w:type="dxa"/>
          </w:tblCellMar>
        </w:tblPrEx>
        <w:tc>
          <w:tcPr>
            <w:tcW w:w="2500" w:type="dxa"/>
            <w:shd w:val="clear" w:color="auto" w:fill="FFFFFF"/>
            <w:vAlign w:val="center"/>
          </w:tcPr>
          <w:p w14:paraId="3631D9B4" w14:textId="77777777" w:rsidR="00F14AD7" w:rsidRPr="00CD5BF7" w:rsidRDefault="00000000" w:rsidP="00CD5BF7">
            <w:pPr>
              <w:spacing w:line="360" w:lineRule="auto"/>
              <w:jc w:val="center"/>
              <w:rPr>
                <w:sz w:val="22"/>
                <w:szCs w:val="22"/>
              </w:rPr>
            </w:pPr>
            <w:r w:rsidRPr="00CD5BF7">
              <w:rPr>
                <w:sz w:val="22"/>
                <w:szCs w:val="22"/>
              </w:rPr>
              <w:t>Order Date</w:t>
            </w:r>
          </w:p>
        </w:tc>
        <w:tc>
          <w:tcPr>
            <w:tcW w:w="5500" w:type="dxa"/>
            <w:shd w:val="clear" w:color="auto" w:fill="FFFFFF"/>
            <w:vAlign w:val="center"/>
          </w:tcPr>
          <w:p w14:paraId="31799726" w14:textId="77777777" w:rsidR="00F14AD7" w:rsidRPr="00CD5BF7" w:rsidRDefault="00000000" w:rsidP="00CD5BF7">
            <w:pPr>
              <w:spacing w:line="360" w:lineRule="auto"/>
              <w:jc w:val="center"/>
              <w:rPr>
                <w:sz w:val="22"/>
                <w:szCs w:val="22"/>
              </w:rPr>
            </w:pPr>
            <w:r w:rsidRPr="00CD5BF7">
              <w:rPr>
                <w:sz w:val="22"/>
                <w:szCs w:val="22"/>
              </w:rPr>
              <w:t>Date the order was placed (2014 full year)</w:t>
            </w:r>
          </w:p>
        </w:tc>
      </w:tr>
      <w:tr w:rsidR="00F14AD7" w:rsidRPr="00CD5BF7" w14:paraId="3CF693BC" w14:textId="77777777">
        <w:tblPrEx>
          <w:tblCellMar>
            <w:top w:w="0" w:type="dxa"/>
            <w:bottom w:w="0" w:type="dxa"/>
          </w:tblCellMar>
        </w:tblPrEx>
        <w:tc>
          <w:tcPr>
            <w:tcW w:w="2500" w:type="dxa"/>
            <w:shd w:val="clear" w:color="auto" w:fill="E2EFDA"/>
            <w:vAlign w:val="center"/>
          </w:tcPr>
          <w:p w14:paraId="73DBE320" w14:textId="77777777" w:rsidR="00F14AD7" w:rsidRPr="00CD5BF7" w:rsidRDefault="00000000" w:rsidP="00CD5BF7">
            <w:pPr>
              <w:spacing w:line="360" w:lineRule="auto"/>
              <w:jc w:val="center"/>
              <w:rPr>
                <w:sz w:val="22"/>
                <w:szCs w:val="22"/>
              </w:rPr>
            </w:pPr>
            <w:r w:rsidRPr="00CD5BF7">
              <w:rPr>
                <w:sz w:val="22"/>
                <w:szCs w:val="22"/>
              </w:rPr>
              <w:t>Customer ID / Name</w:t>
            </w:r>
          </w:p>
        </w:tc>
        <w:tc>
          <w:tcPr>
            <w:tcW w:w="5500" w:type="dxa"/>
            <w:shd w:val="clear" w:color="auto" w:fill="E2EFDA"/>
            <w:vAlign w:val="center"/>
          </w:tcPr>
          <w:p w14:paraId="55A52E85" w14:textId="77777777" w:rsidR="00F14AD7" w:rsidRPr="00CD5BF7" w:rsidRDefault="00000000" w:rsidP="00CD5BF7">
            <w:pPr>
              <w:spacing w:line="360" w:lineRule="auto"/>
              <w:jc w:val="center"/>
              <w:rPr>
                <w:sz w:val="22"/>
                <w:szCs w:val="22"/>
              </w:rPr>
            </w:pPr>
            <w:r w:rsidRPr="00CD5BF7">
              <w:rPr>
                <w:sz w:val="22"/>
                <w:szCs w:val="22"/>
              </w:rPr>
              <w:t>Unique customer reference and company name</w:t>
            </w:r>
          </w:p>
        </w:tc>
      </w:tr>
      <w:tr w:rsidR="00F14AD7" w:rsidRPr="00CD5BF7" w14:paraId="2A5F2CC8" w14:textId="77777777">
        <w:tblPrEx>
          <w:tblCellMar>
            <w:top w:w="0" w:type="dxa"/>
            <w:bottom w:w="0" w:type="dxa"/>
          </w:tblCellMar>
        </w:tblPrEx>
        <w:tc>
          <w:tcPr>
            <w:tcW w:w="2500" w:type="dxa"/>
            <w:shd w:val="clear" w:color="auto" w:fill="FFFFFF"/>
            <w:vAlign w:val="center"/>
          </w:tcPr>
          <w:p w14:paraId="5A8E70F5" w14:textId="77777777" w:rsidR="00F14AD7" w:rsidRPr="00CD5BF7" w:rsidRDefault="00000000" w:rsidP="00CD5BF7">
            <w:pPr>
              <w:spacing w:line="360" w:lineRule="auto"/>
              <w:jc w:val="center"/>
              <w:rPr>
                <w:sz w:val="22"/>
                <w:szCs w:val="22"/>
              </w:rPr>
            </w:pPr>
            <w:r w:rsidRPr="00CD5BF7">
              <w:rPr>
                <w:sz w:val="22"/>
                <w:szCs w:val="22"/>
              </w:rPr>
              <w:t>Salesperson</w:t>
            </w:r>
          </w:p>
        </w:tc>
        <w:tc>
          <w:tcPr>
            <w:tcW w:w="5500" w:type="dxa"/>
            <w:shd w:val="clear" w:color="auto" w:fill="FFFFFF"/>
            <w:vAlign w:val="center"/>
          </w:tcPr>
          <w:p w14:paraId="259042CB" w14:textId="77777777" w:rsidR="00F14AD7" w:rsidRPr="00CD5BF7" w:rsidRDefault="00000000" w:rsidP="00CD5BF7">
            <w:pPr>
              <w:spacing w:line="360" w:lineRule="auto"/>
              <w:jc w:val="center"/>
              <w:rPr>
                <w:sz w:val="22"/>
                <w:szCs w:val="22"/>
              </w:rPr>
            </w:pPr>
            <w:r w:rsidRPr="00CD5BF7">
              <w:rPr>
                <w:sz w:val="22"/>
                <w:szCs w:val="22"/>
              </w:rPr>
              <w:t>Name of the salesperson who handled the order</w:t>
            </w:r>
          </w:p>
        </w:tc>
      </w:tr>
      <w:tr w:rsidR="00F14AD7" w:rsidRPr="00CD5BF7" w14:paraId="488606A3" w14:textId="77777777">
        <w:tblPrEx>
          <w:tblCellMar>
            <w:top w:w="0" w:type="dxa"/>
            <w:bottom w:w="0" w:type="dxa"/>
          </w:tblCellMar>
        </w:tblPrEx>
        <w:tc>
          <w:tcPr>
            <w:tcW w:w="2500" w:type="dxa"/>
            <w:shd w:val="clear" w:color="auto" w:fill="E2EFDA"/>
            <w:vAlign w:val="center"/>
          </w:tcPr>
          <w:p w14:paraId="2045AFA1" w14:textId="77777777" w:rsidR="00F14AD7" w:rsidRPr="00CD5BF7" w:rsidRDefault="00000000" w:rsidP="00CD5BF7">
            <w:pPr>
              <w:spacing w:line="360" w:lineRule="auto"/>
              <w:jc w:val="center"/>
              <w:rPr>
                <w:sz w:val="22"/>
                <w:szCs w:val="22"/>
              </w:rPr>
            </w:pPr>
            <w:r w:rsidRPr="00CD5BF7">
              <w:rPr>
                <w:sz w:val="22"/>
                <w:szCs w:val="22"/>
              </w:rPr>
              <w:t>Region</w:t>
            </w:r>
          </w:p>
        </w:tc>
        <w:tc>
          <w:tcPr>
            <w:tcW w:w="5500" w:type="dxa"/>
            <w:shd w:val="clear" w:color="auto" w:fill="E2EFDA"/>
            <w:vAlign w:val="center"/>
          </w:tcPr>
          <w:p w14:paraId="2C6F6518" w14:textId="77777777" w:rsidR="00F14AD7" w:rsidRPr="00CD5BF7" w:rsidRDefault="00000000" w:rsidP="00CD5BF7">
            <w:pPr>
              <w:spacing w:line="360" w:lineRule="auto"/>
              <w:jc w:val="center"/>
              <w:rPr>
                <w:sz w:val="22"/>
                <w:szCs w:val="22"/>
              </w:rPr>
            </w:pPr>
            <w:r w:rsidRPr="00CD5BF7">
              <w:rPr>
                <w:sz w:val="22"/>
                <w:szCs w:val="22"/>
              </w:rPr>
              <w:t>One of four regions: North, East, South, West</w:t>
            </w:r>
          </w:p>
        </w:tc>
      </w:tr>
      <w:tr w:rsidR="00F14AD7" w:rsidRPr="00CD5BF7" w14:paraId="165FB721" w14:textId="77777777">
        <w:tblPrEx>
          <w:tblCellMar>
            <w:top w:w="0" w:type="dxa"/>
            <w:bottom w:w="0" w:type="dxa"/>
          </w:tblCellMar>
        </w:tblPrEx>
        <w:tc>
          <w:tcPr>
            <w:tcW w:w="2500" w:type="dxa"/>
            <w:shd w:val="clear" w:color="auto" w:fill="FFFFFF"/>
            <w:vAlign w:val="center"/>
          </w:tcPr>
          <w:p w14:paraId="58B9688A" w14:textId="77777777" w:rsidR="00F14AD7" w:rsidRPr="00CD5BF7" w:rsidRDefault="00000000" w:rsidP="00CD5BF7">
            <w:pPr>
              <w:spacing w:line="360" w:lineRule="auto"/>
              <w:jc w:val="center"/>
              <w:rPr>
                <w:sz w:val="22"/>
                <w:szCs w:val="22"/>
              </w:rPr>
            </w:pPr>
            <w:r w:rsidRPr="00CD5BF7">
              <w:rPr>
                <w:sz w:val="22"/>
                <w:szCs w:val="22"/>
              </w:rPr>
              <w:t>Product Name</w:t>
            </w:r>
          </w:p>
        </w:tc>
        <w:tc>
          <w:tcPr>
            <w:tcW w:w="5500" w:type="dxa"/>
            <w:shd w:val="clear" w:color="auto" w:fill="FFFFFF"/>
            <w:vAlign w:val="center"/>
          </w:tcPr>
          <w:p w14:paraId="5BEC615B" w14:textId="77777777" w:rsidR="00F14AD7" w:rsidRPr="00CD5BF7" w:rsidRDefault="00000000" w:rsidP="00CD5BF7">
            <w:pPr>
              <w:spacing w:line="360" w:lineRule="auto"/>
              <w:jc w:val="center"/>
              <w:rPr>
                <w:sz w:val="22"/>
                <w:szCs w:val="22"/>
              </w:rPr>
            </w:pPr>
            <w:r w:rsidRPr="00CD5BF7">
              <w:rPr>
                <w:sz w:val="22"/>
                <w:szCs w:val="22"/>
              </w:rPr>
              <w:t>Name of the specific product sold</w:t>
            </w:r>
          </w:p>
        </w:tc>
      </w:tr>
      <w:tr w:rsidR="00F14AD7" w:rsidRPr="00CD5BF7" w14:paraId="15D1F598" w14:textId="77777777">
        <w:tblPrEx>
          <w:tblCellMar>
            <w:top w:w="0" w:type="dxa"/>
            <w:bottom w:w="0" w:type="dxa"/>
          </w:tblCellMar>
        </w:tblPrEx>
        <w:tc>
          <w:tcPr>
            <w:tcW w:w="2500" w:type="dxa"/>
            <w:shd w:val="clear" w:color="auto" w:fill="E2EFDA"/>
            <w:vAlign w:val="center"/>
          </w:tcPr>
          <w:p w14:paraId="71012302" w14:textId="77777777" w:rsidR="00F14AD7" w:rsidRPr="00CD5BF7" w:rsidRDefault="00000000" w:rsidP="00CD5BF7">
            <w:pPr>
              <w:spacing w:line="360" w:lineRule="auto"/>
              <w:jc w:val="center"/>
              <w:rPr>
                <w:sz w:val="22"/>
                <w:szCs w:val="22"/>
              </w:rPr>
            </w:pPr>
            <w:r w:rsidRPr="00CD5BF7">
              <w:rPr>
                <w:sz w:val="22"/>
                <w:szCs w:val="22"/>
              </w:rPr>
              <w:t>Category</w:t>
            </w:r>
          </w:p>
        </w:tc>
        <w:tc>
          <w:tcPr>
            <w:tcW w:w="5500" w:type="dxa"/>
            <w:shd w:val="clear" w:color="auto" w:fill="E2EFDA"/>
            <w:vAlign w:val="center"/>
          </w:tcPr>
          <w:p w14:paraId="53A90281" w14:textId="77777777" w:rsidR="00F14AD7" w:rsidRPr="00CD5BF7" w:rsidRDefault="00000000" w:rsidP="00CD5BF7">
            <w:pPr>
              <w:spacing w:line="360" w:lineRule="auto"/>
              <w:jc w:val="center"/>
              <w:rPr>
                <w:sz w:val="22"/>
                <w:szCs w:val="22"/>
              </w:rPr>
            </w:pPr>
            <w:r w:rsidRPr="00CD5BF7">
              <w:rPr>
                <w:sz w:val="22"/>
                <w:szCs w:val="22"/>
              </w:rPr>
              <w:t>Product category grouping</w:t>
            </w:r>
          </w:p>
        </w:tc>
      </w:tr>
      <w:tr w:rsidR="00F14AD7" w:rsidRPr="00CD5BF7" w14:paraId="34B549FE" w14:textId="77777777">
        <w:tblPrEx>
          <w:tblCellMar>
            <w:top w:w="0" w:type="dxa"/>
            <w:bottom w:w="0" w:type="dxa"/>
          </w:tblCellMar>
        </w:tblPrEx>
        <w:tc>
          <w:tcPr>
            <w:tcW w:w="2500" w:type="dxa"/>
            <w:shd w:val="clear" w:color="auto" w:fill="FFFFFF"/>
            <w:vAlign w:val="center"/>
          </w:tcPr>
          <w:p w14:paraId="32C77CD2" w14:textId="77777777" w:rsidR="00F14AD7" w:rsidRPr="00CD5BF7" w:rsidRDefault="00000000" w:rsidP="00CD5BF7">
            <w:pPr>
              <w:spacing w:line="360" w:lineRule="auto"/>
              <w:jc w:val="center"/>
              <w:rPr>
                <w:sz w:val="22"/>
                <w:szCs w:val="22"/>
              </w:rPr>
            </w:pPr>
            <w:r w:rsidRPr="00CD5BF7">
              <w:rPr>
                <w:sz w:val="22"/>
                <w:szCs w:val="22"/>
              </w:rPr>
              <w:t>Unit Price</w:t>
            </w:r>
          </w:p>
        </w:tc>
        <w:tc>
          <w:tcPr>
            <w:tcW w:w="5500" w:type="dxa"/>
            <w:shd w:val="clear" w:color="auto" w:fill="FFFFFF"/>
            <w:vAlign w:val="center"/>
          </w:tcPr>
          <w:p w14:paraId="2A0C4B66" w14:textId="77777777" w:rsidR="00F14AD7" w:rsidRPr="00CD5BF7" w:rsidRDefault="00000000" w:rsidP="00CD5BF7">
            <w:pPr>
              <w:spacing w:line="360" w:lineRule="auto"/>
              <w:jc w:val="center"/>
              <w:rPr>
                <w:sz w:val="22"/>
                <w:szCs w:val="22"/>
              </w:rPr>
            </w:pPr>
            <w:r w:rsidRPr="00CD5BF7">
              <w:rPr>
                <w:sz w:val="22"/>
                <w:szCs w:val="22"/>
              </w:rPr>
              <w:t>Price per unit of the product</w:t>
            </w:r>
          </w:p>
        </w:tc>
      </w:tr>
      <w:tr w:rsidR="00F14AD7" w:rsidRPr="00CD5BF7" w14:paraId="61DA1C63" w14:textId="77777777">
        <w:tblPrEx>
          <w:tblCellMar>
            <w:top w:w="0" w:type="dxa"/>
            <w:bottom w:w="0" w:type="dxa"/>
          </w:tblCellMar>
        </w:tblPrEx>
        <w:tc>
          <w:tcPr>
            <w:tcW w:w="2500" w:type="dxa"/>
            <w:shd w:val="clear" w:color="auto" w:fill="E2EFDA"/>
            <w:vAlign w:val="center"/>
          </w:tcPr>
          <w:p w14:paraId="29E4691F" w14:textId="77777777" w:rsidR="00F14AD7" w:rsidRPr="00CD5BF7" w:rsidRDefault="00000000" w:rsidP="00CD5BF7">
            <w:pPr>
              <w:spacing w:line="360" w:lineRule="auto"/>
              <w:jc w:val="center"/>
              <w:rPr>
                <w:sz w:val="22"/>
                <w:szCs w:val="22"/>
              </w:rPr>
            </w:pPr>
            <w:r w:rsidRPr="00CD5BF7">
              <w:rPr>
                <w:sz w:val="22"/>
                <w:szCs w:val="22"/>
              </w:rPr>
              <w:t>Quantity</w:t>
            </w:r>
          </w:p>
        </w:tc>
        <w:tc>
          <w:tcPr>
            <w:tcW w:w="5500" w:type="dxa"/>
            <w:shd w:val="clear" w:color="auto" w:fill="E2EFDA"/>
            <w:vAlign w:val="center"/>
          </w:tcPr>
          <w:p w14:paraId="3AA1878E" w14:textId="77777777" w:rsidR="00F14AD7" w:rsidRPr="00CD5BF7" w:rsidRDefault="00000000" w:rsidP="00CD5BF7">
            <w:pPr>
              <w:spacing w:line="360" w:lineRule="auto"/>
              <w:jc w:val="center"/>
              <w:rPr>
                <w:sz w:val="22"/>
                <w:szCs w:val="22"/>
              </w:rPr>
            </w:pPr>
            <w:r w:rsidRPr="00CD5BF7">
              <w:rPr>
                <w:sz w:val="22"/>
                <w:szCs w:val="22"/>
              </w:rPr>
              <w:t>Number of units sold per transaction</w:t>
            </w:r>
          </w:p>
        </w:tc>
      </w:tr>
      <w:tr w:rsidR="00F14AD7" w:rsidRPr="00CD5BF7" w14:paraId="2A313657" w14:textId="77777777">
        <w:tblPrEx>
          <w:tblCellMar>
            <w:top w:w="0" w:type="dxa"/>
            <w:bottom w:w="0" w:type="dxa"/>
          </w:tblCellMar>
        </w:tblPrEx>
        <w:tc>
          <w:tcPr>
            <w:tcW w:w="2500" w:type="dxa"/>
            <w:shd w:val="clear" w:color="auto" w:fill="FFFFFF"/>
            <w:vAlign w:val="center"/>
          </w:tcPr>
          <w:p w14:paraId="077FFEF3" w14:textId="77777777" w:rsidR="00F14AD7" w:rsidRPr="00CD5BF7" w:rsidRDefault="00000000" w:rsidP="00CD5BF7">
            <w:pPr>
              <w:spacing w:line="360" w:lineRule="auto"/>
              <w:jc w:val="center"/>
              <w:rPr>
                <w:sz w:val="22"/>
                <w:szCs w:val="22"/>
              </w:rPr>
            </w:pPr>
            <w:r w:rsidRPr="00CD5BF7">
              <w:rPr>
                <w:sz w:val="22"/>
                <w:szCs w:val="22"/>
              </w:rPr>
              <w:t>Revenue</w:t>
            </w:r>
          </w:p>
        </w:tc>
        <w:tc>
          <w:tcPr>
            <w:tcW w:w="5500" w:type="dxa"/>
            <w:shd w:val="clear" w:color="auto" w:fill="FFFFFF"/>
            <w:vAlign w:val="center"/>
          </w:tcPr>
          <w:p w14:paraId="546462DA" w14:textId="77777777" w:rsidR="00F14AD7" w:rsidRPr="00CD5BF7" w:rsidRDefault="00000000" w:rsidP="00CD5BF7">
            <w:pPr>
              <w:spacing w:line="360" w:lineRule="auto"/>
              <w:jc w:val="center"/>
              <w:rPr>
                <w:sz w:val="22"/>
                <w:szCs w:val="22"/>
              </w:rPr>
            </w:pPr>
            <w:r w:rsidRPr="00CD5BF7">
              <w:rPr>
                <w:sz w:val="22"/>
                <w:szCs w:val="22"/>
              </w:rPr>
              <w:t>Total revenue generated (Unit Price × Quantity)</w:t>
            </w:r>
          </w:p>
        </w:tc>
      </w:tr>
      <w:tr w:rsidR="00F14AD7" w:rsidRPr="00CD5BF7" w14:paraId="0B824DD7" w14:textId="77777777">
        <w:tblPrEx>
          <w:tblCellMar>
            <w:top w:w="0" w:type="dxa"/>
            <w:bottom w:w="0" w:type="dxa"/>
          </w:tblCellMar>
        </w:tblPrEx>
        <w:tc>
          <w:tcPr>
            <w:tcW w:w="2500" w:type="dxa"/>
            <w:shd w:val="clear" w:color="auto" w:fill="E2EFDA"/>
            <w:vAlign w:val="center"/>
          </w:tcPr>
          <w:p w14:paraId="3CFE65B9" w14:textId="77777777" w:rsidR="00F14AD7" w:rsidRPr="00CD5BF7" w:rsidRDefault="00000000" w:rsidP="00CD5BF7">
            <w:pPr>
              <w:spacing w:line="360" w:lineRule="auto"/>
              <w:jc w:val="center"/>
              <w:rPr>
                <w:sz w:val="22"/>
                <w:szCs w:val="22"/>
              </w:rPr>
            </w:pPr>
            <w:r w:rsidRPr="00CD5BF7">
              <w:rPr>
                <w:sz w:val="22"/>
                <w:szCs w:val="22"/>
              </w:rPr>
              <w:t>Ship City / State</w:t>
            </w:r>
          </w:p>
        </w:tc>
        <w:tc>
          <w:tcPr>
            <w:tcW w:w="5500" w:type="dxa"/>
            <w:shd w:val="clear" w:color="auto" w:fill="E2EFDA"/>
            <w:vAlign w:val="center"/>
          </w:tcPr>
          <w:p w14:paraId="069133F1" w14:textId="77777777" w:rsidR="00F14AD7" w:rsidRPr="00CD5BF7" w:rsidRDefault="00000000" w:rsidP="00CD5BF7">
            <w:pPr>
              <w:spacing w:line="360" w:lineRule="auto"/>
              <w:jc w:val="center"/>
              <w:rPr>
                <w:sz w:val="22"/>
                <w:szCs w:val="22"/>
              </w:rPr>
            </w:pPr>
            <w:r w:rsidRPr="00CD5BF7">
              <w:rPr>
                <w:sz w:val="22"/>
                <w:szCs w:val="22"/>
              </w:rPr>
              <w:t>Destination city and state for the shipment</w:t>
            </w:r>
          </w:p>
        </w:tc>
      </w:tr>
      <w:tr w:rsidR="00F14AD7" w:rsidRPr="00CD5BF7" w14:paraId="05B8D02A" w14:textId="77777777">
        <w:tblPrEx>
          <w:tblCellMar>
            <w:top w:w="0" w:type="dxa"/>
            <w:bottom w:w="0" w:type="dxa"/>
          </w:tblCellMar>
        </w:tblPrEx>
        <w:tc>
          <w:tcPr>
            <w:tcW w:w="2500" w:type="dxa"/>
            <w:shd w:val="clear" w:color="auto" w:fill="FFFFFF"/>
            <w:vAlign w:val="center"/>
          </w:tcPr>
          <w:p w14:paraId="20F0E7CE" w14:textId="77777777" w:rsidR="00F14AD7" w:rsidRPr="00CD5BF7" w:rsidRDefault="00000000" w:rsidP="00CD5BF7">
            <w:pPr>
              <w:spacing w:line="360" w:lineRule="auto"/>
              <w:jc w:val="center"/>
              <w:rPr>
                <w:sz w:val="22"/>
                <w:szCs w:val="22"/>
              </w:rPr>
            </w:pPr>
            <w:r w:rsidRPr="00CD5BF7">
              <w:rPr>
                <w:sz w:val="22"/>
                <w:szCs w:val="22"/>
              </w:rPr>
              <w:t>Shipping Fee</w:t>
            </w:r>
          </w:p>
        </w:tc>
        <w:tc>
          <w:tcPr>
            <w:tcW w:w="5500" w:type="dxa"/>
            <w:shd w:val="clear" w:color="auto" w:fill="FFFFFF"/>
            <w:vAlign w:val="center"/>
          </w:tcPr>
          <w:p w14:paraId="54F9943D" w14:textId="77777777" w:rsidR="00F14AD7" w:rsidRPr="00CD5BF7" w:rsidRDefault="00000000" w:rsidP="00CD5BF7">
            <w:pPr>
              <w:spacing w:line="360" w:lineRule="auto"/>
              <w:jc w:val="center"/>
              <w:rPr>
                <w:sz w:val="22"/>
                <w:szCs w:val="22"/>
              </w:rPr>
            </w:pPr>
            <w:r w:rsidRPr="00CD5BF7">
              <w:rPr>
                <w:sz w:val="22"/>
                <w:szCs w:val="22"/>
              </w:rPr>
              <w:t>Cost of shipping per transaction</w:t>
            </w:r>
          </w:p>
        </w:tc>
      </w:tr>
      <w:tr w:rsidR="00F14AD7" w:rsidRPr="00CD5BF7" w14:paraId="1FB03BED" w14:textId="77777777">
        <w:tblPrEx>
          <w:tblCellMar>
            <w:top w:w="0" w:type="dxa"/>
            <w:bottom w:w="0" w:type="dxa"/>
          </w:tblCellMar>
        </w:tblPrEx>
        <w:tc>
          <w:tcPr>
            <w:tcW w:w="2500" w:type="dxa"/>
            <w:shd w:val="clear" w:color="auto" w:fill="E2EFDA"/>
            <w:vAlign w:val="center"/>
          </w:tcPr>
          <w:p w14:paraId="1E16933B" w14:textId="77777777" w:rsidR="00F14AD7" w:rsidRPr="00CD5BF7" w:rsidRDefault="00000000" w:rsidP="00CD5BF7">
            <w:pPr>
              <w:spacing w:line="360" w:lineRule="auto"/>
              <w:jc w:val="center"/>
              <w:rPr>
                <w:sz w:val="22"/>
                <w:szCs w:val="22"/>
              </w:rPr>
            </w:pPr>
            <w:r w:rsidRPr="00CD5BF7">
              <w:rPr>
                <w:sz w:val="22"/>
                <w:szCs w:val="22"/>
              </w:rPr>
              <w:t>Payment Type</w:t>
            </w:r>
          </w:p>
        </w:tc>
        <w:tc>
          <w:tcPr>
            <w:tcW w:w="5500" w:type="dxa"/>
            <w:shd w:val="clear" w:color="auto" w:fill="E2EFDA"/>
            <w:vAlign w:val="center"/>
          </w:tcPr>
          <w:p w14:paraId="631B0C35" w14:textId="77777777" w:rsidR="00F14AD7" w:rsidRPr="00CD5BF7" w:rsidRDefault="00000000" w:rsidP="00CD5BF7">
            <w:pPr>
              <w:spacing w:line="360" w:lineRule="auto"/>
              <w:jc w:val="center"/>
              <w:rPr>
                <w:sz w:val="22"/>
                <w:szCs w:val="22"/>
              </w:rPr>
            </w:pPr>
            <w:r w:rsidRPr="00CD5BF7">
              <w:rPr>
                <w:sz w:val="22"/>
                <w:szCs w:val="22"/>
              </w:rPr>
              <w:t>Method of payment (Cash, Credit Card, Check)</w:t>
            </w:r>
          </w:p>
        </w:tc>
      </w:tr>
    </w:tbl>
    <w:p w14:paraId="46F7B170" w14:textId="77777777" w:rsidR="00F14AD7" w:rsidRPr="00CD5BF7" w:rsidRDefault="00F14AD7" w:rsidP="00CD5BF7">
      <w:pPr>
        <w:spacing w:before="100" w:after="100" w:line="360" w:lineRule="auto"/>
        <w:rPr>
          <w:sz w:val="22"/>
          <w:szCs w:val="22"/>
        </w:rPr>
      </w:pPr>
    </w:p>
    <w:p w14:paraId="275EF453" w14:textId="77777777" w:rsidR="00F14AD7" w:rsidRPr="00CD5BF7" w:rsidRDefault="00000000" w:rsidP="00CD5BF7">
      <w:pPr>
        <w:spacing w:line="360" w:lineRule="auto"/>
        <w:rPr>
          <w:b/>
          <w:bCs/>
          <w:color w:val="375623"/>
          <w:sz w:val="22"/>
          <w:szCs w:val="22"/>
        </w:rPr>
      </w:pPr>
      <w:r w:rsidRPr="00CD5BF7">
        <w:rPr>
          <w:b/>
          <w:bCs/>
          <w:sz w:val="22"/>
          <w:szCs w:val="22"/>
        </w:rPr>
        <w:t>Important Features and Their Significance</w:t>
      </w:r>
    </w:p>
    <w:p w14:paraId="00CFD771"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Revenue — the primary dependent variable and the central metric of this entire analysis</w:t>
      </w:r>
    </w:p>
    <w:p w14:paraId="4088C1DF"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Region — enables geographic performance comparison and identifies where commercial concentration lies</w:t>
      </w:r>
    </w:p>
    <w:p w14:paraId="59826E37"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lastRenderedPageBreak/>
        <w:t>Salesperson — links individual productivity to overall revenue outcomes</w:t>
      </w:r>
    </w:p>
    <w:p w14:paraId="7BCB0FFD"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Category — reveals which product lines are driving and which are lagging in commercial contribution</w:t>
      </w:r>
    </w:p>
    <w:p w14:paraId="38315F36"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Order Date — enables temporal analysis including monthly trends and seasonality identification</w:t>
      </w:r>
    </w:p>
    <w:p w14:paraId="591E6FA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Ship City — allows city-level geographic revenue mapping and market penetration analysis</w:t>
      </w:r>
    </w:p>
    <w:p w14:paraId="7FAE8673" w14:textId="77777777" w:rsidR="00F14AD7" w:rsidRPr="00CD5BF7" w:rsidRDefault="00000000" w:rsidP="00CD5BF7">
      <w:pPr>
        <w:spacing w:line="360" w:lineRule="auto"/>
        <w:rPr>
          <w:b/>
          <w:bCs/>
          <w:color w:val="375623"/>
          <w:sz w:val="22"/>
          <w:szCs w:val="22"/>
        </w:rPr>
      </w:pPr>
      <w:r w:rsidRPr="00CD5BF7">
        <w:rPr>
          <w:b/>
          <w:bCs/>
          <w:sz w:val="22"/>
          <w:szCs w:val="22"/>
        </w:rPr>
        <w:t>Data Limitations or Biases</w:t>
      </w:r>
    </w:p>
    <w:p w14:paraId="6568E4BC"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Shipped Date: 78 missing values — limits analysis of actual delivery timelines and shipping efficiency</w:t>
      </w:r>
    </w:p>
    <w:p w14:paraId="041BDCFD"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Shipper Name: 39 missing values — reduces ability to fully evaluate shipper performance</w:t>
      </w:r>
    </w:p>
    <w:p w14:paraId="3BF97D7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Payment Type: 102 missing values — the largest gap, limiting payment behavior analysis</w:t>
      </w:r>
    </w:p>
    <w:p w14:paraId="6D4F6132"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Product Name and Unit Price: 3 missing values each — minor but noted for completeness</w:t>
      </w:r>
    </w:p>
    <w:p w14:paraId="1950BDFE"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The dataset covers only one fiscal year (2014), limiting multi-year trend and year-over-year comparisons</w:t>
      </w:r>
    </w:p>
    <w:p w14:paraId="49957272" w14:textId="77777777" w:rsidR="00F14AD7" w:rsidRPr="00CD5BF7" w:rsidRDefault="00000000" w:rsidP="00CD5BF7">
      <w:pPr>
        <w:spacing w:line="360" w:lineRule="auto"/>
        <w:rPr>
          <w:sz w:val="22"/>
          <w:szCs w:val="22"/>
        </w:rPr>
      </w:pPr>
      <w:r w:rsidRPr="00CD5BF7">
        <w:rPr>
          <w:sz w:val="22"/>
          <w:szCs w:val="22"/>
        </w:rPr>
        <w:br w:type="page"/>
      </w:r>
    </w:p>
    <w:p w14:paraId="05544999"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4. DATA SPLITTING AND PREPROCESSING</w:t>
      </w:r>
    </w:p>
    <w:p w14:paraId="0D981F51" w14:textId="77777777" w:rsidR="00F14AD7" w:rsidRPr="00CD5BF7" w:rsidRDefault="00000000" w:rsidP="00CD5BF7">
      <w:pPr>
        <w:spacing w:line="360" w:lineRule="auto"/>
        <w:rPr>
          <w:b/>
          <w:bCs/>
          <w:color w:val="375623"/>
          <w:sz w:val="22"/>
          <w:szCs w:val="22"/>
        </w:rPr>
      </w:pPr>
      <w:r w:rsidRPr="00CD5BF7">
        <w:rPr>
          <w:b/>
          <w:bCs/>
          <w:sz w:val="22"/>
          <w:szCs w:val="22"/>
        </w:rPr>
        <w:t>Data Cleaning</w:t>
      </w:r>
    </w:p>
    <w:p w14:paraId="1FF62AC3" w14:textId="77777777" w:rsidR="00F14AD7" w:rsidRPr="00CD5BF7" w:rsidRDefault="00000000" w:rsidP="00CD5BF7">
      <w:pPr>
        <w:spacing w:before="80" w:after="80" w:line="360" w:lineRule="auto"/>
        <w:jc w:val="both"/>
        <w:rPr>
          <w:sz w:val="22"/>
          <w:szCs w:val="22"/>
        </w:rPr>
      </w:pPr>
      <w:r w:rsidRPr="00CD5BF7">
        <w:rPr>
          <w:sz w:val="22"/>
          <w:szCs w:val="22"/>
        </w:rPr>
        <w:t>The following cleaning steps were performed before analysis commenced:</w:t>
      </w:r>
    </w:p>
    <w:p w14:paraId="57EE5E27" w14:textId="77777777" w:rsidR="002C0BDB" w:rsidRPr="00CD5BF7" w:rsidRDefault="002C0BDB" w:rsidP="00CD5BF7">
      <w:pPr>
        <w:numPr>
          <w:ilvl w:val="0"/>
          <w:numId w:val="2"/>
        </w:numPr>
        <w:spacing w:line="360" w:lineRule="auto"/>
        <w:rPr>
          <w:sz w:val="22"/>
          <w:szCs w:val="22"/>
        </w:rPr>
      </w:pPr>
      <w:r w:rsidRPr="00CD5BF7">
        <w:rPr>
          <w:sz w:val="22"/>
          <w:szCs w:val="22"/>
        </w:rPr>
        <w:t>Removed duplicate records.</w:t>
      </w:r>
    </w:p>
    <w:p w14:paraId="6E9EF092" w14:textId="77777777" w:rsidR="002C0BDB" w:rsidRPr="00CD5BF7" w:rsidRDefault="002C0BDB" w:rsidP="00CD5BF7">
      <w:pPr>
        <w:numPr>
          <w:ilvl w:val="0"/>
          <w:numId w:val="2"/>
        </w:numPr>
        <w:spacing w:line="360" w:lineRule="auto"/>
        <w:rPr>
          <w:sz w:val="22"/>
          <w:szCs w:val="22"/>
        </w:rPr>
      </w:pPr>
      <w:r w:rsidRPr="00CD5BF7">
        <w:rPr>
          <w:sz w:val="22"/>
          <w:szCs w:val="22"/>
        </w:rPr>
        <w:t>Standardized product and customer names.</w:t>
      </w:r>
    </w:p>
    <w:p w14:paraId="62800FF7" w14:textId="77777777" w:rsidR="002C0BDB" w:rsidRPr="00CD5BF7" w:rsidRDefault="002C0BDB" w:rsidP="00CD5BF7">
      <w:pPr>
        <w:numPr>
          <w:ilvl w:val="0"/>
          <w:numId w:val="2"/>
        </w:numPr>
        <w:spacing w:line="360" w:lineRule="auto"/>
        <w:rPr>
          <w:sz w:val="22"/>
          <w:szCs w:val="22"/>
        </w:rPr>
      </w:pPr>
      <w:r w:rsidRPr="00CD5BF7">
        <w:rPr>
          <w:sz w:val="22"/>
          <w:szCs w:val="22"/>
        </w:rPr>
        <w:t>Corrected inconsistent text formatting.</w:t>
      </w:r>
    </w:p>
    <w:p w14:paraId="65F16B8B" w14:textId="77777777" w:rsidR="002C0BDB" w:rsidRPr="00CD5BF7" w:rsidRDefault="002C0BDB" w:rsidP="00CD5BF7">
      <w:pPr>
        <w:numPr>
          <w:ilvl w:val="0"/>
          <w:numId w:val="2"/>
        </w:numPr>
        <w:spacing w:line="360" w:lineRule="auto"/>
        <w:rPr>
          <w:sz w:val="22"/>
          <w:szCs w:val="22"/>
        </w:rPr>
      </w:pPr>
      <w:r w:rsidRPr="00CD5BF7">
        <w:rPr>
          <w:sz w:val="22"/>
          <w:szCs w:val="22"/>
        </w:rPr>
        <w:t>Verified numerical values.</w:t>
      </w:r>
    </w:p>
    <w:p w14:paraId="79B79427" w14:textId="77777777" w:rsidR="002C0BDB" w:rsidRPr="00CD5BF7" w:rsidRDefault="002C0BDB" w:rsidP="00CD5BF7">
      <w:pPr>
        <w:numPr>
          <w:ilvl w:val="0"/>
          <w:numId w:val="2"/>
        </w:numPr>
        <w:spacing w:line="360" w:lineRule="auto"/>
        <w:rPr>
          <w:sz w:val="22"/>
          <w:szCs w:val="22"/>
        </w:rPr>
      </w:pPr>
      <w:r w:rsidRPr="00CD5BF7">
        <w:rPr>
          <w:sz w:val="22"/>
          <w:szCs w:val="22"/>
        </w:rPr>
        <w:t>Removed blank rows.</w:t>
      </w:r>
    </w:p>
    <w:p w14:paraId="12BB8226" w14:textId="77777777" w:rsidR="002C0BDB" w:rsidRPr="00CD5BF7" w:rsidRDefault="002C0BDB" w:rsidP="00CD5BF7">
      <w:pPr>
        <w:numPr>
          <w:ilvl w:val="0"/>
          <w:numId w:val="2"/>
        </w:numPr>
        <w:spacing w:line="360" w:lineRule="auto"/>
        <w:rPr>
          <w:sz w:val="22"/>
          <w:szCs w:val="22"/>
        </w:rPr>
      </w:pPr>
      <w:r w:rsidRPr="00CD5BF7">
        <w:rPr>
          <w:sz w:val="22"/>
          <w:szCs w:val="22"/>
        </w:rPr>
        <w:t>Ensured consistent date formatting.</w:t>
      </w:r>
    </w:p>
    <w:p w14:paraId="131A61D0" w14:textId="77777777" w:rsidR="00F14AD7" w:rsidRPr="00CD5BF7" w:rsidRDefault="00000000" w:rsidP="00CD5BF7">
      <w:pPr>
        <w:spacing w:line="360" w:lineRule="auto"/>
        <w:rPr>
          <w:b/>
          <w:bCs/>
          <w:color w:val="375623"/>
          <w:sz w:val="22"/>
          <w:szCs w:val="22"/>
        </w:rPr>
      </w:pPr>
      <w:r w:rsidRPr="00CD5BF7">
        <w:rPr>
          <w:b/>
          <w:bCs/>
          <w:sz w:val="22"/>
          <w:szCs w:val="22"/>
        </w:rPr>
        <w:t>Handling Missing Values</w:t>
      </w:r>
    </w:p>
    <w:p w14:paraId="691609D1" w14:textId="77777777" w:rsidR="002C0BDB" w:rsidRPr="00CD5BF7" w:rsidRDefault="002C0BDB" w:rsidP="00CD5BF7">
      <w:pPr>
        <w:pStyle w:val="ListParagraph"/>
        <w:numPr>
          <w:ilvl w:val="0"/>
          <w:numId w:val="4"/>
        </w:numPr>
        <w:spacing w:line="360" w:lineRule="auto"/>
        <w:rPr>
          <w:sz w:val="22"/>
          <w:szCs w:val="22"/>
        </w:rPr>
      </w:pPr>
      <w:r w:rsidRPr="00CD5BF7">
        <w:rPr>
          <w:sz w:val="22"/>
          <w:szCs w:val="22"/>
        </w:rPr>
        <w:t>Missing values were handled through:</w:t>
      </w:r>
    </w:p>
    <w:p w14:paraId="575E7C37" w14:textId="77777777" w:rsidR="002C0BDB" w:rsidRPr="00CD5BF7" w:rsidRDefault="002C0BDB" w:rsidP="00CD5BF7">
      <w:pPr>
        <w:pStyle w:val="ListParagraph"/>
        <w:numPr>
          <w:ilvl w:val="0"/>
          <w:numId w:val="4"/>
        </w:numPr>
        <w:spacing w:line="360" w:lineRule="auto"/>
        <w:rPr>
          <w:sz w:val="22"/>
          <w:szCs w:val="22"/>
        </w:rPr>
      </w:pPr>
      <w:r w:rsidRPr="00CD5BF7">
        <w:rPr>
          <w:sz w:val="22"/>
          <w:szCs w:val="22"/>
        </w:rPr>
        <w:t>Excel Filters</w:t>
      </w:r>
    </w:p>
    <w:p w14:paraId="1DCD3635" w14:textId="77777777" w:rsidR="002C0BDB" w:rsidRPr="00CD5BF7" w:rsidRDefault="002C0BDB" w:rsidP="00CD5BF7">
      <w:pPr>
        <w:pStyle w:val="ListParagraph"/>
        <w:numPr>
          <w:ilvl w:val="0"/>
          <w:numId w:val="4"/>
        </w:numPr>
        <w:spacing w:line="360" w:lineRule="auto"/>
        <w:rPr>
          <w:sz w:val="22"/>
          <w:szCs w:val="22"/>
        </w:rPr>
      </w:pPr>
      <w:r w:rsidRPr="00CD5BF7">
        <w:rPr>
          <w:sz w:val="22"/>
          <w:szCs w:val="22"/>
        </w:rPr>
        <w:t>IFERROR functions</w:t>
      </w:r>
    </w:p>
    <w:p w14:paraId="356A2002" w14:textId="77777777" w:rsidR="002C0BDB" w:rsidRPr="00CD5BF7" w:rsidRDefault="002C0BDB" w:rsidP="00CD5BF7">
      <w:pPr>
        <w:pStyle w:val="ListParagraph"/>
        <w:numPr>
          <w:ilvl w:val="0"/>
          <w:numId w:val="4"/>
        </w:numPr>
        <w:spacing w:line="360" w:lineRule="auto"/>
        <w:rPr>
          <w:sz w:val="22"/>
          <w:szCs w:val="22"/>
        </w:rPr>
      </w:pPr>
      <w:r w:rsidRPr="00CD5BF7">
        <w:rPr>
          <w:sz w:val="22"/>
          <w:szCs w:val="22"/>
        </w:rPr>
        <w:t>Blank cell validation</w:t>
      </w:r>
    </w:p>
    <w:p w14:paraId="6E8CD5E8" w14:textId="6A4A09E2" w:rsidR="002C0BDB" w:rsidRPr="00CD5BF7" w:rsidRDefault="002C0BDB" w:rsidP="00CD5BF7">
      <w:pPr>
        <w:pStyle w:val="ListParagraph"/>
        <w:numPr>
          <w:ilvl w:val="0"/>
          <w:numId w:val="4"/>
        </w:numPr>
        <w:spacing w:line="360" w:lineRule="auto"/>
        <w:rPr>
          <w:sz w:val="22"/>
          <w:szCs w:val="22"/>
        </w:rPr>
      </w:pPr>
      <w:r w:rsidRPr="00CD5BF7">
        <w:rPr>
          <w:sz w:val="22"/>
          <w:szCs w:val="22"/>
        </w:rPr>
        <w:t>Removal of incomplete records where necessary</w:t>
      </w:r>
    </w:p>
    <w:p w14:paraId="77B9D3DA" w14:textId="77777777" w:rsidR="00F14AD7" w:rsidRPr="00CD5BF7" w:rsidRDefault="00000000" w:rsidP="00CD5BF7">
      <w:pPr>
        <w:spacing w:line="360" w:lineRule="auto"/>
        <w:rPr>
          <w:b/>
          <w:bCs/>
          <w:color w:val="375623"/>
          <w:sz w:val="22"/>
          <w:szCs w:val="22"/>
        </w:rPr>
      </w:pPr>
      <w:r w:rsidRPr="00CD5BF7">
        <w:rPr>
          <w:b/>
          <w:bCs/>
          <w:sz w:val="22"/>
          <w:szCs w:val="22"/>
        </w:rPr>
        <w:t>Data Transformations</w:t>
      </w:r>
    </w:p>
    <w:p w14:paraId="2F014F54"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 xml:space="preserve">Month extraction: A Month column was derived from Order Date using the Excel </w:t>
      </w:r>
      <w:proofErr w:type="gramStart"/>
      <w:r w:rsidRPr="00CD5BF7">
        <w:rPr>
          <w:sz w:val="22"/>
          <w:szCs w:val="22"/>
        </w:rPr>
        <w:t>MONTH(</w:t>
      </w:r>
      <w:proofErr w:type="gramEnd"/>
      <w:r w:rsidRPr="00CD5BF7">
        <w:rPr>
          <w:sz w:val="22"/>
          <w:szCs w:val="22"/>
        </w:rPr>
        <w:t>) function to enable monthly trend analysis</w:t>
      </w:r>
    </w:p>
    <w:p w14:paraId="604D0A2D"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Revenue aggregation: Pivot tables were created to sum Revenue by Region, Salesperson, Category, Customer, Ship City, and Month</w:t>
      </w:r>
    </w:p>
    <w:p w14:paraId="50F9830F" w14:textId="77777777" w:rsidR="00F14AD7" w:rsidRPr="00CD5BF7" w:rsidRDefault="00000000" w:rsidP="00CD5BF7">
      <w:pPr>
        <w:spacing w:line="360" w:lineRule="auto"/>
        <w:rPr>
          <w:b/>
          <w:bCs/>
          <w:color w:val="375623"/>
          <w:sz w:val="22"/>
          <w:szCs w:val="22"/>
        </w:rPr>
      </w:pPr>
      <w:r w:rsidRPr="00CD5BF7">
        <w:rPr>
          <w:b/>
          <w:bCs/>
          <w:sz w:val="22"/>
          <w:szCs w:val="22"/>
        </w:rPr>
        <w:t>Data Splitting — Dependent and Independent Variables</w:t>
      </w:r>
    </w:p>
    <w:p w14:paraId="0F25C040" w14:textId="77777777" w:rsidR="00F14AD7" w:rsidRPr="00CD5BF7" w:rsidRDefault="00F14AD7" w:rsidP="00CD5BF7">
      <w:pPr>
        <w:spacing w:before="100" w:after="100" w:line="360" w:lineRule="auto"/>
        <w:rPr>
          <w:sz w:val="22"/>
          <w:szCs w:val="22"/>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200"/>
        <w:gridCol w:w="4000"/>
      </w:tblGrid>
      <w:tr w:rsidR="00F14AD7" w:rsidRPr="00CD5BF7" w14:paraId="4A1A32B5" w14:textId="77777777">
        <w:tblPrEx>
          <w:tblCellMar>
            <w:top w:w="0" w:type="dxa"/>
            <w:bottom w:w="0" w:type="dxa"/>
          </w:tblCellMar>
        </w:tblPrEx>
        <w:tc>
          <w:tcPr>
            <w:tcW w:w="1800" w:type="dxa"/>
            <w:shd w:val="clear" w:color="auto" w:fill="1F4E00"/>
            <w:vAlign w:val="center"/>
          </w:tcPr>
          <w:p w14:paraId="364D1D02" w14:textId="77777777" w:rsidR="00F14AD7" w:rsidRPr="00CD5BF7" w:rsidRDefault="00000000" w:rsidP="00CD5BF7">
            <w:pPr>
              <w:spacing w:line="360" w:lineRule="auto"/>
              <w:jc w:val="center"/>
              <w:rPr>
                <w:sz w:val="22"/>
                <w:szCs w:val="22"/>
              </w:rPr>
            </w:pPr>
            <w:r w:rsidRPr="00CD5BF7">
              <w:rPr>
                <w:b/>
                <w:bCs/>
                <w:color w:val="FFFFFF"/>
                <w:sz w:val="22"/>
                <w:szCs w:val="22"/>
              </w:rPr>
              <w:t>Variable Type</w:t>
            </w:r>
          </w:p>
        </w:tc>
        <w:tc>
          <w:tcPr>
            <w:tcW w:w="2200" w:type="dxa"/>
            <w:shd w:val="clear" w:color="auto" w:fill="1F4E00"/>
            <w:vAlign w:val="center"/>
          </w:tcPr>
          <w:p w14:paraId="475EB3B0" w14:textId="77777777" w:rsidR="00F14AD7" w:rsidRPr="00CD5BF7" w:rsidRDefault="00000000" w:rsidP="00CD5BF7">
            <w:pPr>
              <w:spacing w:line="360" w:lineRule="auto"/>
              <w:jc w:val="center"/>
              <w:rPr>
                <w:sz w:val="22"/>
                <w:szCs w:val="22"/>
              </w:rPr>
            </w:pPr>
            <w:r w:rsidRPr="00CD5BF7">
              <w:rPr>
                <w:b/>
                <w:bCs/>
                <w:color w:val="FFFFFF"/>
                <w:sz w:val="22"/>
                <w:szCs w:val="22"/>
              </w:rPr>
              <w:t>Column</w:t>
            </w:r>
          </w:p>
        </w:tc>
        <w:tc>
          <w:tcPr>
            <w:tcW w:w="4000" w:type="dxa"/>
            <w:shd w:val="clear" w:color="auto" w:fill="1F4E00"/>
            <w:vAlign w:val="center"/>
          </w:tcPr>
          <w:p w14:paraId="1720383D" w14:textId="77777777" w:rsidR="00F14AD7" w:rsidRPr="00CD5BF7" w:rsidRDefault="00000000" w:rsidP="00CD5BF7">
            <w:pPr>
              <w:spacing w:line="360" w:lineRule="auto"/>
              <w:jc w:val="center"/>
              <w:rPr>
                <w:sz w:val="22"/>
                <w:szCs w:val="22"/>
              </w:rPr>
            </w:pPr>
            <w:r w:rsidRPr="00CD5BF7">
              <w:rPr>
                <w:b/>
                <w:bCs/>
                <w:color w:val="FFFFFF"/>
                <w:sz w:val="22"/>
                <w:szCs w:val="22"/>
              </w:rPr>
              <w:t>Role in Analysis</w:t>
            </w:r>
          </w:p>
        </w:tc>
      </w:tr>
      <w:tr w:rsidR="00F14AD7" w:rsidRPr="00CD5BF7" w14:paraId="468245E7" w14:textId="77777777">
        <w:tblPrEx>
          <w:tblCellMar>
            <w:top w:w="0" w:type="dxa"/>
            <w:bottom w:w="0" w:type="dxa"/>
          </w:tblCellMar>
        </w:tblPrEx>
        <w:tc>
          <w:tcPr>
            <w:tcW w:w="1800" w:type="dxa"/>
            <w:shd w:val="clear" w:color="auto" w:fill="E2EFDA"/>
            <w:vAlign w:val="center"/>
          </w:tcPr>
          <w:p w14:paraId="6A182C95" w14:textId="77777777" w:rsidR="00F14AD7" w:rsidRPr="00CD5BF7" w:rsidRDefault="00000000" w:rsidP="00CD5BF7">
            <w:pPr>
              <w:spacing w:line="360" w:lineRule="auto"/>
              <w:jc w:val="center"/>
              <w:rPr>
                <w:sz w:val="22"/>
                <w:szCs w:val="22"/>
              </w:rPr>
            </w:pPr>
            <w:r w:rsidRPr="00CD5BF7">
              <w:rPr>
                <w:sz w:val="22"/>
                <w:szCs w:val="22"/>
              </w:rPr>
              <w:t>Dependent</w:t>
            </w:r>
          </w:p>
        </w:tc>
        <w:tc>
          <w:tcPr>
            <w:tcW w:w="2200" w:type="dxa"/>
            <w:shd w:val="clear" w:color="auto" w:fill="E2EFDA"/>
            <w:vAlign w:val="center"/>
          </w:tcPr>
          <w:p w14:paraId="3C73405F" w14:textId="77777777" w:rsidR="00F14AD7" w:rsidRPr="00CD5BF7" w:rsidRDefault="00000000" w:rsidP="00CD5BF7">
            <w:pPr>
              <w:spacing w:line="360" w:lineRule="auto"/>
              <w:jc w:val="center"/>
              <w:rPr>
                <w:sz w:val="22"/>
                <w:szCs w:val="22"/>
              </w:rPr>
            </w:pPr>
            <w:r w:rsidRPr="00CD5BF7">
              <w:rPr>
                <w:sz w:val="22"/>
                <w:szCs w:val="22"/>
              </w:rPr>
              <w:t>Revenue</w:t>
            </w:r>
          </w:p>
        </w:tc>
        <w:tc>
          <w:tcPr>
            <w:tcW w:w="4000" w:type="dxa"/>
            <w:shd w:val="clear" w:color="auto" w:fill="E2EFDA"/>
            <w:vAlign w:val="center"/>
          </w:tcPr>
          <w:p w14:paraId="2C795A19" w14:textId="77777777" w:rsidR="00F14AD7" w:rsidRPr="00CD5BF7" w:rsidRDefault="00000000" w:rsidP="00CD5BF7">
            <w:pPr>
              <w:spacing w:line="360" w:lineRule="auto"/>
              <w:jc w:val="center"/>
              <w:rPr>
                <w:sz w:val="22"/>
                <w:szCs w:val="22"/>
              </w:rPr>
            </w:pPr>
            <w:r w:rsidRPr="00CD5BF7">
              <w:rPr>
                <w:sz w:val="22"/>
                <w:szCs w:val="22"/>
              </w:rPr>
              <w:t>Primary outcome being measured and explained</w:t>
            </w:r>
          </w:p>
        </w:tc>
      </w:tr>
      <w:tr w:rsidR="00F14AD7" w:rsidRPr="00CD5BF7" w14:paraId="54400FA5" w14:textId="77777777">
        <w:tblPrEx>
          <w:tblCellMar>
            <w:top w:w="0" w:type="dxa"/>
            <w:bottom w:w="0" w:type="dxa"/>
          </w:tblCellMar>
        </w:tblPrEx>
        <w:tc>
          <w:tcPr>
            <w:tcW w:w="1800" w:type="dxa"/>
            <w:shd w:val="clear" w:color="auto" w:fill="FFFFFF"/>
            <w:vAlign w:val="center"/>
          </w:tcPr>
          <w:p w14:paraId="0EC07A13"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FFFFFF"/>
            <w:vAlign w:val="center"/>
          </w:tcPr>
          <w:p w14:paraId="0917E580" w14:textId="77777777" w:rsidR="00F14AD7" w:rsidRPr="00CD5BF7" w:rsidRDefault="00000000" w:rsidP="00CD5BF7">
            <w:pPr>
              <w:spacing w:line="360" w:lineRule="auto"/>
              <w:jc w:val="center"/>
              <w:rPr>
                <w:sz w:val="22"/>
                <w:szCs w:val="22"/>
              </w:rPr>
            </w:pPr>
            <w:r w:rsidRPr="00CD5BF7">
              <w:rPr>
                <w:sz w:val="22"/>
                <w:szCs w:val="22"/>
              </w:rPr>
              <w:t>Region</w:t>
            </w:r>
          </w:p>
        </w:tc>
        <w:tc>
          <w:tcPr>
            <w:tcW w:w="4000" w:type="dxa"/>
            <w:shd w:val="clear" w:color="auto" w:fill="FFFFFF"/>
            <w:vAlign w:val="center"/>
          </w:tcPr>
          <w:p w14:paraId="74CC149F" w14:textId="77777777" w:rsidR="00F14AD7" w:rsidRPr="00CD5BF7" w:rsidRDefault="00000000" w:rsidP="00CD5BF7">
            <w:pPr>
              <w:spacing w:line="360" w:lineRule="auto"/>
              <w:jc w:val="center"/>
              <w:rPr>
                <w:sz w:val="22"/>
                <w:szCs w:val="22"/>
              </w:rPr>
            </w:pPr>
            <w:r w:rsidRPr="00CD5BF7">
              <w:rPr>
                <w:sz w:val="22"/>
                <w:szCs w:val="22"/>
              </w:rPr>
              <w:t>Geographic grouping driving revenue distribution</w:t>
            </w:r>
          </w:p>
        </w:tc>
      </w:tr>
      <w:tr w:rsidR="00F14AD7" w:rsidRPr="00CD5BF7" w14:paraId="74EEDE64" w14:textId="77777777">
        <w:tblPrEx>
          <w:tblCellMar>
            <w:top w:w="0" w:type="dxa"/>
            <w:bottom w:w="0" w:type="dxa"/>
          </w:tblCellMar>
        </w:tblPrEx>
        <w:tc>
          <w:tcPr>
            <w:tcW w:w="1800" w:type="dxa"/>
            <w:shd w:val="clear" w:color="auto" w:fill="E2EFDA"/>
            <w:vAlign w:val="center"/>
          </w:tcPr>
          <w:p w14:paraId="38A51EC2"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E2EFDA"/>
            <w:vAlign w:val="center"/>
          </w:tcPr>
          <w:p w14:paraId="3199CEF2" w14:textId="77777777" w:rsidR="00F14AD7" w:rsidRPr="00CD5BF7" w:rsidRDefault="00000000" w:rsidP="00CD5BF7">
            <w:pPr>
              <w:spacing w:line="360" w:lineRule="auto"/>
              <w:jc w:val="center"/>
              <w:rPr>
                <w:sz w:val="22"/>
                <w:szCs w:val="22"/>
              </w:rPr>
            </w:pPr>
            <w:r w:rsidRPr="00CD5BF7">
              <w:rPr>
                <w:sz w:val="22"/>
                <w:szCs w:val="22"/>
              </w:rPr>
              <w:t>Salesperson</w:t>
            </w:r>
          </w:p>
        </w:tc>
        <w:tc>
          <w:tcPr>
            <w:tcW w:w="4000" w:type="dxa"/>
            <w:shd w:val="clear" w:color="auto" w:fill="E2EFDA"/>
            <w:vAlign w:val="center"/>
          </w:tcPr>
          <w:p w14:paraId="74A4E4EA" w14:textId="77777777" w:rsidR="00F14AD7" w:rsidRPr="00CD5BF7" w:rsidRDefault="00000000" w:rsidP="00CD5BF7">
            <w:pPr>
              <w:spacing w:line="360" w:lineRule="auto"/>
              <w:jc w:val="center"/>
              <w:rPr>
                <w:sz w:val="22"/>
                <w:szCs w:val="22"/>
              </w:rPr>
            </w:pPr>
            <w:r w:rsidRPr="00CD5BF7">
              <w:rPr>
                <w:sz w:val="22"/>
                <w:szCs w:val="22"/>
              </w:rPr>
              <w:t>Individual performance driver of revenue</w:t>
            </w:r>
          </w:p>
        </w:tc>
      </w:tr>
      <w:tr w:rsidR="00F14AD7" w:rsidRPr="00CD5BF7" w14:paraId="1A700519" w14:textId="77777777">
        <w:tblPrEx>
          <w:tblCellMar>
            <w:top w:w="0" w:type="dxa"/>
            <w:bottom w:w="0" w:type="dxa"/>
          </w:tblCellMar>
        </w:tblPrEx>
        <w:tc>
          <w:tcPr>
            <w:tcW w:w="1800" w:type="dxa"/>
            <w:shd w:val="clear" w:color="auto" w:fill="FFFFFF"/>
            <w:vAlign w:val="center"/>
          </w:tcPr>
          <w:p w14:paraId="0AD68610"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FFFFFF"/>
            <w:vAlign w:val="center"/>
          </w:tcPr>
          <w:p w14:paraId="62E1BE4C" w14:textId="77777777" w:rsidR="00F14AD7" w:rsidRPr="00CD5BF7" w:rsidRDefault="00000000" w:rsidP="00CD5BF7">
            <w:pPr>
              <w:spacing w:line="360" w:lineRule="auto"/>
              <w:jc w:val="center"/>
              <w:rPr>
                <w:sz w:val="22"/>
                <w:szCs w:val="22"/>
              </w:rPr>
            </w:pPr>
            <w:r w:rsidRPr="00CD5BF7">
              <w:rPr>
                <w:sz w:val="22"/>
                <w:szCs w:val="22"/>
              </w:rPr>
              <w:t>Category</w:t>
            </w:r>
          </w:p>
        </w:tc>
        <w:tc>
          <w:tcPr>
            <w:tcW w:w="4000" w:type="dxa"/>
            <w:shd w:val="clear" w:color="auto" w:fill="FFFFFF"/>
            <w:vAlign w:val="center"/>
          </w:tcPr>
          <w:p w14:paraId="094E4314" w14:textId="77777777" w:rsidR="00F14AD7" w:rsidRPr="00CD5BF7" w:rsidRDefault="00000000" w:rsidP="00CD5BF7">
            <w:pPr>
              <w:spacing w:line="360" w:lineRule="auto"/>
              <w:jc w:val="center"/>
              <w:rPr>
                <w:sz w:val="22"/>
                <w:szCs w:val="22"/>
              </w:rPr>
            </w:pPr>
            <w:r w:rsidRPr="00CD5BF7">
              <w:rPr>
                <w:sz w:val="22"/>
                <w:szCs w:val="22"/>
              </w:rPr>
              <w:t>Product classification influencing revenue mix</w:t>
            </w:r>
          </w:p>
        </w:tc>
      </w:tr>
      <w:tr w:rsidR="00F14AD7" w:rsidRPr="00CD5BF7" w14:paraId="15838BF1" w14:textId="77777777">
        <w:tblPrEx>
          <w:tblCellMar>
            <w:top w:w="0" w:type="dxa"/>
            <w:bottom w:w="0" w:type="dxa"/>
          </w:tblCellMar>
        </w:tblPrEx>
        <w:tc>
          <w:tcPr>
            <w:tcW w:w="1800" w:type="dxa"/>
            <w:shd w:val="clear" w:color="auto" w:fill="E2EFDA"/>
            <w:vAlign w:val="center"/>
          </w:tcPr>
          <w:p w14:paraId="568057B6"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E2EFDA"/>
            <w:vAlign w:val="center"/>
          </w:tcPr>
          <w:p w14:paraId="14B1D3D6" w14:textId="77777777" w:rsidR="00F14AD7" w:rsidRPr="00CD5BF7" w:rsidRDefault="00000000" w:rsidP="00CD5BF7">
            <w:pPr>
              <w:spacing w:line="360" w:lineRule="auto"/>
              <w:jc w:val="center"/>
              <w:rPr>
                <w:sz w:val="22"/>
                <w:szCs w:val="22"/>
              </w:rPr>
            </w:pPr>
            <w:r w:rsidRPr="00CD5BF7">
              <w:rPr>
                <w:sz w:val="22"/>
                <w:szCs w:val="22"/>
              </w:rPr>
              <w:t>Order Date / Month</w:t>
            </w:r>
          </w:p>
        </w:tc>
        <w:tc>
          <w:tcPr>
            <w:tcW w:w="4000" w:type="dxa"/>
            <w:shd w:val="clear" w:color="auto" w:fill="E2EFDA"/>
            <w:vAlign w:val="center"/>
          </w:tcPr>
          <w:p w14:paraId="05186FBE" w14:textId="77777777" w:rsidR="00F14AD7" w:rsidRPr="00CD5BF7" w:rsidRDefault="00000000" w:rsidP="00CD5BF7">
            <w:pPr>
              <w:spacing w:line="360" w:lineRule="auto"/>
              <w:jc w:val="center"/>
              <w:rPr>
                <w:sz w:val="22"/>
                <w:szCs w:val="22"/>
              </w:rPr>
            </w:pPr>
            <w:r w:rsidRPr="00CD5BF7">
              <w:rPr>
                <w:sz w:val="22"/>
                <w:szCs w:val="22"/>
              </w:rPr>
              <w:t>Temporal driver of seasonal revenue patterns</w:t>
            </w:r>
          </w:p>
        </w:tc>
      </w:tr>
      <w:tr w:rsidR="00F14AD7" w:rsidRPr="00CD5BF7" w14:paraId="154A6D66" w14:textId="77777777">
        <w:tblPrEx>
          <w:tblCellMar>
            <w:top w:w="0" w:type="dxa"/>
            <w:bottom w:w="0" w:type="dxa"/>
          </w:tblCellMar>
        </w:tblPrEx>
        <w:tc>
          <w:tcPr>
            <w:tcW w:w="1800" w:type="dxa"/>
            <w:shd w:val="clear" w:color="auto" w:fill="FFFFFF"/>
            <w:vAlign w:val="center"/>
          </w:tcPr>
          <w:p w14:paraId="729C4DB3"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FFFFFF"/>
            <w:vAlign w:val="center"/>
          </w:tcPr>
          <w:p w14:paraId="715DD239" w14:textId="77777777" w:rsidR="00F14AD7" w:rsidRPr="00CD5BF7" w:rsidRDefault="00000000" w:rsidP="00CD5BF7">
            <w:pPr>
              <w:spacing w:line="360" w:lineRule="auto"/>
              <w:jc w:val="center"/>
              <w:rPr>
                <w:sz w:val="22"/>
                <w:szCs w:val="22"/>
              </w:rPr>
            </w:pPr>
            <w:r w:rsidRPr="00CD5BF7">
              <w:rPr>
                <w:sz w:val="22"/>
                <w:szCs w:val="22"/>
              </w:rPr>
              <w:t>Ship City / State</w:t>
            </w:r>
          </w:p>
        </w:tc>
        <w:tc>
          <w:tcPr>
            <w:tcW w:w="4000" w:type="dxa"/>
            <w:shd w:val="clear" w:color="auto" w:fill="FFFFFF"/>
            <w:vAlign w:val="center"/>
          </w:tcPr>
          <w:p w14:paraId="3756BAD6" w14:textId="77777777" w:rsidR="00F14AD7" w:rsidRPr="00CD5BF7" w:rsidRDefault="00000000" w:rsidP="00CD5BF7">
            <w:pPr>
              <w:spacing w:line="360" w:lineRule="auto"/>
              <w:jc w:val="center"/>
              <w:rPr>
                <w:sz w:val="22"/>
                <w:szCs w:val="22"/>
              </w:rPr>
            </w:pPr>
            <w:r w:rsidRPr="00CD5BF7">
              <w:rPr>
                <w:sz w:val="22"/>
                <w:szCs w:val="22"/>
              </w:rPr>
              <w:t>Geographic destination for revenue mapping</w:t>
            </w:r>
          </w:p>
        </w:tc>
      </w:tr>
      <w:tr w:rsidR="00F14AD7" w:rsidRPr="00CD5BF7" w14:paraId="581610A3" w14:textId="77777777">
        <w:tblPrEx>
          <w:tblCellMar>
            <w:top w:w="0" w:type="dxa"/>
            <w:bottom w:w="0" w:type="dxa"/>
          </w:tblCellMar>
        </w:tblPrEx>
        <w:tc>
          <w:tcPr>
            <w:tcW w:w="1800" w:type="dxa"/>
            <w:shd w:val="clear" w:color="auto" w:fill="E2EFDA"/>
            <w:vAlign w:val="center"/>
          </w:tcPr>
          <w:p w14:paraId="6353AABC"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E2EFDA"/>
            <w:vAlign w:val="center"/>
          </w:tcPr>
          <w:p w14:paraId="1BC9CF7B" w14:textId="77777777" w:rsidR="00F14AD7" w:rsidRPr="00CD5BF7" w:rsidRDefault="00000000" w:rsidP="00CD5BF7">
            <w:pPr>
              <w:spacing w:line="360" w:lineRule="auto"/>
              <w:jc w:val="center"/>
              <w:rPr>
                <w:sz w:val="22"/>
                <w:szCs w:val="22"/>
              </w:rPr>
            </w:pPr>
            <w:r w:rsidRPr="00CD5BF7">
              <w:rPr>
                <w:sz w:val="22"/>
                <w:szCs w:val="22"/>
              </w:rPr>
              <w:t>Customer Name</w:t>
            </w:r>
          </w:p>
        </w:tc>
        <w:tc>
          <w:tcPr>
            <w:tcW w:w="4000" w:type="dxa"/>
            <w:shd w:val="clear" w:color="auto" w:fill="E2EFDA"/>
            <w:vAlign w:val="center"/>
          </w:tcPr>
          <w:p w14:paraId="28296BB7" w14:textId="77777777" w:rsidR="00F14AD7" w:rsidRPr="00CD5BF7" w:rsidRDefault="00000000" w:rsidP="00CD5BF7">
            <w:pPr>
              <w:spacing w:line="360" w:lineRule="auto"/>
              <w:jc w:val="center"/>
              <w:rPr>
                <w:sz w:val="22"/>
                <w:szCs w:val="22"/>
              </w:rPr>
            </w:pPr>
            <w:r w:rsidRPr="00CD5BF7">
              <w:rPr>
                <w:sz w:val="22"/>
                <w:szCs w:val="22"/>
              </w:rPr>
              <w:t>Account-level revenue driver</w:t>
            </w:r>
          </w:p>
        </w:tc>
      </w:tr>
      <w:tr w:rsidR="00F14AD7" w:rsidRPr="00CD5BF7" w14:paraId="514492CD" w14:textId="77777777">
        <w:tblPrEx>
          <w:tblCellMar>
            <w:top w:w="0" w:type="dxa"/>
            <w:bottom w:w="0" w:type="dxa"/>
          </w:tblCellMar>
        </w:tblPrEx>
        <w:tc>
          <w:tcPr>
            <w:tcW w:w="1800" w:type="dxa"/>
            <w:shd w:val="clear" w:color="auto" w:fill="FFFFFF"/>
            <w:vAlign w:val="center"/>
          </w:tcPr>
          <w:p w14:paraId="61893027" w14:textId="15AD5914" w:rsidR="00F14AD7" w:rsidRPr="00CD5BF7" w:rsidRDefault="004D69EF" w:rsidP="00CD5BF7">
            <w:pPr>
              <w:spacing w:line="360" w:lineRule="auto"/>
              <w:jc w:val="center"/>
              <w:rPr>
                <w:sz w:val="22"/>
                <w:szCs w:val="22"/>
              </w:rPr>
            </w:pPr>
            <w:r w:rsidRPr="00CD5BF7">
              <w:rPr>
                <w:sz w:val="22"/>
                <w:szCs w:val="22"/>
              </w:rPr>
              <w:lastRenderedPageBreak/>
              <w:t>Ind</w:t>
            </w:r>
            <w:r w:rsidR="00000000" w:rsidRPr="00CD5BF7">
              <w:rPr>
                <w:sz w:val="22"/>
                <w:szCs w:val="22"/>
              </w:rPr>
              <w:t>ependent</w:t>
            </w:r>
          </w:p>
        </w:tc>
        <w:tc>
          <w:tcPr>
            <w:tcW w:w="2200" w:type="dxa"/>
            <w:shd w:val="clear" w:color="auto" w:fill="FFFFFF"/>
            <w:vAlign w:val="center"/>
          </w:tcPr>
          <w:p w14:paraId="67093A6E" w14:textId="77777777" w:rsidR="00F14AD7" w:rsidRPr="00CD5BF7" w:rsidRDefault="00000000" w:rsidP="00CD5BF7">
            <w:pPr>
              <w:spacing w:line="360" w:lineRule="auto"/>
              <w:jc w:val="center"/>
              <w:rPr>
                <w:sz w:val="22"/>
                <w:szCs w:val="22"/>
              </w:rPr>
            </w:pPr>
            <w:r w:rsidRPr="00CD5BF7">
              <w:rPr>
                <w:sz w:val="22"/>
                <w:szCs w:val="22"/>
              </w:rPr>
              <w:t>Unit Price</w:t>
            </w:r>
          </w:p>
        </w:tc>
        <w:tc>
          <w:tcPr>
            <w:tcW w:w="4000" w:type="dxa"/>
            <w:shd w:val="clear" w:color="auto" w:fill="FFFFFF"/>
            <w:vAlign w:val="center"/>
          </w:tcPr>
          <w:p w14:paraId="68138E3C" w14:textId="77777777" w:rsidR="00F14AD7" w:rsidRPr="00CD5BF7" w:rsidRDefault="00000000" w:rsidP="00CD5BF7">
            <w:pPr>
              <w:spacing w:line="360" w:lineRule="auto"/>
              <w:jc w:val="center"/>
              <w:rPr>
                <w:sz w:val="22"/>
                <w:szCs w:val="22"/>
              </w:rPr>
            </w:pPr>
            <w:r w:rsidRPr="00CD5BF7">
              <w:rPr>
                <w:sz w:val="22"/>
                <w:szCs w:val="22"/>
              </w:rPr>
              <w:t>Pricing variable influencing revenue per transaction</w:t>
            </w:r>
          </w:p>
        </w:tc>
      </w:tr>
      <w:tr w:rsidR="00F14AD7" w:rsidRPr="00CD5BF7" w14:paraId="26CFACCC" w14:textId="77777777">
        <w:tblPrEx>
          <w:tblCellMar>
            <w:top w:w="0" w:type="dxa"/>
            <w:bottom w:w="0" w:type="dxa"/>
          </w:tblCellMar>
        </w:tblPrEx>
        <w:tc>
          <w:tcPr>
            <w:tcW w:w="1800" w:type="dxa"/>
            <w:shd w:val="clear" w:color="auto" w:fill="E2EFDA"/>
            <w:vAlign w:val="center"/>
          </w:tcPr>
          <w:p w14:paraId="4EC097BE" w14:textId="77777777" w:rsidR="00F14AD7" w:rsidRPr="00CD5BF7" w:rsidRDefault="00000000" w:rsidP="00CD5BF7">
            <w:pPr>
              <w:spacing w:line="360" w:lineRule="auto"/>
              <w:jc w:val="center"/>
              <w:rPr>
                <w:sz w:val="22"/>
                <w:szCs w:val="22"/>
              </w:rPr>
            </w:pPr>
            <w:r w:rsidRPr="00CD5BF7">
              <w:rPr>
                <w:sz w:val="22"/>
                <w:szCs w:val="22"/>
              </w:rPr>
              <w:t>Independent</w:t>
            </w:r>
          </w:p>
        </w:tc>
        <w:tc>
          <w:tcPr>
            <w:tcW w:w="2200" w:type="dxa"/>
            <w:shd w:val="clear" w:color="auto" w:fill="E2EFDA"/>
            <w:vAlign w:val="center"/>
          </w:tcPr>
          <w:p w14:paraId="4D8A229F" w14:textId="77777777" w:rsidR="00F14AD7" w:rsidRPr="00CD5BF7" w:rsidRDefault="00000000" w:rsidP="00CD5BF7">
            <w:pPr>
              <w:spacing w:line="360" w:lineRule="auto"/>
              <w:jc w:val="center"/>
              <w:rPr>
                <w:sz w:val="22"/>
                <w:szCs w:val="22"/>
              </w:rPr>
            </w:pPr>
            <w:r w:rsidRPr="00CD5BF7">
              <w:rPr>
                <w:sz w:val="22"/>
                <w:szCs w:val="22"/>
              </w:rPr>
              <w:t>Quantity</w:t>
            </w:r>
          </w:p>
        </w:tc>
        <w:tc>
          <w:tcPr>
            <w:tcW w:w="4000" w:type="dxa"/>
            <w:shd w:val="clear" w:color="auto" w:fill="E2EFDA"/>
            <w:vAlign w:val="center"/>
          </w:tcPr>
          <w:p w14:paraId="475F1C5B" w14:textId="77777777" w:rsidR="00F14AD7" w:rsidRPr="00CD5BF7" w:rsidRDefault="00000000" w:rsidP="00CD5BF7">
            <w:pPr>
              <w:spacing w:line="360" w:lineRule="auto"/>
              <w:jc w:val="center"/>
              <w:rPr>
                <w:sz w:val="22"/>
                <w:szCs w:val="22"/>
              </w:rPr>
            </w:pPr>
            <w:r w:rsidRPr="00CD5BF7">
              <w:rPr>
                <w:sz w:val="22"/>
                <w:szCs w:val="22"/>
              </w:rPr>
              <w:t>Volume variable multiplied against price for revenue</w:t>
            </w:r>
          </w:p>
        </w:tc>
      </w:tr>
    </w:tbl>
    <w:p w14:paraId="0824CA81" w14:textId="77777777" w:rsidR="00F14AD7" w:rsidRPr="00CD5BF7" w:rsidRDefault="00F14AD7" w:rsidP="00CD5BF7">
      <w:pPr>
        <w:spacing w:before="100" w:after="100" w:line="360" w:lineRule="auto"/>
        <w:rPr>
          <w:sz w:val="22"/>
          <w:szCs w:val="22"/>
        </w:rPr>
      </w:pPr>
    </w:p>
    <w:p w14:paraId="067979C7" w14:textId="77777777" w:rsidR="00F14AD7" w:rsidRPr="00CD5BF7" w:rsidRDefault="00000000" w:rsidP="00CD5BF7">
      <w:pPr>
        <w:spacing w:line="360" w:lineRule="auto"/>
        <w:rPr>
          <w:b/>
          <w:bCs/>
          <w:color w:val="375623"/>
          <w:sz w:val="22"/>
          <w:szCs w:val="22"/>
        </w:rPr>
      </w:pPr>
      <w:r w:rsidRPr="00CD5BF7">
        <w:rPr>
          <w:b/>
          <w:bCs/>
          <w:sz w:val="22"/>
          <w:szCs w:val="22"/>
        </w:rPr>
        <w:t>Industry Context</w:t>
      </w:r>
    </w:p>
    <w:p w14:paraId="7D4182A2" w14:textId="02806BEA" w:rsidR="00F14AD7" w:rsidRPr="00CD5BF7" w:rsidRDefault="00000000" w:rsidP="00CD5BF7">
      <w:pPr>
        <w:spacing w:before="80" w:after="80" w:line="360" w:lineRule="auto"/>
        <w:jc w:val="both"/>
        <w:rPr>
          <w:sz w:val="22"/>
          <w:szCs w:val="22"/>
        </w:rPr>
      </w:pPr>
      <w:r w:rsidRPr="00CD5BF7">
        <w:rPr>
          <w:sz w:val="22"/>
          <w:szCs w:val="22"/>
        </w:rPr>
        <w:t>This dataset belongs to the retail and wholesale</w:t>
      </w:r>
      <w:r w:rsidR="002C0BDB" w:rsidRPr="00CD5BF7">
        <w:rPr>
          <w:sz w:val="22"/>
          <w:szCs w:val="22"/>
        </w:rPr>
        <w:t xml:space="preserve"> </w:t>
      </w:r>
      <w:r w:rsidRPr="00CD5BF7">
        <w:rPr>
          <w:sz w:val="22"/>
          <w:szCs w:val="22"/>
        </w:rPr>
        <w:t>distribution</w:t>
      </w:r>
      <w:r w:rsidR="002C0BDB" w:rsidRPr="00CD5BF7">
        <w:rPr>
          <w:sz w:val="22"/>
          <w:szCs w:val="22"/>
        </w:rPr>
        <w:t>/</w:t>
      </w:r>
      <w:r w:rsidR="002C0BDB" w:rsidRPr="00CD5BF7">
        <w:rPr>
          <w:sz w:val="22"/>
          <w:szCs w:val="22"/>
        </w:rPr>
        <w:t>E-commerce</w:t>
      </w:r>
      <w:r w:rsidRPr="00CD5BF7">
        <w:rPr>
          <w:sz w:val="22"/>
          <w:szCs w:val="22"/>
        </w:rPr>
        <w:t xml:space="preserve"> industry — specifically a multi-regional consumer goods distribution business operating in the United States. </w:t>
      </w:r>
    </w:p>
    <w:p w14:paraId="553D7BA8" w14:textId="77777777" w:rsidR="00F14AD7" w:rsidRPr="00CD5BF7" w:rsidRDefault="00000000" w:rsidP="00CD5BF7">
      <w:pPr>
        <w:spacing w:line="360" w:lineRule="auto"/>
        <w:rPr>
          <w:b/>
          <w:bCs/>
          <w:color w:val="375623"/>
          <w:sz w:val="22"/>
          <w:szCs w:val="22"/>
        </w:rPr>
      </w:pPr>
      <w:r w:rsidRPr="00CD5BF7">
        <w:rPr>
          <w:b/>
          <w:bCs/>
          <w:sz w:val="22"/>
          <w:szCs w:val="22"/>
        </w:rPr>
        <w:t>Stakeholders</w:t>
      </w:r>
    </w:p>
    <w:p w14:paraId="32BDD125"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Senior Management / Executive Team — primary audience for the dashboard and recommendations</w:t>
      </w:r>
    </w:p>
    <w:p w14:paraId="370D4E9C"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Regional Sales Managers — responsible for acting on region-level performance insights</w:t>
      </w:r>
    </w:p>
    <w:p w14:paraId="148D8C2B"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Individual Salespersons — accountable for their personal revenue targets</w:t>
      </w:r>
    </w:p>
    <w:p w14:paraId="15470AC4"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Product / Category Managers — responsible for portfolio mix and product-level strategies</w:t>
      </w:r>
    </w:p>
    <w:p w14:paraId="6174BD12"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Marketing Department — uses customer and geographic insights for campaign targeting</w:t>
      </w:r>
    </w:p>
    <w:p w14:paraId="56863A66" w14:textId="77777777" w:rsidR="00F14AD7" w:rsidRPr="00CD5BF7" w:rsidRDefault="00000000" w:rsidP="00CD5BF7">
      <w:pPr>
        <w:spacing w:line="360" w:lineRule="auto"/>
        <w:rPr>
          <w:b/>
          <w:bCs/>
          <w:color w:val="375623"/>
          <w:sz w:val="22"/>
          <w:szCs w:val="22"/>
        </w:rPr>
      </w:pPr>
      <w:r w:rsidRPr="00CD5BF7">
        <w:rPr>
          <w:b/>
          <w:bCs/>
          <w:sz w:val="22"/>
          <w:szCs w:val="22"/>
        </w:rPr>
        <w:t>Value to the Industry</w:t>
      </w:r>
    </w:p>
    <w:p w14:paraId="72901EE0" w14:textId="57BDB444" w:rsidR="005C4710" w:rsidRPr="00CD5BF7" w:rsidRDefault="005C4710" w:rsidP="00CD5BF7">
      <w:pPr>
        <w:spacing w:line="360" w:lineRule="auto"/>
        <w:rPr>
          <w:sz w:val="22"/>
          <w:szCs w:val="22"/>
        </w:rPr>
      </w:pPr>
      <w:r w:rsidRPr="00CD5BF7">
        <w:rPr>
          <w:sz w:val="22"/>
          <w:szCs w:val="22"/>
        </w:rPr>
        <w:t>This analysis enables management to;</w:t>
      </w:r>
    </w:p>
    <w:p w14:paraId="02CD0267" w14:textId="18543C0B" w:rsidR="005C4710" w:rsidRPr="00CD5BF7" w:rsidRDefault="005C4710" w:rsidP="00CD5BF7">
      <w:pPr>
        <w:numPr>
          <w:ilvl w:val="0"/>
          <w:numId w:val="5"/>
        </w:numPr>
        <w:spacing w:line="360" w:lineRule="auto"/>
        <w:rPr>
          <w:sz w:val="22"/>
          <w:szCs w:val="22"/>
        </w:rPr>
      </w:pPr>
      <w:r w:rsidRPr="00CD5BF7">
        <w:rPr>
          <w:sz w:val="22"/>
          <w:szCs w:val="22"/>
        </w:rPr>
        <w:t>Increase profitability</w:t>
      </w:r>
    </w:p>
    <w:p w14:paraId="0DE1ED88" w14:textId="77777777" w:rsidR="005C4710" w:rsidRPr="00CD5BF7" w:rsidRDefault="005C4710" w:rsidP="00CD5BF7">
      <w:pPr>
        <w:numPr>
          <w:ilvl w:val="0"/>
          <w:numId w:val="5"/>
        </w:numPr>
        <w:spacing w:line="360" w:lineRule="auto"/>
        <w:rPr>
          <w:sz w:val="22"/>
          <w:szCs w:val="22"/>
        </w:rPr>
      </w:pPr>
      <w:r w:rsidRPr="00CD5BF7">
        <w:rPr>
          <w:sz w:val="22"/>
          <w:szCs w:val="22"/>
        </w:rPr>
        <w:t>Improve regional sales strategy</w:t>
      </w:r>
    </w:p>
    <w:p w14:paraId="2F623228" w14:textId="77777777" w:rsidR="005C4710" w:rsidRPr="00CD5BF7" w:rsidRDefault="005C4710" w:rsidP="00CD5BF7">
      <w:pPr>
        <w:numPr>
          <w:ilvl w:val="0"/>
          <w:numId w:val="5"/>
        </w:numPr>
        <w:spacing w:line="360" w:lineRule="auto"/>
        <w:rPr>
          <w:sz w:val="22"/>
          <w:szCs w:val="22"/>
        </w:rPr>
      </w:pPr>
      <w:r w:rsidRPr="00CD5BF7">
        <w:rPr>
          <w:sz w:val="22"/>
          <w:szCs w:val="22"/>
        </w:rPr>
        <w:t>Monitor customer performance</w:t>
      </w:r>
    </w:p>
    <w:p w14:paraId="652AF867" w14:textId="77777777" w:rsidR="005C4710" w:rsidRPr="00CD5BF7" w:rsidRDefault="005C4710" w:rsidP="00CD5BF7">
      <w:pPr>
        <w:numPr>
          <w:ilvl w:val="0"/>
          <w:numId w:val="5"/>
        </w:numPr>
        <w:spacing w:line="360" w:lineRule="auto"/>
        <w:rPr>
          <w:sz w:val="22"/>
          <w:szCs w:val="22"/>
        </w:rPr>
      </w:pPr>
      <w:r w:rsidRPr="00CD5BF7">
        <w:rPr>
          <w:sz w:val="22"/>
          <w:szCs w:val="22"/>
        </w:rPr>
        <w:t>Evaluate employee productivity</w:t>
      </w:r>
    </w:p>
    <w:p w14:paraId="3C887962" w14:textId="77777777" w:rsidR="005C4710" w:rsidRPr="00CD5BF7" w:rsidRDefault="005C4710" w:rsidP="00CD5BF7">
      <w:pPr>
        <w:numPr>
          <w:ilvl w:val="0"/>
          <w:numId w:val="5"/>
        </w:numPr>
        <w:spacing w:line="360" w:lineRule="auto"/>
        <w:rPr>
          <w:sz w:val="22"/>
          <w:szCs w:val="22"/>
        </w:rPr>
      </w:pPr>
      <w:r w:rsidRPr="00CD5BF7">
        <w:rPr>
          <w:sz w:val="22"/>
          <w:szCs w:val="22"/>
        </w:rPr>
        <w:t>Improve logistics planning</w:t>
      </w:r>
    </w:p>
    <w:p w14:paraId="5AA58901" w14:textId="77777777" w:rsidR="005C4710" w:rsidRPr="00CD5BF7" w:rsidRDefault="005C4710" w:rsidP="00CD5BF7">
      <w:pPr>
        <w:numPr>
          <w:ilvl w:val="0"/>
          <w:numId w:val="5"/>
        </w:numPr>
        <w:spacing w:line="360" w:lineRule="auto"/>
        <w:rPr>
          <w:sz w:val="22"/>
          <w:szCs w:val="22"/>
        </w:rPr>
      </w:pPr>
      <w:r w:rsidRPr="00CD5BF7">
        <w:rPr>
          <w:sz w:val="22"/>
          <w:szCs w:val="22"/>
        </w:rPr>
        <w:t>Optimize product inventory</w:t>
      </w:r>
    </w:p>
    <w:p w14:paraId="6F69C9B5" w14:textId="77777777" w:rsidR="00F14AD7" w:rsidRPr="00CD5BF7" w:rsidRDefault="00000000" w:rsidP="00CD5BF7">
      <w:pPr>
        <w:spacing w:line="360" w:lineRule="auto"/>
        <w:rPr>
          <w:sz w:val="22"/>
          <w:szCs w:val="22"/>
        </w:rPr>
      </w:pPr>
      <w:r w:rsidRPr="00CD5BF7">
        <w:rPr>
          <w:sz w:val="22"/>
          <w:szCs w:val="22"/>
        </w:rPr>
        <w:br w:type="page"/>
      </w:r>
    </w:p>
    <w:p w14:paraId="486C0C14"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5. PRE-ANALYSIS</w:t>
      </w:r>
    </w:p>
    <w:p w14:paraId="741847AF" w14:textId="77777777" w:rsidR="00F14AD7" w:rsidRPr="00CD5BF7" w:rsidRDefault="00000000" w:rsidP="00CD5BF7">
      <w:pPr>
        <w:spacing w:line="360" w:lineRule="auto"/>
        <w:rPr>
          <w:b/>
          <w:bCs/>
          <w:color w:val="375623"/>
          <w:sz w:val="22"/>
          <w:szCs w:val="22"/>
        </w:rPr>
      </w:pPr>
      <w:r w:rsidRPr="00CD5BF7">
        <w:rPr>
          <w:b/>
          <w:bCs/>
          <w:sz w:val="22"/>
          <w:szCs w:val="22"/>
        </w:rPr>
        <w:t>Key Trends Identified</w:t>
      </w:r>
    </w:p>
    <w:p w14:paraId="6282FE68" w14:textId="55AB3D72"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Total annual revenue of $435,066.16 across 369 transactions is heavily concentrated in a small number of regions, salespersons, and customers</w:t>
      </w:r>
      <w:r w:rsidR="005C4710" w:rsidRPr="00CD5BF7">
        <w:rPr>
          <w:sz w:val="22"/>
          <w:szCs w:val="22"/>
        </w:rPr>
        <w:t>.</w:t>
      </w:r>
    </w:p>
    <w:p w14:paraId="5666C31B"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North region shows a significantly wider bar in early data exploration, suggesting it outperforms the other three regions considerably</w:t>
      </w:r>
    </w:p>
    <w:p w14:paraId="3F57CF28"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December and June appear as the two highest-revenue months in a preliminary scan of monthly order dates — indicating a seasonal double-peak pattern</w:t>
      </w:r>
    </w:p>
    <w:p w14:paraId="26B2FE0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Company D appears repeatedly with high-value transactions in early data scrolling — flagging it as a likely top customer before pivot confirmation</w:t>
      </w:r>
    </w:p>
    <w:p w14:paraId="3BC86434" w14:textId="77777777" w:rsidR="00F14AD7" w:rsidRPr="00CD5BF7" w:rsidRDefault="00000000" w:rsidP="00CD5BF7">
      <w:pPr>
        <w:spacing w:line="360" w:lineRule="auto"/>
        <w:rPr>
          <w:b/>
          <w:bCs/>
          <w:sz w:val="22"/>
          <w:szCs w:val="22"/>
        </w:rPr>
      </w:pPr>
      <w:r w:rsidRPr="00CD5BF7">
        <w:rPr>
          <w:b/>
          <w:bCs/>
          <w:sz w:val="22"/>
          <w:szCs w:val="22"/>
        </w:rPr>
        <w:t>Potential Correlations</w:t>
      </w:r>
    </w:p>
    <w:p w14:paraId="6B43B9F6" w14:textId="77777777" w:rsidR="005C4710" w:rsidRPr="00CD5BF7" w:rsidRDefault="005C4710" w:rsidP="00CD5BF7">
      <w:pPr>
        <w:spacing w:line="360" w:lineRule="auto"/>
        <w:rPr>
          <w:sz w:val="22"/>
          <w:szCs w:val="22"/>
        </w:rPr>
      </w:pPr>
      <w:r w:rsidRPr="00CD5BF7">
        <w:rPr>
          <w:sz w:val="22"/>
          <w:szCs w:val="22"/>
        </w:rPr>
        <w:t>Possible relationships expected included:</w:t>
      </w:r>
    </w:p>
    <w:p w14:paraId="20421558" w14:textId="77777777" w:rsidR="005C4710" w:rsidRPr="00CD5BF7" w:rsidRDefault="005C4710" w:rsidP="00CD5BF7">
      <w:pPr>
        <w:pStyle w:val="ListParagraph"/>
        <w:numPr>
          <w:ilvl w:val="0"/>
          <w:numId w:val="7"/>
        </w:numPr>
        <w:spacing w:line="360" w:lineRule="auto"/>
        <w:rPr>
          <w:sz w:val="22"/>
          <w:szCs w:val="22"/>
        </w:rPr>
      </w:pPr>
      <w:r w:rsidRPr="00CD5BF7">
        <w:rPr>
          <w:sz w:val="22"/>
          <w:szCs w:val="22"/>
        </w:rPr>
        <w:t>Region vs Revenue</w:t>
      </w:r>
    </w:p>
    <w:p w14:paraId="223997EE" w14:textId="77777777" w:rsidR="005C4710" w:rsidRPr="00CD5BF7" w:rsidRDefault="005C4710" w:rsidP="00CD5BF7">
      <w:pPr>
        <w:pStyle w:val="ListParagraph"/>
        <w:numPr>
          <w:ilvl w:val="0"/>
          <w:numId w:val="7"/>
        </w:numPr>
        <w:spacing w:line="360" w:lineRule="auto"/>
        <w:rPr>
          <w:sz w:val="22"/>
          <w:szCs w:val="22"/>
        </w:rPr>
      </w:pPr>
      <w:r w:rsidRPr="00CD5BF7">
        <w:rPr>
          <w:sz w:val="22"/>
          <w:szCs w:val="22"/>
        </w:rPr>
        <w:t>Customer vs Revenue</w:t>
      </w:r>
    </w:p>
    <w:p w14:paraId="0F6DC7A4" w14:textId="7164F978" w:rsidR="005C4710" w:rsidRPr="00CD5BF7" w:rsidRDefault="005C4710" w:rsidP="00CD5BF7">
      <w:pPr>
        <w:pStyle w:val="ListParagraph"/>
        <w:numPr>
          <w:ilvl w:val="0"/>
          <w:numId w:val="7"/>
        </w:numPr>
        <w:spacing w:line="360" w:lineRule="auto"/>
        <w:rPr>
          <w:sz w:val="22"/>
          <w:szCs w:val="22"/>
        </w:rPr>
      </w:pPr>
      <w:r w:rsidRPr="00CD5BF7">
        <w:rPr>
          <w:sz w:val="22"/>
          <w:szCs w:val="22"/>
        </w:rPr>
        <w:t>Month vs Revenue</w:t>
      </w:r>
    </w:p>
    <w:p w14:paraId="16863977" w14:textId="77777777" w:rsidR="005C4710" w:rsidRPr="00CD5BF7" w:rsidRDefault="005C4710" w:rsidP="00CD5BF7">
      <w:pPr>
        <w:pStyle w:val="ListParagraph"/>
        <w:numPr>
          <w:ilvl w:val="0"/>
          <w:numId w:val="7"/>
        </w:numPr>
        <w:spacing w:line="360" w:lineRule="auto"/>
        <w:rPr>
          <w:sz w:val="22"/>
          <w:szCs w:val="22"/>
        </w:rPr>
      </w:pPr>
      <w:r w:rsidRPr="00CD5BF7">
        <w:rPr>
          <w:sz w:val="22"/>
          <w:szCs w:val="22"/>
        </w:rPr>
        <w:t>Product Category vs Revenue</w:t>
      </w:r>
    </w:p>
    <w:p w14:paraId="36573FF4" w14:textId="77777777" w:rsidR="005C4710" w:rsidRPr="00CD5BF7" w:rsidRDefault="005C4710" w:rsidP="00CD5BF7">
      <w:pPr>
        <w:pStyle w:val="ListParagraph"/>
        <w:numPr>
          <w:ilvl w:val="0"/>
          <w:numId w:val="7"/>
        </w:numPr>
        <w:spacing w:line="360" w:lineRule="auto"/>
        <w:rPr>
          <w:sz w:val="22"/>
          <w:szCs w:val="22"/>
        </w:rPr>
      </w:pPr>
      <w:r w:rsidRPr="00CD5BF7">
        <w:rPr>
          <w:sz w:val="22"/>
          <w:szCs w:val="22"/>
        </w:rPr>
        <w:t>Sales Representative vs Revenue</w:t>
      </w:r>
    </w:p>
    <w:p w14:paraId="2678A402" w14:textId="77777777" w:rsidR="005C4710" w:rsidRPr="00CD5BF7" w:rsidRDefault="005C4710" w:rsidP="00CD5BF7">
      <w:pPr>
        <w:spacing w:line="360" w:lineRule="auto"/>
        <w:rPr>
          <w:b/>
          <w:bCs/>
          <w:color w:val="375623"/>
          <w:sz w:val="22"/>
          <w:szCs w:val="22"/>
        </w:rPr>
      </w:pPr>
    </w:p>
    <w:p w14:paraId="2FEEBA9C" w14:textId="77777777" w:rsidR="00F14AD7" w:rsidRPr="00CD5BF7" w:rsidRDefault="00000000" w:rsidP="00CD5BF7">
      <w:pPr>
        <w:spacing w:line="360" w:lineRule="auto"/>
        <w:rPr>
          <w:b/>
          <w:bCs/>
          <w:color w:val="375623"/>
          <w:sz w:val="22"/>
          <w:szCs w:val="22"/>
        </w:rPr>
      </w:pPr>
      <w:r w:rsidRPr="00CD5BF7">
        <w:rPr>
          <w:b/>
          <w:bCs/>
          <w:sz w:val="22"/>
          <w:szCs w:val="22"/>
        </w:rPr>
        <w:t>Initial Insights</w:t>
      </w:r>
    </w:p>
    <w:p w14:paraId="7479C487"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The South region appears to be a one-salesperson operation (Anne Larsen) — raising an immediate question about coverage risk before analysis confirms the scale of dependency</w:t>
      </w:r>
    </w:p>
    <w:p w14:paraId="7E756D08"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Jan Kotas's transactions appear infrequent and low-value in early data exploration — suggesting an outlier performance position at the bottom of the salesperson ranking</w:t>
      </w:r>
    </w:p>
    <w:p w14:paraId="79E4C968"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The absence of transactions in many US states (visible in the raw address data) suggests geographic concentration that a map visualization will likely confirm</w:t>
      </w:r>
    </w:p>
    <w:p w14:paraId="590FA493" w14:textId="77777777" w:rsidR="00F14AD7" w:rsidRPr="00CD5BF7" w:rsidRDefault="00000000" w:rsidP="00CD5BF7">
      <w:pPr>
        <w:spacing w:line="360" w:lineRule="auto"/>
        <w:rPr>
          <w:sz w:val="22"/>
          <w:szCs w:val="22"/>
        </w:rPr>
      </w:pPr>
      <w:r w:rsidRPr="00CD5BF7">
        <w:rPr>
          <w:sz w:val="22"/>
          <w:szCs w:val="22"/>
        </w:rPr>
        <w:br w:type="page"/>
      </w:r>
    </w:p>
    <w:p w14:paraId="482976BD"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6. IN-ANALYSIS</w:t>
      </w:r>
    </w:p>
    <w:p w14:paraId="79BD1A9B" w14:textId="77777777" w:rsidR="00F14AD7" w:rsidRPr="00CD5BF7" w:rsidRDefault="00000000" w:rsidP="00CD5BF7">
      <w:pPr>
        <w:spacing w:line="360" w:lineRule="auto"/>
        <w:rPr>
          <w:b/>
          <w:bCs/>
          <w:color w:val="375623"/>
          <w:sz w:val="22"/>
          <w:szCs w:val="22"/>
        </w:rPr>
      </w:pPr>
      <w:r w:rsidRPr="00CD5BF7">
        <w:rPr>
          <w:b/>
          <w:bCs/>
          <w:sz w:val="22"/>
          <w:szCs w:val="22"/>
        </w:rPr>
        <w:t>Regional Performance Analysis</w:t>
      </w:r>
    </w:p>
    <w:p w14:paraId="66B2A65D" w14:textId="76778A89" w:rsidR="00F14AD7" w:rsidRPr="00CD5BF7" w:rsidRDefault="00000000" w:rsidP="00CD5BF7">
      <w:pPr>
        <w:spacing w:before="80" w:after="80" w:line="360" w:lineRule="auto"/>
        <w:jc w:val="both"/>
        <w:rPr>
          <w:sz w:val="22"/>
          <w:szCs w:val="22"/>
        </w:rPr>
      </w:pPr>
      <w:r w:rsidRPr="00CD5BF7">
        <w:rPr>
          <w:sz w:val="22"/>
          <w:szCs w:val="22"/>
        </w:rPr>
        <w:t>North as the dominant region at $141,680.34 contributing 32.6% of total revenue. East follows at $108,275.51, South at $93,858.33, and West at $91,251.98. The North-to-West gap of $50,428.36 represents the widest regional performance spread in the dataset. South and West are separated by just $2,606.35</w:t>
      </w:r>
      <w:r w:rsidR="005C4710" w:rsidRPr="00CD5BF7">
        <w:rPr>
          <w:sz w:val="22"/>
          <w:szCs w:val="22"/>
        </w:rPr>
        <w:t xml:space="preserve">, </w:t>
      </w:r>
      <w:r w:rsidRPr="00CD5BF7">
        <w:rPr>
          <w:sz w:val="22"/>
          <w:szCs w:val="22"/>
        </w:rPr>
        <w:t>effectively tied at the lower end of regional performance.</w:t>
      </w:r>
    </w:p>
    <w:p w14:paraId="6EA539F0" w14:textId="77777777" w:rsidR="00F14AD7" w:rsidRPr="00CD5BF7" w:rsidRDefault="00000000" w:rsidP="00CD5BF7">
      <w:pPr>
        <w:spacing w:line="360" w:lineRule="auto"/>
        <w:rPr>
          <w:b/>
          <w:bCs/>
          <w:color w:val="375623"/>
          <w:sz w:val="22"/>
          <w:szCs w:val="22"/>
        </w:rPr>
      </w:pPr>
      <w:r w:rsidRPr="00CD5BF7">
        <w:rPr>
          <w:b/>
          <w:bCs/>
          <w:sz w:val="22"/>
          <w:szCs w:val="22"/>
        </w:rPr>
        <w:t>Salesperson Performance Analysis</w:t>
      </w:r>
    </w:p>
    <w:p w14:paraId="53ACAB91" w14:textId="445B194C" w:rsidR="00F14AD7" w:rsidRPr="00CD5BF7" w:rsidRDefault="00000000" w:rsidP="00CD5BF7">
      <w:pPr>
        <w:spacing w:before="80" w:after="80" w:line="360" w:lineRule="auto"/>
        <w:jc w:val="both"/>
        <w:rPr>
          <w:sz w:val="22"/>
          <w:szCs w:val="22"/>
        </w:rPr>
      </w:pPr>
      <w:r w:rsidRPr="00CD5BF7">
        <w:rPr>
          <w:sz w:val="22"/>
          <w:szCs w:val="22"/>
        </w:rPr>
        <w:t>Nancy Freehafer leads all salespersons at $104,252.34, followed by Anne Larsen at $93,858.33. Together they account for 45.5% of total revenue</w:t>
      </w:r>
      <w:r w:rsidR="00D474BD" w:rsidRPr="00CD5BF7">
        <w:rPr>
          <w:sz w:val="22"/>
          <w:szCs w:val="22"/>
        </w:rPr>
        <w:t xml:space="preserve">, </w:t>
      </w:r>
      <w:r w:rsidRPr="00CD5BF7">
        <w:rPr>
          <w:sz w:val="22"/>
          <w:szCs w:val="22"/>
        </w:rPr>
        <w:t xml:space="preserve">a concentration that creates significant key-person risk. Jan Kotas sits at $16,350.50 </w:t>
      </w:r>
      <w:r w:rsidR="00D474BD" w:rsidRPr="00CD5BF7">
        <w:rPr>
          <w:sz w:val="22"/>
          <w:szCs w:val="22"/>
        </w:rPr>
        <w:t>which is</w:t>
      </w:r>
      <w:r w:rsidRPr="00CD5BF7">
        <w:rPr>
          <w:sz w:val="22"/>
          <w:szCs w:val="22"/>
        </w:rPr>
        <w:t xml:space="preserve"> less than one-sixth of Nancy's output representing an 8x performance differential within the same team. The middle tier (Andrew </w:t>
      </w:r>
      <w:proofErr w:type="spellStart"/>
      <w:r w:rsidRPr="00CD5BF7">
        <w:rPr>
          <w:sz w:val="22"/>
          <w:szCs w:val="22"/>
        </w:rPr>
        <w:t>Cencini</w:t>
      </w:r>
      <w:proofErr w:type="spellEnd"/>
      <w:r w:rsidRPr="00CD5BF7">
        <w:rPr>
          <w:sz w:val="22"/>
          <w:szCs w:val="22"/>
        </w:rPr>
        <w:t xml:space="preserve"> through Michael Neipper) spans $37,428 to $67,180.50, showing a gradual decline consistent with the trend line visible in the performance chart.</w:t>
      </w:r>
    </w:p>
    <w:p w14:paraId="223EAB6D" w14:textId="77777777" w:rsidR="00F14AD7" w:rsidRPr="00CD5BF7" w:rsidRDefault="00000000" w:rsidP="00CD5BF7">
      <w:pPr>
        <w:spacing w:line="360" w:lineRule="auto"/>
        <w:rPr>
          <w:b/>
          <w:bCs/>
          <w:color w:val="375623"/>
          <w:sz w:val="22"/>
          <w:szCs w:val="22"/>
        </w:rPr>
      </w:pPr>
      <w:r w:rsidRPr="00CD5BF7">
        <w:rPr>
          <w:b/>
          <w:bCs/>
          <w:sz w:val="22"/>
          <w:szCs w:val="22"/>
        </w:rPr>
        <w:t>Product Category Analysis</w:t>
      </w:r>
    </w:p>
    <w:p w14:paraId="59432E97" w14:textId="3D523D49" w:rsidR="00F14AD7" w:rsidRPr="00CD5BF7" w:rsidRDefault="00000000" w:rsidP="00CD5BF7">
      <w:pPr>
        <w:spacing w:before="80" w:after="80" w:line="360" w:lineRule="auto"/>
        <w:jc w:val="both"/>
        <w:rPr>
          <w:sz w:val="22"/>
          <w:szCs w:val="22"/>
        </w:rPr>
      </w:pPr>
      <w:r w:rsidRPr="00CD5BF7">
        <w:rPr>
          <w:sz w:val="22"/>
          <w:szCs w:val="22"/>
        </w:rPr>
        <w:t>Beverages leads all categories at $110,577.11</w:t>
      </w:r>
      <w:r w:rsidR="00D474BD" w:rsidRPr="00CD5BF7">
        <w:rPr>
          <w:sz w:val="22"/>
          <w:szCs w:val="22"/>
        </w:rPr>
        <w:t xml:space="preserve">, </w:t>
      </w:r>
      <w:r w:rsidRPr="00CD5BF7">
        <w:rPr>
          <w:sz w:val="22"/>
          <w:szCs w:val="22"/>
        </w:rPr>
        <w:t>the single largest product category by a clear margin. Sauces follows at $69,000, Jams &amp; Preserves at $51,541, Dairy Products at $33,129.60, Dried Fruit &amp; Nuts at $27,999.50, and Canned Meat at $25,465.60. At the individual product level, Coffee ($75,486) and Curry Sauce ($69,000) are the top two products, confirming that a small number of SKUs drive disproportionate revenue within the Beverages and Sauces categories.</w:t>
      </w:r>
    </w:p>
    <w:p w14:paraId="015F4754" w14:textId="77777777" w:rsidR="00F14AD7" w:rsidRPr="00CD5BF7" w:rsidRDefault="00000000" w:rsidP="00CD5BF7">
      <w:pPr>
        <w:spacing w:line="360" w:lineRule="auto"/>
        <w:rPr>
          <w:b/>
          <w:bCs/>
          <w:color w:val="375623"/>
          <w:sz w:val="22"/>
          <w:szCs w:val="22"/>
        </w:rPr>
      </w:pPr>
      <w:r w:rsidRPr="00CD5BF7">
        <w:rPr>
          <w:b/>
          <w:bCs/>
          <w:sz w:val="22"/>
          <w:szCs w:val="22"/>
        </w:rPr>
        <w:t>Customer Analysis</w:t>
      </w:r>
    </w:p>
    <w:p w14:paraId="3F400748" w14:textId="24C4D4D6" w:rsidR="00F14AD7" w:rsidRPr="00CD5BF7" w:rsidRDefault="00000000" w:rsidP="00CD5BF7">
      <w:pPr>
        <w:spacing w:before="80" w:after="80" w:line="360" w:lineRule="auto"/>
        <w:jc w:val="both"/>
        <w:rPr>
          <w:sz w:val="22"/>
          <w:szCs w:val="22"/>
        </w:rPr>
      </w:pPr>
      <w:r w:rsidRPr="00CD5BF7">
        <w:rPr>
          <w:sz w:val="22"/>
          <w:szCs w:val="22"/>
        </w:rPr>
        <w:t xml:space="preserve">Company D is the top customer at $67,180.50, followed by Company H ($50,208.35) and Company BB ($43,713.00). The top three customers together contribute approximately $161,101.85 </w:t>
      </w:r>
      <w:r w:rsidR="00D474BD" w:rsidRPr="00CD5BF7">
        <w:rPr>
          <w:sz w:val="22"/>
          <w:szCs w:val="22"/>
        </w:rPr>
        <w:t>which is</w:t>
      </w:r>
      <w:r w:rsidRPr="00CD5BF7">
        <w:rPr>
          <w:sz w:val="22"/>
          <w:szCs w:val="22"/>
        </w:rPr>
        <w:t xml:space="preserve"> 37% of total revenue from just three accounts. Company K sits at the bottom of the top-10 at $21,937.08 less than a third of Company D's value suggesting the top-10 list contains accounts of significantly varying commercial weight.</w:t>
      </w:r>
    </w:p>
    <w:p w14:paraId="16641D9E" w14:textId="05D05D31" w:rsidR="00F14AD7" w:rsidRPr="00CD5BF7" w:rsidRDefault="00000000" w:rsidP="00CD5BF7">
      <w:pPr>
        <w:spacing w:line="360" w:lineRule="auto"/>
        <w:rPr>
          <w:b/>
          <w:bCs/>
          <w:color w:val="375623"/>
          <w:sz w:val="22"/>
          <w:szCs w:val="22"/>
        </w:rPr>
      </w:pPr>
      <w:r w:rsidRPr="00CD5BF7">
        <w:rPr>
          <w:b/>
          <w:bCs/>
          <w:sz w:val="22"/>
          <w:szCs w:val="22"/>
        </w:rPr>
        <w:t>Monthly Analysis</w:t>
      </w:r>
    </w:p>
    <w:p w14:paraId="19D0E7C7" w14:textId="77777777" w:rsidR="00F14AD7" w:rsidRPr="00CD5BF7" w:rsidRDefault="00000000" w:rsidP="00CD5BF7">
      <w:pPr>
        <w:spacing w:before="80" w:after="80" w:line="360" w:lineRule="auto"/>
        <w:jc w:val="both"/>
        <w:rPr>
          <w:sz w:val="22"/>
          <w:szCs w:val="22"/>
        </w:rPr>
      </w:pPr>
      <w:r w:rsidRPr="00CD5BF7">
        <w:rPr>
          <w:sz w:val="22"/>
          <w:szCs w:val="22"/>
        </w:rPr>
        <w:t>December is the peak month at $66,642.78, with June as the mid-year peak at $55,601.61. February ($19,985.50) and April ($20,771.79) are the two weakest months, forming a pronounced Q1 trough. The annual pattern forms a W-shape — rise, fall, rise, fall, rise — with two clear peaks bookending the year. This seasonal pattern has direct implications for inventory planning, sales targeting, and resource allocation.</w:t>
      </w:r>
    </w:p>
    <w:p w14:paraId="7E588BAA" w14:textId="77777777" w:rsidR="00F14AD7" w:rsidRPr="00CD5BF7" w:rsidRDefault="00000000" w:rsidP="00CD5BF7">
      <w:pPr>
        <w:spacing w:line="360" w:lineRule="auto"/>
        <w:rPr>
          <w:b/>
          <w:bCs/>
          <w:color w:val="375623"/>
          <w:sz w:val="22"/>
          <w:szCs w:val="22"/>
        </w:rPr>
      </w:pPr>
      <w:r w:rsidRPr="00CD5BF7">
        <w:rPr>
          <w:b/>
          <w:bCs/>
          <w:sz w:val="22"/>
          <w:szCs w:val="22"/>
        </w:rPr>
        <w:t>Analysis Techniques Used</w:t>
      </w:r>
    </w:p>
    <w:p w14:paraId="25F2F8D0"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Pivot Tables — used for all revenue aggregations by region, salesperson, category, customer, month, and city</w:t>
      </w:r>
    </w:p>
    <w:p w14:paraId="3467B01D" w14:textId="6E2C6744"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Slicers — applied to the Full Dashboard sheet for interactive cross-dimensional filtering</w:t>
      </w:r>
    </w:p>
    <w:p w14:paraId="7DA72AFF"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Conditional Formatting — applied to identify performance tiers in salesperson and regional data</w:t>
      </w:r>
    </w:p>
    <w:p w14:paraId="5F9003BC" w14:textId="243FA8E1" w:rsidR="00D474BD" w:rsidRPr="00CD5BF7" w:rsidRDefault="00D474BD" w:rsidP="00CD5BF7">
      <w:pPr>
        <w:pStyle w:val="ListParagraph"/>
        <w:numPr>
          <w:ilvl w:val="0"/>
          <w:numId w:val="1"/>
        </w:numPr>
        <w:spacing w:before="60" w:after="60" w:line="360" w:lineRule="auto"/>
        <w:rPr>
          <w:sz w:val="22"/>
          <w:szCs w:val="22"/>
        </w:rPr>
      </w:pPr>
      <w:r w:rsidRPr="00CD5BF7">
        <w:rPr>
          <w:sz w:val="22"/>
          <w:szCs w:val="22"/>
        </w:rPr>
        <w:lastRenderedPageBreak/>
        <w:t>Slicer: used for in-depth filtering for further analysis.</w:t>
      </w:r>
    </w:p>
    <w:p w14:paraId="11296A4E"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 xml:space="preserve">Charts — Bar, Pie, </w:t>
      </w:r>
      <w:proofErr w:type="spellStart"/>
      <w:r w:rsidRPr="00CD5BF7">
        <w:rPr>
          <w:sz w:val="22"/>
          <w:szCs w:val="22"/>
        </w:rPr>
        <w:t>Treemap</w:t>
      </w:r>
      <w:proofErr w:type="spellEnd"/>
      <w:r w:rsidRPr="00CD5BF7">
        <w:rPr>
          <w:sz w:val="22"/>
          <w:szCs w:val="22"/>
        </w:rPr>
        <w:t>, Line, Map, and Donut charts created from pivot table outputs</w:t>
      </w:r>
    </w:p>
    <w:p w14:paraId="7CDFFAF0" w14:textId="77777777" w:rsidR="00F14AD7" w:rsidRPr="00CD5BF7" w:rsidRDefault="00000000" w:rsidP="00CD5BF7">
      <w:pPr>
        <w:spacing w:line="360" w:lineRule="auto"/>
        <w:rPr>
          <w:sz w:val="22"/>
          <w:szCs w:val="22"/>
        </w:rPr>
      </w:pPr>
      <w:r w:rsidRPr="00CD5BF7">
        <w:rPr>
          <w:sz w:val="22"/>
          <w:szCs w:val="22"/>
        </w:rPr>
        <w:br w:type="page"/>
      </w:r>
    </w:p>
    <w:p w14:paraId="37AAC9C4"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7. POST-ANALYSIS AND INSIGHTS</w:t>
      </w:r>
    </w:p>
    <w:p w14:paraId="2E0B325B" w14:textId="77777777" w:rsidR="00F14AD7" w:rsidRPr="00CD5BF7" w:rsidRDefault="00000000" w:rsidP="00CD5BF7">
      <w:pPr>
        <w:spacing w:line="360" w:lineRule="auto"/>
        <w:rPr>
          <w:b/>
          <w:bCs/>
          <w:color w:val="375623"/>
          <w:sz w:val="22"/>
          <w:szCs w:val="22"/>
        </w:rPr>
      </w:pPr>
      <w:r w:rsidRPr="00CD5BF7">
        <w:rPr>
          <w:b/>
          <w:bCs/>
          <w:sz w:val="22"/>
          <w:szCs w:val="22"/>
        </w:rPr>
        <w:t>Key Findings</w:t>
      </w:r>
    </w:p>
    <w:p w14:paraId="7E9791D7" w14:textId="77777777" w:rsidR="00F14AD7" w:rsidRPr="00CD5BF7" w:rsidRDefault="00F14AD7" w:rsidP="00CD5BF7">
      <w:pPr>
        <w:spacing w:before="100" w:after="100" w:line="360" w:lineRule="auto"/>
        <w:rPr>
          <w:sz w:val="22"/>
          <w:szCs w:val="22"/>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5000"/>
      </w:tblGrid>
      <w:tr w:rsidR="00F14AD7" w:rsidRPr="00CD5BF7" w14:paraId="025804FD" w14:textId="77777777">
        <w:tblPrEx>
          <w:tblCellMar>
            <w:top w:w="0" w:type="dxa"/>
            <w:bottom w:w="0" w:type="dxa"/>
          </w:tblCellMar>
        </w:tblPrEx>
        <w:tc>
          <w:tcPr>
            <w:tcW w:w="3000" w:type="dxa"/>
            <w:shd w:val="clear" w:color="auto" w:fill="1F4E00"/>
            <w:vAlign w:val="center"/>
          </w:tcPr>
          <w:p w14:paraId="17C2DB92" w14:textId="77777777" w:rsidR="00F14AD7" w:rsidRPr="00CD5BF7" w:rsidRDefault="00000000" w:rsidP="00CD5BF7">
            <w:pPr>
              <w:spacing w:line="360" w:lineRule="auto"/>
              <w:jc w:val="center"/>
              <w:rPr>
                <w:sz w:val="22"/>
                <w:szCs w:val="22"/>
              </w:rPr>
            </w:pPr>
            <w:r w:rsidRPr="00CD5BF7">
              <w:rPr>
                <w:b/>
                <w:bCs/>
                <w:color w:val="FFFFFF"/>
                <w:sz w:val="22"/>
                <w:szCs w:val="22"/>
              </w:rPr>
              <w:t>Finding</w:t>
            </w:r>
          </w:p>
        </w:tc>
        <w:tc>
          <w:tcPr>
            <w:tcW w:w="5000" w:type="dxa"/>
            <w:shd w:val="clear" w:color="auto" w:fill="1F4E00"/>
            <w:vAlign w:val="center"/>
          </w:tcPr>
          <w:p w14:paraId="296E2A43" w14:textId="77777777" w:rsidR="00F14AD7" w:rsidRPr="00CD5BF7" w:rsidRDefault="00000000" w:rsidP="00CD5BF7">
            <w:pPr>
              <w:spacing w:line="360" w:lineRule="auto"/>
              <w:jc w:val="center"/>
              <w:rPr>
                <w:sz w:val="22"/>
                <w:szCs w:val="22"/>
              </w:rPr>
            </w:pPr>
            <w:r w:rsidRPr="00CD5BF7">
              <w:rPr>
                <w:b/>
                <w:bCs/>
                <w:color w:val="FFFFFF"/>
                <w:sz w:val="22"/>
                <w:szCs w:val="22"/>
              </w:rPr>
              <w:t>Detail</w:t>
            </w:r>
          </w:p>
        </w:tc>
      </w:tr>
      <w:tr w:rsidR="00F14AD7" w:rsidRPr="00CD5BF7" w14:paraId="2A9537AB" w14:textId="77777777">
        <w:tblPrEx>
          <w:tblCellMar>
            <w:top w:w="0" w:type="dxa"/>
            <w:bottom w:w="0" w:type="dxa"/>
          </w:tblCellMar>
        </w:tblPrEx>
        <w:tc>
          <w:tcPr>
            <w:tcW w:w="3000" w:type="dxa"/>
            <w:shd w:val="clear" w:color="auto" w:fill="E2EFDA"/>
            <w:vAlign w:val="center"/>
          </w:tcPr>
          <w:p w14:paraId="05C41DAE" w14:textId="77777777" w:rsidR="00F14AD7" w:rsidRPr="00CD5BF7" w:rsidRDefault="00000000" w:rsidP="00CD5BF7">
            <w:pPr>
              <w:spacing w:line="360" w:lineRule="auto"/>
              <w:jc w:val="center"/>
              <w:rPr>
                <w:sz w:val="22"/>
                <w:szCs w:val="22"/>
              </w:rPr>
            </w:pPr>
            <w:r w:rsidRPr="00CD5BF7">
              <w:rPr>
                <w:sz w:val="22"/>
                <w:szCs w:val="22"/>
              </w:rPr>
              <w:t>Total Annual Revenue</w:t>
            </w:r>
          </w:p>
        </w:tc>
        <w:tc>
          <w:tcPr>
            <w:tcW w:w="5000" w:type="dxa"/>
            <w:shd w:val="clear" w:color="auto" w:fill="E2EFDA"/>
            <w:vAlign w:val="center"/>
          </w:tcPr>
          <w:p w14:paraId="4FB33F6E" w14:textId="77777777" w:rsidR="00F14AD7" w:rsidRPr="00CD5BF7" w:rsidRDefault="00000000" w:rsidP="00CD5BF7">
            <w:pPr>
              <w:spacing w:line="360" w:lineRule="auto"/>
              <w:jc w:val="center"/>
              <w:rPr>
                <w:sz w:val="22"/>
                <w:szCs w:val="22"/>
              </w:rPr>
            </w:pPr>
            <w:r w:rsidRPr="00CD5BF7">
              <w:rPr>
                <w:sz w:val="22"/>
                <w:szCs w:val="22"/>
              </w:rPr>
              <w:t>$435,066.16 across 369 transactions</w:t>
            </w:r>
          </w:p>
        </w:tc>
      </w:tr>
      <w:tr w:rsidR="00F14AD7" w:rsidRPr="00CD5BF7" w14:paraId="0131DAD5" w14:textId="77777777">
        <w:tblPrEx>
          <w:tblCellMar>
            <w:top w:w="0" w:type="dxa"/>
            <w:bottom w:w="0" w:type="dxa"/>
          </w:tblCellMar>
        </w:tblPrEx>
        <w:tc>
          <w:tcPr>
            <w:tcW w:w="3000" w:type="dxa"/>
            <w:shd w:val="clear" w:color="auto" w:fill="FFFFFF"/>
            <w:vAlign w:val="center"/>
          </w:tcPr>
          <w:p w14:paraId="39856813" w14:textId="77777777" w:rsidR="00F14AD7" w:rsidRPr="00CD5BF7" w:rsidRDefault="00000000" w:rsidP="00CD5BF7">
            <w:pPr>
              <w:spacing w:line="360" w:lineRule="auto"/>
              <w:jc w:val="center"/>
              <w:rPr>
                <w:sz w:val="22"/>
                <w:szCs w:val="22"/>
              </w:rPr>
            </w:pPr>
            <w:r w:rsidRPr="00CD5BF7">
              <w:rPr>
                <w:sz w:val="22"/>
                <w:szCs w:val="22"/>
              </w:rPr>
              <w:t>Top Region</w:t>
            </w:r>
          </w:p>
        </w:tc>
        <w:tc>
          <w:tcPr>
            <w:tcW w:w="5000" w:type="dxa"/>
            <w:shd w:val="clear" w:color="auto" w:fill="FFFFFF"/>
            <w:vAlign w:val="center"/>
          </w:tcPr>
          <w:p w14:paraId="4DF66948" w14:textId="77777777" w:rsidR="00F14AD7" w:rsidRPr="00CD5BF7" w:rsidRDefault="00000000" w:rsidP="00CD5BF7">
            <w:pPr>
              <w:spacing w:line="360" w:lineRule="auto"/>
              <w:jc w:val="center"/>
              <w:rPr>
                <w:sz w:val="22"/>
                <w:szCs w:val="22"/>
              </w:rPr>
            </w:pPr>
            <w:r w:rsidRPr="00CD5BF7">
              <w:rPr>
                <w:sz w:val="22"/>
                <w:szCs w:val="22"/>
              </w:rPr>
              <w:t>North — $141,680.34 (32.6% of total)</w:t>
            </w:r>
          </w:p>
        </w:tc>
      </w:tr>
      <w:tr w:rsidR="00F14AD7" w:rsidRPr="00CD5BF7" w14:paraId="704CFC73" w14:textId="77777777">
        <w:tblPrEx>
          <w:tblCellMar>
            <w:top w:w="0" w:type="dxa"/>
            <w:bottom w:w="0" w:type="dxa"/>
          </w:tblCellMar>
        </w:tblPrEx>
        <w:tc>
          <w:tcPr>
            <w:tcW w:w="3000" w:type="dxa"/>
            <w:shd w:val="clear" w:color="auto" w:fill="E2EFDA"/>
            <w:vAlign w:val="center"/>
          </w:tcPr>
          <w:p w14:paraId="70A4D187" w14:textId="77777777" w:rsidR="00F14AD7" w:rsidRPr="00CD5BF7" w:rsidRDefault="00000000" w:rsidP="00CD5BF7">
            <w:pPr>
              <w:spacing w:line="360" w:lineRule="auto"/>
              <w:jc w:val="center"/>
              <w:rPr>
                <w:sz w:val="22"/>
                <w:szCs w:val="22"/>
              </w:rPr>
            </w:pPr>
            <w:r w:rsidRPr="00CD5BF7">
              <w:rPr>
                <w:sz w:val="22"/>
                <w:szCs w:val="22"/>
              </w:rPr>
              <w:t>Bottom Region</w:t>
            </w:r>
          </w:p>
        </w:tc>
        <w:tc>
          <w:tcPr>
            <w:tcW w:w="5000" w:type="dxa"/>
            <w:shd w:val="clear" w:color="auto" w:fill="E2EFDA"/>
            <w:vAlign w:val="center"/>
          </w:tcPr>
          <w:p w14:paraId="7E071210" w14:textId="77777777" w:rsidR="00F14AD7" w:rsidRPr="00CD5BF7" w:rsidRDefault="00000000" w:rsidP="00CD5BF7">
            <w:pPr>
              <w:spacing w:line="360" w:lineRule="auto"/>
              <w:jc w:val="center"/>
              <w:rPr>
                <w:sz w:val="22"/>
                <w:szCs w:val="22"/>
              </w:rPr>
            </w:pPr>
            <w:r w:rsidRPr="00CD5BF7">
              <w:rPr>
                <w:sz w:val="22"/>
                <w:szCs w:val="22"/>
              </w:rPr>
              <w:t>West — $91,251.98 (21.0% of total)</w:t>
            </w:r>
          </w:p>
        </w:tc>
      </w:tr>
      <w:tr w:rsidR="00F14AD7" w:rsidRPr="00CD5BF7" w14:paraId="3842571A" w14:textId="77777777">
        <w:tblPrEx>
          <w:tblCellMar>
            <w:top w:w="0" w:type="dxa"/>
            <w:bottom w:w="0" w:type="dxa"/>
          </w:tblCellMar>
        </w:tblPrEx>
        <w:tc>
          <w:tcPr>
            <w:tcW w:w="3000" w:type="dxa"/>
            <w:shd w:val="clear" w:color="auto" w:fill="FFFFFF"/>
            <w:vAlign w:val="center"/>
          </w:tcPr>
          <w:p w14:paraId="547DC5BB" w14:textId="77777777" w:rsidR="00F14AD7" w:rsidRPr="00CD5BF7" w:rsidRDefault="00000000" w:rsidP="00CD5BF7">
            <w:pPr>
              <w:spacing w:line="360" w:lineRule="auto"/>
              <w:jc w:val="center"/>
              <w:rPr>
                <w:sz w:val="22"/>
                <w:szCs w:val="22"/>
              </w:rPr>
            </w:pPr>
            <w:r w:rsidRPr="00CD5BF7">
              <w:rPr>
                <w:sz w:val="22"/>
                <w:szCs w:val="22"/>
              </w:rPr>
              <w:t>Top Salesperson</w:t>
            </w:r>
          </w:p>
        </w:tc>
        <w:tc>
          <w:tcPr>
            <w:tcW w:w="5000" w:type="dxa"/>
            <w:shd w:val="clear" w:color="auto" w:fill="FFFFFF"/>
            <w:vAlign w:val="center"/>
          </w:tcPr>
          <w:p w14:paraId="78177DCF" w14:textId="77777777" w:rsidR="00F14AD7" w:rsidRPr="00CD5BF7" w:rsidRDefault="00000000" w:rsidP="00CD5BF7">
            <w:pPr>
              <w:spacing w:line="360" w:lineRule="auto"/>
              <w:jc w:val="center"/>
              <w:rPr>
                <w:sz w:val="22"/>
                <w:szCs w:val="22"/>
              </w:rPr>
            </w:pPr>
            <w:r w:rsidRPr="00CD5BF7">
              <w:rPr>
                <w:sz w:val="22"/>
                <w:szCs w:val="22"/>
              </w:rPr>
              <w:t>Nancy Freehafer — $104,252.34</w:t>
            </w:r>
          </w:p>
        </w:tc>
      </w:tr>
      <w:tr w:rsidR="00F14AD7" w:rsidRPr="00CD5BF7" w14:paraId="26E96C8E" w14:textId="77777777">
        <w:tblPrEx>
          <w:tblCellMar>
            <w:top w:w="0" w:type="dxa"/>
            <w:bottom w:w="0" w:type="dxa"/>
          </w:tblCellMar>
        </w:tblPrEx>
        <w:tc>
          <w:tcPr>
            <w:tcW w:w="3000" w:type="dxa"/>
            <w:shd w:val="clear" w:color="auto" w:fill="E2EFDA"/>
            <w:vAlign w:val="center"/>
          </w:tcPr>
          <w:p w14:paraId="64143F4F" w14:textId="77777777" w:rsidR="00F14AD7" w:rsidRPr="00CD5BF7" w:rsidRDefault="00000000" w:rsidP="00CD5BF7">
            <w:pPr>
              <w:spacing w:line="360" w:lineRule="auto"/>
              <w:jc w:val="center"/>
              <w:rPr>
                <w:sz w:val="22"/>
                <w:szCs w:val="22"/>
              </w:rPr>
            </w:pPr>
            <w:r w:rsidRPr="00CD5BF7">
              <w:rPr>
                <w:sz w:val="22"/>
                <w:szCs w:val="22"/>
              </w:rPr>
              <w:t>Bottom Salesperson</w:t>
            </w:r>
          </w:p>
        </w:tc>
        <w:tc>
          <w:tcPr>
            <w:tcW w:w="5000" w:type="dxa"/>
            <w:shd w:val="clear" w:color="auto" w:fill="E2EFDA"/>
            <w:vAlign w:val="center"/>
          </w:tcPr>
          <w:p w14:paraId="77CDA2BF" w14:textId="77777777" w:rsidR="00F14AD7" w:rsidRPr="00CD5BF7" w:rsidRDefault="00000000" w:rsidP="00CD5BF7">
            <w:pPr>
              <w:spacing w:line="360" w:lineRule="auto"/>
              <w:jc w:val="center"/>
              <w:rPr>
                <w:sz w:val="22"/>
                <w:szCs w:val="22"/>
              </w:rPr>
            </w:pPr>
            <w:r w:rsidRPr="00CD5BF7">
              <w:rPr>
                <w:sz w:val="22"/>
                <w:szCs w:val="22"/>
              </w:rPr>
              <w:t>Jan Kotas — $16,350.50 (8x below top)</w:t>
            </w:r>
          </w:p>
        </w:tc>
      </w:tr>
      <w:tr w:rsidR="00F14AD7" w:rsidRPr="00CD5BF7" w14:paraId="7B977A28" w14:textId="77777777">
        <w:tblPrEx>
          <w:tblCellMar>
            <w:top w:w="0" w:type="dxa"/>
            <w:bottom w:w="0" w:type="dxa"/>
          </w:tblCellMar>
        </w:tblPrEx>
        <w:tc>
          <w:tcPr>
            <w:tcW w:w="3000" w:type="dxa"/>
            <w:shd w:val="clear" w:color="auto" w:fill="FFFFFF"/>
            <w:vAlign w:val="center"/>
          </w:tcPr>
          <w:p w14:paraId="63F63E1A" w14:textId="77777777" w:rsidR="00F14AD7" w:rsidRPr="00CD5BF7" w:rsidRDefault="00000000" w:rsidP="00CD5BF7">
            <w:pPr>
              <w:spacing w:line="360" w:lineRule="auto"/>
              <w:jc w:val="center"/>
              <w:rPr>
                <w:sz w:val="22"/>
                <w:szCs w:val="22"/>
              </w:rPr>
            </w:pPr>
            <w:r w:rsidRPr="00CD5BF7">
              <w:rPr>
                <w:sz w:val="22"/>
                <w:szCs w:val="22"/>
              </w:rPr>
              <w:t>Top Product Category</w:t>
            </w:r>
          </w:p>
        </w:tc>
        <w:tc>
          <w:tcPr>
            <w:tcW w:w="5000" w:type="dxa"/>
            <w:shd w:val="clear" w:color="auto" w:fill="FFFFFF"/>
            <w:vAlign w:val="center"/>
          </w:tcPr>
          <w:p w14:paraId="78B96653" w14:textId="77777777" w:rsidR="00F14AD7" w:rsidRPr="00CD5BF7" w:rsidRDefault="00000000" w:rsidP="00CD5BF7">
            <w:pPr>
              <w:spacing w:line="360" w:lineRule="auto"/>
              <w:jc w:val="center"/>
              <w:rPr>
                <w:sz w:val="22"/>
                <w:szCs w:val="22"/>
              </w:rPr>
            </w:pPr>
            <w:r w:rsidRPr="00CD5BF7">
              <w:rPr>
                <w:sz w:val="22"/>
                <w:szCs w:val="22"/>
              </w:rPr>
              <w:t>Beverages — $110,577.11</w:t>
            </w:r>
          </w:p>
        </w:tc>
      </w:tr>
      <w:tr w:rsidR="00F14AD7" w:rsidRPr="00CD5BF7" w14:paraId="397289DC" w14:textId="77777777">
        <w:tblPrEx>
          <w:tblCellMar>
            <w:top w:w="0" w:type="dxa"/>
            <w:bottom w:w="0" w:type="dxa"/>
          </w:tblCellMar>
        </w:tblPrEx>
        <w:tc>
          <w:tcPr>
            <w:tcW w:w="3000" w:type="dxa"/>
            <w:shd w:val="clear" w:color="auto" w:fill="E2EFDA"/>
            <w:vAlign w:val="center"/>
          </w:tcPr>
          <w:p w14:paraId="7D36420B" w14:textId="77777777" w:rsidR="00F14AD7" w:rsidRPr="00CD5BF7" w:rsidRDefault="00000000" w:rsidP="00CD5BF7">
            <w:pPr>
              <w:spacing w:line="360" w:lineRule="auto"/>
              <w:jc w:val="center"/>
              <w:rPr>
                <w:sz w:val="22"/>
                <w:szCs w:val="22"/>
              </w:rPr>
            </w:pPr>
            <w:r w:rsidRPr="00CD5BF7">
              <w:rPr>
                <w:sz w:val="22"/>
                <w:szCs w:val="22"/>
              </w:rPr>
              <w:t>Weakest Category</w:t>
            </w:r>
          </w:p>
        </w:tc>
        <w:tc>
          <w:tcPr>
            <w:tcW w:w="5000" w:type="dxa"/>
            <w:shd w:val="clear" w:color="auto" w:fill="E2EFDA"/>
            <w:vAlign w:val="center"/>
          </w:tcPr>
          <w:p w14:paraId="2590A765" w14:textId="77777777" w:rsidR="00F14AD7" w:rsidRPr="00CD5BF7" w:rsidRDefault="00000000" w:rsidP="00CD5BF7">
            <w:pPr>
              <w:spacing w:line="360" w:lineRule="auto"/>
              <w:jc w:val="center"/>
              <w:rPr>
                <w:sz w:val="22"/>
                <w:szCs w:val="22"/>
              </w:rPr>
            </w:pPr>
            <w:r w:rsidRPr="00CD5BF7">
              <w:rPr>
                <w:sz w:val="22"/>
                <w:szCs w:val="22"/>
              </w:rPr>
              <w:t>Canned Meat — $25,465.60</w:t>
            </w:r>
          </w:p>
        </w:tc>
      </w:tr>
      <w:tr w:rsidR="00F14AD7" w:rsidRPr="00CD5BF7" w14:paraId="6358B109" w14:textId="77777777">
        <w:tblPrEx>
          <w:tblCellMar>
            <w:top w:w="0" w:type="dxa"/>
            <w:bottom w:w="0" w:type="dxa"/>
          </w:tblCellMar>
        </w:tblPrEx>
        <w:tc>
          <w:tcPr>
            <w:tcW w:w="3000" w:type="dxa"/>
            <w:shd w:val="clear" w:color="auto" w:fill="FFFFFF"/>
            <w:vAlign w:val="center"/>
          </w:tcPr>
          <w:p w14:paraId="7A1F914A" w14:textId="77777777" w:rsidR="00F14AD7" w:rsidRPr="00CD5BF7" w:rsidRDefault="00000000" w:rsidP="00CD5BF7">
            <w:pPr>
              <w:spacing w:line="360" w:lineRule="auto"/>
              <w:jc w:val="center"/>
              <w:rPr>
                <w:sz w:val="22"/>
                <w:szCs w:val="22"/>
              </w:rPr>
            </w:pPr>
            <w:r w:rsidRPr="00CD5BF7">
              <w:rPr>
                <w:sz w:val="22"/>
                <w:szCs w:val="22"/>
              </w:rPr>
              <w:t>Top Customer</w:t>
            </w:r>
          </w:p>
        </w:tc>
        <w:tc>
          <w:tcPr>
            <w:tcW w:w="5000" w:type="dxa"/>
            <w:shd w:val="clear" w:color="auto" w:fill="FFFFFF"/>
            <w:vAlign w:val="center"/>
          </w:tcPr>
          <w:p w14:paraId="2815B1F4" w14:textId="77777777" w:rsidR="00F14AD7" w:rsidRPr="00CD5BF7" w:rsidRDefault="00000000" w:rsidP="00CD5BF7">
            <w:pPr>
              <w:spacing w:line="360" w:lineRule="auto"/>
              <w:jc w:val="center"/>
              <w:rPr>
                <w:sz w:val="22"/>
                <w:szCs w:val="22"/>
              </w:rPr>
            </w:pPr>
            <w:r w:rsidRPr="00CD5BF7">
              <w:rPr>
                <w:sz w:val="22"/>
                <w:szCs w:val="22"/>
              </w:rPr>
              <w:t>Company D — $67,180.50</w:t>
            </w:r>
          </w:p>
        </w:tc>
      </w:tr>
      <w:tr w:rsidR="00F14AD7" w:rsidRPr="00CD5BF7" w14:paraId="78FEF790" w14:textId="77777777">
        <w:tblPrEx>
          <w:tblCellMar>
            <w:top w:w="0" w:type="dxa"/>
            <w:bottom w:w="0" w:type="dxa"/>
          </w:tblCellMar>
        </w:tblPrEx>
        <w:tc>
          <w:tcPr>
            <w:tcW w:w="3000" w:type="dxa"/>
            <w:shd w:val="clear" w:color="auto" w:fill="E2EFDA"/>
            <w:vAlign w:val="center"/>
          </w:tcPr>
          <w:p w14:paraId="5C8C867A" w14:textId="77777777" w:rsidR="00F14AD7" w:rsidRPr="00CD5BF7" w:rsidRDefault="00000000" w:rsidP="00CD5BF7">
            <w:pPr>
              <w:spacing w:line="360" w:lineRule="auto"/>
              <w:jc w:val="center"/>
              <w:rPr>
                <w:sz w:val="22"/>
                <w:szCs w:val="22"/>
              </w:rPr>
            </w:pPr>
            <w:r w:rsidRPr="00CD5BF7">
              <w:rPr>
                <w:sz w:val="22"/>
                <w:szCs w:val="22"/>
              </w:rPr>
              <w:t>Peak Month</w:t>
            </w:r>
          </w:p>
        </w:tc>
        <w:tc>
          <w:tcPr>
            <w:tcW w:w="5000" w:type="dxa"/>
            <w:shd w:val="clear" w:color="auto" w:fill="E2EFDA"/>
            <w:vAlign w:val="center"/>
          </w:tcPr>
          <w:p w14:paraId="160FD8DB" w14:textId="77777777" w:rsidR="00F14AD7" w:rsidRPr="00CD5BF7" w:rsidRDefault="00000000" w:rsidP="00CD5BF7">
            <w:pPr>
              <w:spacing w:line="360" w:lineRule="auto"/>
              <w:jc w:val="center"/>
              <w:rPr>
                <w:sz w:val="22"/>
                <w:szCs w:val="22"/>
              </w:rPr>
            </w:pPr>
            <w:r w:rsidRPr="00CD5BF7">
              <w:rPr>
                <w:sz w:val="22"/>
                <w:szCs w:val="22"/>
              </w:rPr>
              <w:t>December — $66,642.78</w:t>
            </w:r>
          </w:p>
        </w:tc>
      </w:tr>
      <w:tr w:rsidR="00F14AD7" w:rsidRPr="00CD5BF7" w14:paraId="728235D8" w14:textId="77777777">
        <w:tblPrEx>
          <w:tblCellMar>
            <w:top w:w="0" w:type="dxa"/>
            <w:bottom w:w="0" w:type="dxa"/>
          </w:tblCellMar>
        </w:tblPrEx>
        <w:tc>
          <w:tcPr>
            <w:tcW w:w="3000" w:type="dxa"/>
            <w:shd w:val="clear" w:color="auto" w:fill="FFFFFF"/>
            <w:vAlign w:val="center"/>
          </w:tcPr>
          <w:p w14:paraId="686C3D61" w14:textId="77777777" w:rsidR="00F14AD7" w:rsidRPr="00CD5BF7" w:rsidRDefault="00000000" w:rsidP="00CD5BF7">
            <w:pPr>
              <w:spacing w:line="360" w:lineRule="auto"/>
              <w:jc w:val="center"/>
              <w:rPr>
                <w:sz w:val="22"/>
                <w:szCs w:val="22"/>
              </w:rPr>
            </w:pPr>
            <w:r w:rsidRPr="00CD5BF7">
              <w:rPr>
                <w:sz w:val="22"/>
                <w:szCs w:val="22"/>
              </w:rPr>
              <w:t>Weakest Month</w:t>
            </w:r>
          </w:p>
        </w:tc>
        <w:tc>
          <w:tcPr>
            <w:tcW w:w="5000" w:type="dxa"/>
            <w:shd w:val="clear" w:color="auto" w:fill="FFFFFF"/>
            <w:vAlign w:val="center"/>
          </w:tcPr>
          <w:p w14:paraId="1B7BAC00" w14:textId="77777777" w:rsidR="00F14AD7" w:rsidRPr="00CD5BF7" w:rsidRDefault="00000000" w:rsidP="00CD5BF7">
            <w:pPr>
              <w:spacing w:line="360" w:lineRule="auto"/>
              <w:jc w:val="center"/>
              <w:rPr>
                <w:sz w:val="22"/>
                <w:szCs w:val="22"/>
              </w:rPr>
            </w:pPr>
            <w:r w:rsidRPr="00CD5BF7">
              <w:rPr>
                <w:sz w:val="22"/>
                <w:szCs w:val="22"/>
              </w:rPr>
              <w:t>February — $19,985.50</w:t>
            </w:r>
          </w:p>
        </w:tc>
      </w:tr>
      <w:tr w:rsidR="00F14AD7" w:rsidRPr="00CD5BF7" w14:paraId="39B6FA17" w14:textId="77777777">
        <w:tblPrEx>
          <w:tblCellMar>
            <w:top w:w="0" w:type="dxa"/>
            <w:bottom w:w="0" w:type="dxa"/>
          </w:tblCellMar>
        </w:tblPrEx>
        <w:tc>
          <w:tcPr>
            <w:tcW w:w="3000" w:type="dxa"/>
            <w:shd w:val="clear" w:color="auto" w:fill="E2EFDA"/>
            <w:vAlign w:val="center"/>
          </w:tcPr>
          <w:p w14:paraId="08588201" w14:textId="77777777" w:rsidR="00F14AD7" w:rsidRPr="00CD5BF7" w:rsidRDefault="00000000" w:rsidP="00CD5BF7">
            <w:pPr>
              <w:spacing w:line="360" w:lineRule="auto"/>
              <w:jc w:val="center"/>
              <w:rPr>
                <w:sz w:val="22"/>
                <w:szCs w:val="22"/>
              </w:rPr>
            </w:pPr>
            <w:r w:rsidRPr="00CD5BF7">
              <w:rPr>
                <w:sz w:val="22"/>
                <w:szCs w:val="22"/>
              </w:rPr>
              <w:t>Top City</w:t>
            </w:r>
          </w:p>
        </w:tc>
        <w:tc>
          <w:tcPr>
            <w:tcW w:w="5000" w:type="dxa"/>
            <w:shd w:val="clear" w:color="auto" w:fill="E2EFDA"/>
            <w:vAlign w:val="center"/>
          </w:tcPr>
          <w:p w14:paraId="46800E72" w14:textId="77777777" w:rsidR="00F14AD7" w:rsidRPr="00CD5BF7" w:rsidRDefault="00000000" w:rsidP="00CD5BF7">
            <w:pPr>
              <w:spacing w:line="360" w:lineRule="auto"/>
              <w:jc w:val="center"/>
              <w:rPr>
                <w:sz w:val="22"/>
                <w:szCs w:val="22"/>
              </w:rPr>
            </w:pPr>
            <w:r w:rsidRPr="00CD5BF7">
              <w:rPr>
                <w:sz w:val="22"/>
                <w:szCs w:val="22"/>
              </w:rPr>
              <w:t>New York — $67,180.50</w:t>
            </w:r>
          </w:p>
        </w:tc>
      </w:tr>
      <w:tr w:rsidR="00F14AD7" w:rsidRPr="00CD5BF7" w14:paraId="68036FA8" w14:textId="77777777">
        <w:tblPrEx>
          <w:tblCellMar>
            <w:top w:w="0" w:type="dxa"/>
            <w:bottom w:w="0" w:type="dxa"/>
          </w:tblCellMar>
        </w:tblPrEx>
        <w:tc>
          <w:tcPr>
            <w:tcW w:w="3000" w:type="dxa"/>
            <w:shd w:val="clear" w:color="auto" w:fill="FFFFFF"/>
            <w:vAlign w:val="center"/>
          </w:tcPr>
          <w:p w14:paraId="3BA5138E" w14:textId="77777777" w:rsidR="00F14AD7" w:rsidRPr="00CD5BF7" w:rsidRDefault="00000000" w:rsidP="00CD5BF7">
            <w:pPr>
              <w:spacing w:line="360" w:lineRule="auto"/>
              <w:jc w:val="center"/>
              <w:rPr>
                <w:sz w:val="22"/>
                <w:szCs w:val="22"/>
              </w:rPr>
            </w:pPr>
            <w:r w:rsidRPr="00CD5BF7">
              <w:rPr>
                <w:sz w:val="22"/>
                <w:szCs w:val="22"/>
              </w:rPr>
              <w:t>Top Product</w:t>
            </w:r>
          </w:p>
        </w:tc>
        <w:tc>
          <w:tcPr>
            <w:tcW w:w="5000" w:type="dxa"/>
            <w:shd w:val="clear" w:color="auto" w:fill="FFFFFF"/>
            <w:vAlign w:val="center"/>
          </w:tcPr>
          <w:p w14:paraId="46EC0833" w14:textId="77777777" w:rsidR="00F14AD7" w:rsidRPr="00CD5BF7" w:rsidRDefault="00000000" w:rsidP="00CD5BF7">
            <w:pPr>
              <w:spacing w:line="360" w:lineRule="auto"/>
              <w:jc w:val="center"/>
              <w:rPr>
                <w:sz w:val="22"/>
                <w:szCs w:val="22"/>
              </w:rPr>
            </w:pPr>
            <w:r w:rsidRPr="00CD5BF7">
              <w:rPr>
                <w:sz w:val="22"/>
                <w:szCs w:val="22"/>
              </w:rPr>
              <w:t>Coffee — $75,486.00</w:t>
            </w:r>
          </w:p>
        </w:tc>
      </w:tr>
    </w:tbl>
    <w:p w14:paraId="66DF65C8" w14:textId="77777777" w:rsidR="00F14AD7" w:rsidRPr="00CD5BF7" w:rsidRDefault="00F14AD7" w:rsidP="00CD5BF7">
      <w:pPr>
        <w:spacing w:before="100" w:after="100" w:line="360" w:lineRule="auto"/>
        <w:rPr>
          <w:sz w:val="22"/>
          <w:szCs w:val="22"/>
        </w:rPr>
      </w:pPr>
    </w:p>
    <w:p w14:paraId="23509D1F" w14:textId="77777777" w:rsidR="00F14AD7" w:rsidRPr="00CD5BF7" w:rsidRDefault="00000000" w:rsidP="00CD5BF7">
      <w:pPr>
        <w:spacing w:line="360" w:lineRule="auto"/>
        <w:rPr>
          <w:b/>
          <w:bCs/>
          <w:color w:val="375623"/>
          <w:sz w:val="22"/>
          <w:szCs w:val="22"/>
        </w:rPr>
      </w:pPr>
      <w:r w:rsidRPr="00CD5BF7">
        <w:rPr>
          <w:b/>
          <w:bCs/>
          <w:sz w:val="22"/>
          <w:szCs w:val="22"/>
        </w:rPr>
        <w:t>Slicer-Based Post-Analysis Findings</w:t>
      </w:r>
    </w:p>
    <w:p w14:paraId="66A88494" w14:textId="77777777" w:rsidR="00F14AD7" w:rsidRPr="00CD5BF7" w:rsidRDefault="00000000" w:rsidP="00CD5BF7">
      <w:pPr>
        <w:spacing w:before="80" w:after="80" w:line="360" w:lineRule="auto"/>
        <w:jc w:val="both"/>
        <w:rPr>
          <w:sz w:val="22"/>
          <w:szCs w:val="22"/>
        </w:rPr>
      </w:pPr>
      <w:r w:rsidRPr="00CD5BF7">
        <w:rPr>
          <w:sz w:val="22"/>
          <w:szCs w:val="22"/>
        </w:rPr>
        <w:t>Applying slicers to the Full Dashboard revealed the following cross-dimensional insights:</w:t>
      </w:r>
    </w:p>
    <w:p w14:paraId="69F30531" w14:textId="101483A9"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Andrew Cencini and Laura Giussani serve the East region from New York and Chicago respectively. Andrew's peak months are June ($11,595) and December ($11,026) aligning with the two national revenue peaks</w:t>
      </w:r>
    </w:p>
    <w:p w14:paraId="2B1B2A6E" w14:textId="7E0BAD2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Beer is primarily consumed in the North and West regions concentrated in Denver, Milwaukee, and Las Vegas — with December as its peak month, reflecting festive-period demand behavior</w:t>
      </w:r>
    </w:p>
    <w:p w14:paraId="4C377A94" w14:textId="20FEAB4E"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Michael Neipper is the top Beer salesperson making him the most critical individual for this specific product category's revenue</w:t>
      </w:r>
    </w:p>
    <w:p w14:paraId="07665796"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Marmalade is the most sought-after product in the East, with zero sales in January and February and peak sales in June</w:t>
      </w:r>
    </w:p>
    <w:p w14:paraId="7C3AC478" w14:textId="64FE85CF"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Green Tea is the only product sold across all four regions making it the most universally distributed product in the portfolio</w:t>
      </w:r>
    </w:p>
    <w:p w14:paraId="75902B86" w14:textId="6C6D5DCF"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Coffee and Curry Sauce are sold in three regions (West, South, North) absent from East with Memphis driving Coffee revenue (peak in December) and Portland driving Curry Sauce (peak in October)</w:t>
      </w:r>
    </w:p>
    <w:p w14:paraId="36E29E4E" w14:textId="77777777" w:rsidR="00F14AD7" w:rsidRPr="00CD5BF7" w:rsidRDefault="00000000" w:rsidP="00CD5BF7">
      <w:pPr>
        <w:spacing w:line="360" w:lineRule="auto"/>
        <w:rPr>
          <w:b/>
          <w:bCs/>
          <w:color w:val="375623"/>
          <w:sz w:val="22"/>
          <w:szCs w:val="22"/>
        </w:rPr>
      </w:pPr>
      <w:r w:rsidRPr="00CD5BF7">
        <w:rPr>
          <w:b/>
          <w:bCs/>
          <w:sz w:val="22"/>
          <w:szCs w:val="22"/>
        </w:rPr>
        <w:t>Comparison with Initial Findings</w:t>
      </w:r>
    </w:p>
    <w:p w14:paraId="2EDFDC18" w14:textId="56B90452" w:rsidR="00F14AD7" w:rsidRPr="00CD5BF7" w:rsidRDefault="00000000" w:rsidP="00CD5BF7">
      <w:pPr>
        <w:spacing w:before="80" w:after="80" w:line="360" w:lineRule="auto"/>
        <w:jc w:val="both"/>
        <w:rPr>
          <w:sz w:val="22"/>
          <w:szCs w:val="22"/>
        </w:rPr>
      </w:pPr>
      <w:r w:rsidRPr="00CD5BF7">
        <w:rPr>
          <w:sz w:val="22"/>
          <w:szCs w:val="22"/>
        </w:rPr>
        <w:lastRenderedPageBreak/>
        <w:t>The pre-analysis hypotheses were largely confirmed through formal analysis. North's dominance, the two-peak seasonal pattern, Company D's top customer status, and Jan Kotas's outlier position were all validated. The most counter-intuitive finding was the near-identical performance of South ($93,858) and West ($91,251) which were assumed to be more differentiated before analysis. The discovery that Green Tea is the only four-region product was also unexpected and represents a strategically significant insight that was not visible in the raw data.</w:t>
      </w:r>
    </w:p>
    <w:p w14:paraId="5D0B62AD" w14:textId="77777777" w:rsidR="00F14AD7" w:rsidRPr="00CD5BF7" w:rsidRDefault="00000000" w:rsidP="00CD5BF7">
      <w:pPr>
        <w:spacing w:line="360" w:lineRule="auto"/>
        <w:rPr>
          <w:sz w:val="22"/>
          <w:szCs w:val="22"/>
        </w:rPr>
      </w:pPr>
      <w:r w:rsidRPr="00CD5BF7">
        <w:rPr>
          <w:sz w:val="22"/>
          <w:szCs w:val="22"/>
        </w:rPr>
        <w:br w:type="page"/>
      </w:r>
    </w:p>
    <w:p w14:paraId="18D57E83"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8. DATA VISUALIZATIONS &amp; CHARTS</w:t>
      </w:r>
    </w:p>
    <w:p w14:paraId="51631E23" w14:textId="77777777" w:rsidR="00F14AD7" w:rsidRPr="00CD5BF7" w:rsidRDefault="00000000" w:rsidP="00CD5BF7">
      <w:pPr>
        <w:spacing w:line="360" w:lineRule="auto"/>
        <w:rPr>
          <w:b/>
          <w:bCs/>
          <w:color w:val="375623"/>
          <w:sz w:val="22"/>
          <w:szCs w:val="22"/>
        </w:rPr>
      </w:pPr>
      <w:r w:rsidRPr="00CD5BF7">
        <w:rPr>
          <w:b/>
          <w:bCs/>
          <w:sz w:val="22"/>
          <w:szCs w:val="22"/>
        </w:rPr>
        <w:t>Dashboard Overview</w:t>
      </w:r>
    </w:p>
    <w:p w14:paraId="6288078B" w14:textId="77777777" w:rsidR="00F14AD7" w:rsidRPr="00CD5BF7" w:rsidRDefault="00000000" w:rsidP="00CD5BF7">
      <w:pPr>
        <w:spacing w:before="80" w:after="80" w:line="360" w:lineRule="auto"/>
        <w:jc w:val="both"/>
        <w:rPr>
          <w:sz w:val="22"/>
          <w:szCs w:val="22"/>
        </w:rPr>
      </w:pPr>
      <w:r w:rsidRPr="00CD5BF7">
        <w:rPr>
          <w:sz w:val="22"/>
          <w:szCs w:val="22"/>
        </w:rPr>
        <w:t>All charts and visualizations were consolidated into a single interactive Full Dashboard in Microsoft Excel. The dashboard includes six KPI cards (Top Performing Month, Customer of the Year, Best Region by Revenue, Top Grossing State, Product of the Year) connected to slicers for Product and Salesperson filtering. The following charts are included:</w:t>
      </w:r>
    </w:p>
    <w:p w14:paraId="17964FBE" w14:textId="77777777" w:rsidR="00F14AD7" w:rsidRPr="00CD5BF7" w:rsidRDefault="00F14AD7" w:rsidP="00CD5BF7">
      <w:pPr>
        <w:spacing w:before="100" w:after="100" w:line="360" w:lineRule="auto"/>
        <w:rPr>
          <w:sz w:val="22"/>
          <w:szCs w:val="22"/>
        </w:rPr>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800"/>
      </w:tblGrid>
      <w:tr w:rsidR="00AA037D" w:rsidRPr="00CD5BF7" w14:paraId="76A6433C" w14:textId="77777777" w:rsidTr="00AA037D">
        <w:tblPrEx>
          <w:tblCellMar>
            <w:top w:w="0" w:type="dxa"/>
            <w:bottom w:w="0" w:type="dxa"/>
          </w:tblCellMar>
        </w:tblPrEx>
        <w:tc>
          <w:tcPr>
            <w:tcW w:w="2200" w:type="dxa"/>
            <w:shd w:val="clear" w:color="auto" w:fill="1F4E00"/>
            <w:vAlign w:val="center"/>
          </w:tcPr>
          <w:p w14:paraId="7C7DE33E" w14:textId="77777777" w:rsidR="00AA037D" w:rsidRPr="00CD5BF7" w:rsidRDefault="00AA037D" w:rsidP="00CD5BF7">
            <w:pPr>
              <w:spacing w:line="360" w:lineRule="auto"/>
              <w:jc w:val="center"/>
              <w:rPr>
                <w:sz w:val="22"/>
                <w:szCs w:val="22"/>
              </w:rPr>
            </w:pPr>
            <w:r w:rsidRPr="00CD5BF7">
              <w:rPr>
                <w:b/>
                <w:bCs/>
                <w:color w:val="FFFFFF"/>
                <w:sz w:val="22"/>
                <w:szCs w:val="22"/>
              </w:rPr>
              <w:t>Chart</w:t>
            </w:r>
          </w:p>
        </w:tc>
        <w:tc>
          <w:tcPr>
            <w:tcW w:w="1800" w:type="dxa"/>
            <w:shd w:val="clear" w:color="auto" w:fill="1F4E00"/>
            <w:vAlign w:val="center"/>
          </w:tcPr>
          <w:p w14:paraId="0483BCB6" w14:textId="77777777" w:rsidR="00AA037D" w:rsidRPr="00CD5BF7" w:rsidRDefault="00AA037D" w:rsidP="00CD5BF7">
            <w:pPr>
              <w:spacing w:line="360" w:lineRule="auto"/>
              <w:jc w:val="center"/>
              <w:rPr>
                <w:sz w:val="22"/>
                <w:szCs w:val="22"/>
              </w:rPr>
            </w:pPr>
            <w:r w:rsidRPr="00CD5BF7">
              <w:rPr>
                <w:b/>
                <w:bCs/>
                <w:color w:val="FFFFFF"/>
                <w:sz w:val="22"/>
                <w:szCs w:val="22"/>
              </w:rPr>
              <w:t>Type</w:t>
            </w:r>
          </w:p>
        </w:tc>
      </w:tr>
      <w:tr w:rsidR="00AA037D" w:rsidRPr="00CD5BF7" w14:paraId="3F9232F4" w14:textId="77777777" w:rsidTr="00AA037D">
        <w:tblPrEx>
          <w:tblCellMar>
            <w:top w:w="0" w:type="dxa"/>
            <w:bottom w:w="0" w:type="dxa"/>
          </w:tblCellMar>
        </w:tblPrEx>
        <w:tc>
          <w:tcPr>
            <w:tcW w:w="2200" w:type="dxa"/>
            <w:shd w:val="clear" w:color="auto" w:fill="E2EFDA"/>
            <w:vAlign w:val="center"/>
          </w:tcPr>
          <w:p w14:paraId="636E56A5" w14:textId="77777777" w:rsidR="00AA037D" w:rsidRPr="00CD5BF7" w:rsidRDefault="00AA037D" w:rsidP="00CD5BF7">
            <w:pPr>
              <w:spacing w:line="360" w:lineRule="auto"/>
              <w:jc w:val="center"/>
              <w:rPr>
                <w:sz w:val="22"/>
                <w:szCs w:val="22"/>
              </w:rPr>
            </w:pPr>
            <w:r w:rsidRPr="00CD5BF7">
              <w:rPr>
                <w:sz w:val="22"/>
                <w:szCs w:val="22"/>
              </w:rPr>
              <w:t>Sales by Region</w:t>
            </w:r>
          </w:p>
        </w:tc>
        <w:tc>
          <w:tcPr>
            <w:tcW w:w="1800" w:type="dxa"/>
            <w:shd w:val="clear" w:color="auto" w:fill="E2EFDA"/>
            <w:vAlign w:val="center"/>
          </w:tcPr>
          <w:p w14:paraId="1AFEEFE7" w14:textId="77777777" w:rsidR="00AA037D" w:rsidRPr="00CD5BF7" w:rsidRDefault="00AA037D" w:rsidP="00CD5BF7">
            <w:pPr>
              <w:spacing w:line="360" w:lineRule="auto"/>
              <w:jc w:val="center"/>
              <w:rPr>
                <w:sz w:val="22"/>
                <w:szCs w:val="22"/>
              </w:rPr>
            </w:pPr>
            <w:r w:rsidRPr="00CD5BF7">
              <w:rPr>
                <w:sz w:val="22"/>
                <w:szCs w:val="22"/>
              </w:rPr>
              <w:t>Pie Chart</w:t>
            </w:r>
          </w:p>
        </w:tc>
      </w:tr>
      <w:tr w:rsidR="00AA037D" w:rsidRPr="00CD5BF7" w14:paraId="7CA5C2DD" w14:textId="77777777" w:rsidTr="00AA037D">
        <w:tblPrEx>
          <w:tblCellMar>
            <w:top w:w="0" w:type="dxa"/>
            <w:bottom w:w="0" w:type="dxa"/>
          </w:tblCellMar>
        </w:tblPrEx>
        <w:tc>
          <w:tcPr>
            <w:tcW w:w="2200" w:type="dxa"/>
            <w:shd w:val="clear" w:color="auto" w:fill="FFFFFF"/>
            <w:vAlign w:val="center"/>
          </w:tcPr>
          <w:p w14:paraId="66B98604" w14:textId="77777777" w:rsidR="00AA037D" w:rsidRPr="00CD5BF7" w:rsidRDefault="00AA037D" w:rsidP="00CD5BF7">
            <w:pPr>
              <w:spacing w:line="360" w:lineRule="auto"/>
              <w:jc w:val="center"/>
              <w:rPr>
                <w:sz w:val="22"/>
                <w:szCs w:val="22"/>
              </w:rPr>
            </w:pPr>
            <w:r w:rsidRPr="00CD5BF7">
              <w:rPr>
                <w:sz w:val="22"/>
                <w:szCs w:val="22"/>
              </w:rPr>
              <w:t>Performance by Salespersons</w:t>
            </w:r>
          </w:p>
        </w:tc>
        <w:tc>
          <w:tcPr>
            <w:tcW w:w="1800" w:type="dxa"/>
            <w:shd w:val="clear" w:color="auto" w:fill="FFFFFF"/>
            <w:vAlign w:val="center"/>
          </w:tcPr>
          <w:p w14:paraId="76573D50" w14:textId="77777777" w:rsidR="00AA037D" w:rsidRPr="00CD5BF7" w:rsidRDefault="00AA037D" w:rsidP="00CD5BF7">
            <w:pPr>
              <w:spacing w:line="360" w:lineRule="auto"/>
              <w:jc w:val="center"/>
              <w:rPr>
                <w:sz w:val="22"/>
                <w:szCs w:val="22"/>
              </w:rPr>
            </w:pPr>
            <w:r w:rsidRPr="00CD5BF7">
              <w:rPr>
                <w:sz w:val="22"/>
                <w:szCs w:val="22"/>
              </w:rPr>
              <w:t>Horizontal Bar</w:t>
            </w:r>
          </w:p>
        </w:tc>
      </w:tr>
      <w:tr w:rsidR="00AA037D" w:rsidRPr="00CD5BF7" w14:paraId="4239A5FD" w14:textId="77777777" w:rsidTr="00AA037D">
        <w:tblPrEx>
          <w:tblCellMar>
            <w:top w:w="0" w:type="dxa"/>
            <w:bottom w:w="0" w:type="dxa"/>
          </w:tblCellMar>
        </w:tblPrEx>
        <w:tc>
          <w:tcPr>
            <w:tcW w:w="2200" w:type="dxa"/>
            <w:shd w:val="clear" w:color="auto" w:fill="E2EFDA"/>
            <w:vAlign w:val="center"/>
          </w:tcPr>
          <w:p w14:paraId="7E31A5E5" w14:textId="77777777" w:rsidR="00AA037D" w:rsidRPr="00CD5BF7" w:rsidRDefault="00AA037D" w:rsidP="00CD5BF7">
            <w:pPr>
              <w:spacing w:line="360" w:lineRule="auto"/>
              <w:jc w:val="center"/>
              <w:rPr>
                <w:sz w:val="22"/>
                <w:szCs w:val="22"/>
              </w:rPr>
            </w:pPr>
            <w:r w:rsidRPr="00CD5BF7">
              <w:rPr>
                <w:sz w:val="22"/>
                <w:szCs w:val="22"/>
              </w:rPr>
              <w:t>Product Category Performance</w:t>
            </w:r>
          </w:p>
        </w:tc>
        <w:tc>
          <w:tcPr>
            <w:tcW w:w="1800" w:type="dxa"/>
            <w:shd w:val="clear" w:color="auto" w:fill="E2EFDA"/>
            <w:vAlign w:val="center"/>
          </w:tcPr>
          <w:p w14:paraId="51B64E15" w14:textId="77777777" w:rsidR="00AA037D" w:rsidRPr="00CD5BF7" w:rsidRDefault="00AA037D" w:rsidP="00CD5BF7">
            <w:pPr>
              <w:spacing w:line="360" w:lineRule="auto"/>
              <w:jc w:val="center"/>
              <w:rPr>
                <w:sz w:val="22"/>
                <w:szCs w:val="22"/>
              </w:rPr>
            </w:pPr>
            <w:proofErr w:type="spellStart"/>
            <w:r w:rsidRPr="00CD5BF7">
              <w:rPr>
                <w:sz w:val="22"/>
                <w:szCs w:val="22"/>
              </w:rPr>
              <w:t>Treemap</w:t>
            </w:r>
            <w:proofErr w:type="spellEnd"/>
          </w:p>
        </w:tc>
      </w:tr>
      <w:tr w:rsidR="00AA037D" w:rsidRPr="00CD5BF7" w14:paraId="0015EF1D" w14:textId="77777777" w:rsidTr="00AA037D">
        <w:tblPrEx>
          <w:tblCellMar>
            <w:top w:w="0" w:type="dxa"/>
            <w:bottom w:w="0" w:type="dxa"/>
          </w:tblCellMar>
        </w:tblPrEx>
        <w:tc>
          <w:tcPr>
            <w:tcW w:w="2200" w:type="dxa"/>
            <w:shd w:val="clear" w:color="auto" w:fill="FFFFFF"/>
            <w:vAlign w:val="center"/>
          </w:tcPr>
          <w:p w14:paraId="38A1B919" w14:textId="77777777" w:rsidR="00AA037D" w:rsidRPr="00CD5BF7" w:rsidRDefault="00AA037D" w:rsidP="00CD5BF7">
            <w:pPr>
              <w:spacing w:line="360" w:lineRule="auto"/>
              <w:jc w:val="center"/>
              <w:rPr>
                <w:sz w:val="22"/>
                <w:szCs w:val="22"/>
              </w:rPr>
            </w:pPr>
            <w:r w:rsidRPr="00CD5BF7">
              <w:rPr>
                <w:sz w:val="22"/>
                <w:szCs w:val="22"/>
              </w:rPr>
              <w:t>Sales Trend</w:t>
            </w:r>
          </w:p>
        </w:tc>
        <w:tc>
          <w:tcPr>
            <w:tcW w:w="1800" w:type="dxa"/>
            <w:shd w:val="clear" w:color="auto" w:fill="FFFFFF"/>
            <w:vAlign w:val="center"/>
          </w:tcPr>
          <w:p w14:paraId="2F46B3EC" w14:textId="77777777" w:rsidR="00AA037D" w:rsidRPr="00CD5BF7" w:rsidRDefault="00AA037D" w:rsidP="00CD5BF7">
            <w:pPr>
              <w:spacing w:line="360" w:lineRule="auto"/>
              <w:jc w:val="center"/>
              <w:rPr>
                <w:sz w:val="22"/>
                <w:szCs w:val="22"/>
              </w:rPr>
            </w:pPr>
            <w:r w:rsidRPr="00CD5BF7">
              <w:rPr>
                <w:sz w:val="22"/>
                <w:szCs w:val="22"/>
              </w:rPr>
              <w:t>Area Line Chart</w:t>
            </w:r>
          </w:p>
        </w:tc>
      </w:tr>
      <w:tr w:rsidR="00AA037D" w:rsidRPr="00CD5BF7" w14:paraId="44647037" w14:textId="77777777" w:rsidTr="00AA037D">
        <w:tblPrEx>
          <w:tblCellMar>
            <w:top w:w="0" w:type="dxa"/>
            <w:bottom w:w="0" w:type="dxa"/>
          </w:tblCellMar>
        </w:tblPrEx>
        <w:tc>
          <w:tcPr>
            <w:tcW w:w="2200" w:type="dxa"/>
            <w:shd w:val="clear" w:color="auto" w:fill="FFFFFF"/>
            <w:vAlign w:val="center"/>
          </w:tcPr>
          <w:p w14:paraId="7E1AC98C" w14:textId="77777777" w:rsidR="00AA037D" w:rsidRPr="00CD5BF7" w:rsidRDefault="00AA037D" w:rsidP="00CD5BF7">
            <w:pPr>
              <w:spacing w:line="360" w:lineRule="auto"/>
              <w:jc w:val="center"/>
              <w:rPr>
                <w:sz w:val="22"/>
                <w:szCs w:val="22"/>
              </w:rPr>
            </w:pPr>
            <w:r w:rsidRPr="00CD5BF7">
              <w:rPr>
                <w:sz w:val="22"/>
                <w:szCs w:val="22"/>
              </w:rPr>
              <w:t>Ship Cities Performance</w:t>
            </w:r>
          </w:p>
        </w:tc>
        <w:tc>
          <w:tcPr>
            <w:tcW w:w="1800" w:type="dxa"/>
            <w:shd w:val="clear" w:color="auto" w:fill="FFFFFF"/>
            <w:vAlign w:val="center"/>
          </w:tcPr>
          <w:p w14:paraId="64B2EEE7" w14:textId="16CBEFF9" w:rsidR="00AA037D" w:rsidRPr="00CD5BF7" w:rsidRDefault="00AA037D" w:rsidP="00CD5BF7">
            <w:pPr>
              <w:spacing w:line="360" w:lineRule="auto"/>
              <w:jc w:val="center"/>
              <w:rPr>
                <w:sz w:val="22"/>
                <w:szCs w:val="22"/>
              </w:rPr>
            </w:pPr>
            <w:r w:rsidRPr="00CD5BF7">
              <w:rPr>
                <w:sz w:val="22"/>
                <w:szCs w:val="22"/>
              </w:rPr>
              <w:t>Funnel chart</w:t>
            </w:r>
          </w:p>
        </w:tc>
      </w:tr>
      <w:tr w:rsidR="00AA037D" w:rsidRPr="00CD5BF7" w14:paraId="30E7AC54" w14:textId="77777777" w:rsidTr="00AA037D">
        <w:tblPrEx>
          <w:tblCellMar>
            <w:top w:w="0" w:type="dxa"/>
            <w:bottom w:w="0" w:type="dxa"/>
          </w:tblCellMar>
        </w:tblPrEx>
        <w:tc>
          <w:tcPr>
            <w:tcW w:w="2200" w:type="dxa"/>
            <w:shd w:val="clear" w:color="auto" w:fill="E2EFDA"/>
            <w:vAlign w:val="center"/>
          </w:tcPr>
          <w:p w14:paraId="5C31D142" w14:textId="77777777" w:rsidR="00AA037D" w:rsidRPr="00CD5BF7" w:rsidRDefault="00AA037D" w:rsidP="00CD5BF7">
            <w:pPr>
              <w:spacing w:line="360" w:lineRule="auto"/>
              <w:jc w:val="center"/>
              <w:rPr>
                <w:sz w:val="22"/>
                <w:szCs w:val="22"/>
              </w:rPr>
            </w:pPr>
            <w:r w:rsidRPr="00CD5BF7">
              <w:rPr>
                <w:sz w:val="22"/>
                <w:szCs w:val="22"/>
              </w:rPr>
              <w:t>Ship Cities by Revenue</w:t>
            </w:r>
          </w:p>
        </w:tc>
        <w:tc>
          <w:tcPr>
            <w:tcW w:w="1800" w:type="dxa"/>
            <w:shd w:val="clear" w:color="auto" w:fill="E2EFDA"/>
            <w:vAlign w:val="center"/>
          </w:tcPr>
          <w:p w14:paraId="7E35C4AA" w14:textId="77777777" w:rsidR="00AA037D" w:rsidRPr="00CD5BF7" w:rsidRDefault="00AA037D" w:rsidP="00CD5BF7">
            <w:pPr>
              <w:spacing w:line="360" w:lineRule="auto"/>
              <w:jc w:val="center"/>
              <w:rPr>
                <w:sz w:val="22"/>
                <w:szCs w:val="22"/>
              </w:rPr>
            </w:pPr>
            <w:r w:rsidRPr="00CD5BF7">
              <w:rPr>
                <w:sz w:val="22"/>
                <w:szCs w:val="22"/>
              </w:rPr>
              <w:t>Radar / Donut</w:t>
            </w:r>
          </w:p>
        </w:tc>
      </w:tr>
      <w:tr w:rsidR="00AA037D" w:rsidRPr="00CD5BF7" w14:paraId="4D53A397" w14:textId="77777777" w:rsidTr="00AA037D">
        <w:tblPrEx>
          <w:tblCellMar>
            <w:top w:w="0" w:type="dxa"/>
            <w:bottom w:w="0" w:type="dxa"/>
          </w:tblCellMar>
        </w:tblPrEx>
        <w:tc>
          <w:tcPr>
            <w:tcW w:w="2200" w:type="dxa"/>
            <w:shd w:val="clear" w:color="auto" w:fill="FFFFFF"/>
            <w:vAlign w:val="center"/>
          </w:tcPr>
          <w:p w14:paraId="42CACF95" w14:textId="77777777" w:rsidR="00AA037D" w:rsidRPr="00CD5BF7" w:rsidRDefault="00AA037D" w:rsidP="00CD5BF7">
            <w:pPr>
              <w:spacing w:line="360" w:lineRule="auto"/>
              <w:jc w:val="center"/>
              <w:rPr>
                <w:sz w:val="22"/>
                <w:szCs w:val="22"/>
              </w:rPr>
            </w:pPr>
            <w:r w:rsidRPr="00CD5BF7">
              <w:rPr>
                <w:sz w:val="22"/>
                <w:szCs w:val="22"/>
              </w:rPr>
              <w:t>States' Performance</w:t>
            </w:r>
          </w:p>
        </w:tc>
        <w:tc>
          <w:tcPr>
            <w:tcW w:w="1800" w:type="dxa"/>
            <w:shd w:val="clear" w:color="auto" w:fill="FFFFFF"/>
            <w:vAlign w:val="center"/>
          </w:tcPr>
          <w:p w14:paraId="798A6263" w14:textId="77777777" w:rsidR="00AA037D" w:rsidRPr="00CD5BF7" w:rsidRDefault="00AA037D" w:rsidP="00CD5BF7">
            <w:pPr>
              <w:spacing w:line="360" w:lineRule="auto"/>
              <w:jc w:val="center"/>
              <w:rPr>
                <w:sz w:val="22"/>
                <w:szCs w:val="22"/>
              </w:rPr>
            </w:pPr>
            <w:r w:rsidRPr="00CD5BF7">
              <w:rPr>
                <w:sz w:val="22"/>
                <w:szCs w:val="22"/>
              </w:rPr>
              <w:t>Geographic Map</w:t>
            </w:r>
          </w:p>
        </w:tc>
      </w:tr>
      <w:tr w:rsidR="00AA037D" w:rsidRPr="00CD5BF7" w14:paraId="23231AC5" w14:textId="77777777" w:rsidTr="00AA037D">
        <w:tblPrEx>
          <w:tblCellMar>
            <w:top w:w="0" w:type="dxa"/>
            <w:bottom w:w="0" w:type="dxa"/>
          </w:tblCellMar>
        </w:tblPrEx>
        <w:tc>
          <w:tcPr>
            <w:tcW w:w="2200" w:type="dxa"/>
            <w:shd w:val="clear" w:color="auto" w:fill="E2EFDA"/>
            <w:vAlign w:val="center"/>
          </w:tcPr>
          <w:p w14:paraId="1CB7B42B" w14:textId="0E26638C" w:rsidR="00AA037D" w:rsidRPr="00CD5BF7" w:rsidRDefault="00AA037D" w:rsidP="00CD5BF7">
            <w:pPr>
              <w:spacing w:line="360" w:lineRule="auto"/>
              <w:jc w:val="center"/>
              <w:rPr>
                <w:sz w:val="22"/>
                <w:szCs w:val="22"/>
              </w:rPr>
            </w:pPr>
          </w:p>
        </w:tc>
        <w:tc>
          <w:tcPr>
            <w:tcW w:w="1800" w:type="dxa"/>
            <w:shd w:val="clear" w:color="auto" w:fill="E2EFDA"/>
            <w:vAlign w:val="center"/>
          </w:tcPr>
          <w:p w14:paraId="4E87A711" w14:textId="48DE2B0D" w:rsidR="00AA037D" w:rsidRPr="00CD5BF7" w:rsidRDefault="00AA037D" w:rsidP="00CD5BF7">
            <w:pPr>
              <w:spacing w:line="360" w:lineRule="auto"/>
              <w:jc w:val="center"/>
              <w:rPr>
                <w:sz w:val="22"/>
                <w:szCs w:val="22"/>
              </w:rPr>
            </w:pPr>
          </w:p>
        </w:tc>
      </w:tr>
    </w:tbl>
    <w:p w14:paraId="14C6C233" w14:textId="77777777" w:rsidR="00F14AD7" w:rsidRPr="00CD5BF7" w:rsidRDefault="00F14AD7" w:rsidP="00CD5BF7">
      <w:pPr>
        <w:spacing w:before="100" w:after="100" w:line="360" w:lineRule="auto"/>
        <w:rPr>
          <w:sz w:val="22"/>
          <w:szCs w:val="22"/>
        </w:rPr>
      </w:pPr>
    </w:p>
    <w:p w14:paraId="2814CEB5" w14:textId="77777777" w:rsidR="00F14AD7" w:rsidRPr="00CD5BF7" w:rsidRDefault="00000000" w:rsidP="00CD5BF7">
      <w:pPr>
        <w:spacing w:before="80" w:after="80" w:line="360" w:lineRule="auto"/>
        <w:jc w:val="both"/>
        <w:rPr>
          <w:sz w:val="22"/>
          <w:szCs w:val="22"/>
        </w:rPr>
      </w:pPr>
      <w:r w:rsidRPr="00CD5BF7">
        <w:rPr>
          <w:sz w:val="22"/>
          <w:szCs w:val="22"/>
        </w:rPr>
        <w:t>Each chart is accompanied by observation notes within the dashboard's In-Analysis Board sheet, and cross-referenced with the Pre-Analysis Board for pre-insight documentation.</w:t>
      </w:r>
    </w:p>
    <w:p w14:paraId="414AC7BA" w14:textId="77777777" w:rsidR="00F14AD7" w:rsidRPr="00CD5BF7" w:rsidRDefault="00000000" w:rsidP="00CD5BF7">
      <w:pPr>
        <w:spacing w:line="360" w:lineRule="auto"/>
        <w:rPr>
          <w:sz w:val="22"/>
          <w:szCs w:val="22"/>
        </w:rPr>
      </w:pPr>
      <w:r w:rsidRPr="00CD5BF7">
        <w:rPr>
          <w:sz w:val="22"/>
          <w:szCs w:val="22"/>
        </w:rPr>
        <w:br w:type="page"/>
      </w:r>
    </w:p>
    <w:p w14:paraId="6CDCF978"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9. RECOMMENDATIONS AND OBSERVATIONS</w:t>
      </w:r>
    </w:p>
    <w:p w14:paraId="745B54B2" w14:textId="77777777" w:rsidR="00F14AD7" w:rsidRPr="00CD5BF7" w:rsidRDefault="00000000" w:rsidP="00CD5BF7">
      <w:pPr>
        <w:spacing w:line="360" w:lineRule="auto"/>
        <w:rPr>
          <w:b/>
          <w:bCs/>
          <w:sz w:val="22"/>
          <w:szCs w:val="22"/>
        </w:rPr>
      </w:pPr>
      <w:r w:rsidRPr="00CD5BF7">
        <w:rPr>
          <w:b/>
          <w:bCs/>
          <w:sz w:val="22"/>
          <w:szCs w:val="22"/>
        </w:rPr>
        <w:t>1. Protect and Manage the North Region's Concentration Risk</w:t>
      </w:r>
    </w:p>
    <w:p w14:paraId="6ECD2447" w14:textId="77777777" w:rsidR="00F14AD7" w:rsidRPr="00CD5BF7" w:rsidRDefault="00000000" w:rsidP="00CD5BF7">
      <w:pPr>
        <w:spacing w:before="80" w:after="80" w:line="360" w:lineRule="auto"/>
        <w:jc w:val="both"/>
        <w:rPr>
          <w:sz w:val="22"/>
          <w:szCs w:val="22"/>
        </w:rPr>
      </w:pPr>
      <w:r w:rsidRPr="00CD5BF7">
        <w:rPr>
          <w:sz w:val="22"/>
          <w:szCs w:val="22"/>
        </w:rPr>
        <w:t>North contributes 32.6% of total revenue from a single region. While this reflects strong performance, it represents a concentration risk. No single region should exceed 30% of total revenue as a strategic target. Invest in South and West to close the performance gap, and ensure North has documented coverage plans for key accounts in the event of salesperson disruption.</w:t>
      </w:r>
    </w:p>
    <w:p w14:paraId="4EF59C1F" w14:textId="77777777" w:rsidR="00F14AD7" w:rsidRPr="00CD5BF7" w:rsidRDefault="00000000" w:rsidP="00CD5BF7">
      <w:pPr>
        <w:spacing w:line="360" w:lineRule="auto"/>
        <w:rPr>
          <w:b/>
          <w:bCs/>
          <w:color w:val="375623"/>
          <w:sz w:val="22"/>
          <w:szCs w:val="22"/>
        </w:rPr>
      </w:pPr>
      <w:r w:rsidRPr="00CD5BF7">
        <w:rPr>
          <w:b/>
          <w:bCs/>
          <w:sz w:val="22"/>
          <w:szCs w:val="22"/>
        </w:rPr>
        <w:t>2. Address the Jan Kotas Performance Gap Immediately</w:t>
      </w:r>
    </w:p>
    <w:p w14:paraId="3F73337E" w14:textId="68CA6890" w:rsidR="00F14AD7" w:rsidRPr="00CD5BF7" w:rsidRDefault="00000000" w:rsidP="00CD5BF7">
      <w:pPr>
        <w:spacing w:before="80" w:after="80" w:line="360" w:lineRule="auto"/>
        <w:jc w:val="both"/>
        <w:rPr>
          <w:sz w:val="22"/>
          <w:szCs w:val="22"/>
        </w:rPr>
      </w:pPr>
      <w:r w:rsidRPr="00CD5BF7">
        <w:rPr>
          <w:sz w:val="22"/>
          <w:szCs w:val="22"/>
        </w:rPr>
        <w:t>Jan Kotas's $16,350.50 revenue against a team average of approximately $54,383 is the most pressing individual performance issue in this dataset. His account base is limited to a single customer (Company CC) in Denver, CO. A formal performance review should determine whether the issue is structural (territory, account base) or performance-related, with a 60–90day improvement plan implemented immediately either way.</w:t>
      </w:r>
    </w:p>
    <w:p w14:paraId="418B47A2" w14:textId="77777777" w:rsidR="00F14AD7" w:rsidRPr="00CD5BF7" w:rsidRDefault="00000000" w:rsidP="00CD5BF7">
      <w:pPr>
        <w:spacing w:line="360" w:lineRule="auto"/>
        <w:rPr>
          <w:b/>
          <w:bCs/>
          <w:color w:val="375623"/>
          <w:sz w:val="22"/>
          <w:szCs w:val="22"/>
        </w:rPr>
      </w:pPr>
      <w:r w:rsidRPr="00CD5BF7">
        <w:rPr>
          <w:b/>
          <w:bCs/>
          <w:sz w:val="22"/>
          <w:szCs w:val="22"/>
        </w:rPr>
        <w:t>3. Build a Coverage Plan for Anne Larsen in the South</w:t>
      </w:r>
    </w:p>
    <w:p w14:paraId="1747EA0C" w14:textId="77777777" w:rsidR="00F14AD7" w:rsidRPr="00CD5BF7" w:rsidRDefault="00000000" w:rsidP="00CD5BF7">
      <w:pPr>
        <w:spacing w:before="80" w:after="80" w:line="360" w:lineRule="auto"/>
        <w:jc w:val="both"/>
        <w:rPr>
          <w:sz w:val="22"/>
          <w:szCs w:val="22"/>
        </w:rPr>
      </w:pPr>
      <w:r w:rsidRPr="00CD5BF7">
        <w:rPr>
          <w:sz w:val="22"/>
          <w:szCs w:val="22"/>
        </w:rPr>
        <w:t>Anne Larsen is the sole salesperson serving the entire South region. At $93,858.33, South is the third-largest region — too commercially significant to be covered by a single person. A secondary salesperson or account backup arrangement must be established to protect South's revenue in the event of absence, resignation, or role change.</w:t>
      </w:r>
    </w:p>
    <w:p w14:paraId="3CEA79D1" w14:textId="77777777" w:rsidR="00F14AD7" w:rsidRPr="00CD5BF7" w:rsidRDefault="00000000" w:rsidP="00CD5BF7">
      <w:pPr>
        <w:spacing w:line="360" w:lineRule="auto"/>
        <w:rPr>
          <w:b/>
          <w:bCs/>
          <w:color w:val="375623"/>
          <w:sz w:val="22"/>
          <w:szCs w:val="22"/>
        </w:rPr>
      </w:pPr>
      <w:r w:rsidRPr="00CD5BF7">
        <w:rPr>
          <w:b/>
          <w:bCs/>
          <w:sz w:val="22"/>
          <w:szCs w:val="22"/>
        </w:rPr>
        <w:t>4. Develop a Q1 Revenue Stimulus Strategy</w:t>
      </w:r>
    </w:p>
    <w:p w14:paraId="0A502E41" w14:textId="43C456F7" w:rsidR="00F14AD7" w:rsidRPr="00CD5BF7" w:rsidRDefault="00000000" w:rsidP="00CD5BF7">
      <w:pPr>
        <w:spacing w:before="80" w:after="80" w:line="360" w:lineRule="auto"/>
        <w:jc w:val="both"/>
        <w:rPr>
          <w:sz w:val="22"/>
          <w:szCs w:val="22"/>
        </w:rPr>
      </w:pPr>
      <w:r w:rsidRPr="00CD5BF7">
        <w:rPr>
          <w:sz w:val="22"/>
          <w:szCs w:val="22"/>
        </w:rPr>
        <w:t>February ($19,985.50) and April ($20,771.79) represent the two weakest months of the year less than a third of December's revenue. A structured Q1 stimulus plan including early-year promotions, volume incentives for key customers, and targeted outreach campaigns should be designed and deployed in January to prevent the annual revenue trough from deepening further.</w:t>
      </w:r>
    </w:p>
    <w:p w14:paraId="410B3999" w14:textId="77777777" w:rsidR="00F14AD7" w:rsidRPr="00CD5BF7" w:rsidRDefault="00000000" w:rsidP="00CD5BF7">
      <w:pPr>
        <w:spacing w:line="360" w:lineRule="auto"/>
        <w:rPr>
          <w:b/>
          <w:bCs/>
          <w:color w:val="375623"/>
          <w:sz w:val="22"/>
          <w:szCs w:val="22"/>
        </w:rPr>
      </w:pPr>
      <w:r w:rsidRPr="00CD5BF7">
        <w:rPr>
          <w:b/>
          <w:bCs/>
          <w:sz w:val="22"/>
          <w:szCs w:val="22"/>
        </w:rPr>
        <w:t>5. Expand Green Tea Distribution and Investigate Coffee/Curry Sauce East Gap</w:t>
      </w:r>
    </w:p>
    <w:p w14:paraId="66AD6F15" w14:textId="5E490AC9" w:rsidR="00F14AD7" w:rsidRPr="00CD5BF7" w:rsidRDefault="00000000" w:rsidP="00CD5BF7">
      <w:pPr>
        <w:spacing w:before="80" w:after="80" w:line="360" w:lineRule="auto"/>
        <w:jc w:val="both"/>
        <w:rPr>
          <w:sz w:val="22"/>
          <w:szCs w:val="22"/>
        </w:rPr>
      </w:pPr>
      <w:r w:rsidRPr="00CD5BF7">
        <w:rPr>
          <w:sz w:val="22"/>
          <w:szCs w:val="22"/>
        </w:rPr>
        <w:t>Green Tea's universal four-region distribution makes it the most strategically stable product in the portfolio. Volume expansion in underperforming cities should be prioritized. Coffee and Curry Sauce are absent from the East region despite New York and Chicago being two of the largest commercial markets in the US. Andrew Cencini and Laura Giussani should be assigned specific product introduction targets for both products in Q3–Q4 to align with their national peak months.</w:t>
      </w:r>
    </w:p>
    <w:p w14:paraId="268B63EE" w14:textId="77777777" w:rsidR="00F14AD7" w:rsidRPr="00CD5BF7" w:rsidRDefault="00000000" w:rsidP="00CD5BF7">
      <w:pPr>
        <w:spacing w:line="360" w:lineRule="auto"/>
        <w:rPr>
          <w:b/>
          <w:bCs/>
          <w:color w:val="375623"/>
          <w:sz w:val="22"/>
          <w:szCs w:val="22"/>
        </w:rPr>
      </w:pPr>
      <w:r w:rsidRPr="00CD5BF7">
        <w:rPr>
          <w:b/>
          <w:bCs/>
          <w:sz w:val="22"/>
          <w:szCs w:val="22"/>
        </w:rPr>
        <w:t>6. Leverage December and June Peaks Strategically</w:t>
      </w:r>
    </w:p>
    <w:p w14:paraId="4C855922" w14:textId="332F9EAE" w:rsidR="00F14AD7" w:rsidRPr="00CD5BF7" w:rsidRDefault="00000000" w:rsidP="00CD5BF7">
      <w:pPr>
        <w:spacing w:before="80" w:after="80" w:line="360" w:lineRule="auto"/>
        <w:jc w:val="both"/>
        <w:rPr>
          <w:sz w:val="22"/>
          <w:szCs w:val="22"/>
        </w:rPr>
      </w:pPr>
      <w:r w:rsidRPr="00CD5BF7">
        <w:rPr>
          <w:sz w:val="22"/>
          <w:szCs w:val="22"/>
        </w:rPr>
        <w:t>December and June together account for approximately 28% of annual revenue. A formal seasonal preparation calendar beginning 6–8 weeks before each peak — should govern stock positioning, promotional activity, and sales team capacity planning to maximize capture of these two high-value windows.</w:t>
      </w:r>
    </w:p>
    <w:p w14:paraId="32B9459E" w14:textId="77777777" w:rsidR="00F14AD7" w:rsidRPr="00CD5BF7" w:rsidRDefault="00000000" w:rsidP="00CD5BF7">
      <w:pPr>
        <w:spacing w:line="360" w:lineRule="auto"/>
        <w:rPr>
          <w:b/>
          <w:bCs/>
          <w:color w:val="375623"/>
          <w:sz w:val="22"/>
          <w:szCs w:val="22"/>
        </w:rPr>
      </w:pPr>
      <w:r w:rsidRPr="00CD5BF7">
        <w:rPr>
          <w:b/>
          <w:bCs/>
          <w:sz w:val="22"/>
          <w:szCs w:val="22"/>
        </w:rPr>
        <w:t>7. Diversify the Customer Base</w:t>
      </w:r>
    </w:p>
    <w:p w14:paraId="08B09731" w14:textId="77777777" w:rsidR="00F14AD7" w:rsidRPr="00CD5BF7" w:rsidRDefault="00000000" w:rsidP="00CD5BF7">
      <w:pPr>
        <w:spacing w:before="80" w:after="80" w:line="360" w:lineRule="auto"/>
        <w:jc w:val="both"/>
        <w:rPr>
          <w:sz w:val="22"/>
          <w:szCs w:val="22"/>
        </w:rPr>
      </w:pPr>
      <w:r w:rsidRPr="00CD5BF7">
        <w:rPr>
          <w:sz w:val="22"/>
          <w:szCs w:val="22"/>
        </w:rPr>
        <w:t xml:space="preserve">The top three customers (Company D, H, BB) account for 37% of total revenue. Company D alone at $67,180 carries disproportionate account risk. A 2015 target of growing the customer base by at least 20% — and reducing </w:t>
      </w:r>
      <w:r w:rsidRPr="00CD5BF7">
        <w:rPr>
          <w:sz w:val="22"/>
          <w:szCs w:val="22"/>
        </w:rPr>
        <w:lastRenderedPageBreak/>
        <w:t>the top-three revenue share below 30% — would materially reduce concentration risk without requiring new market entry.</w:t>
      </w:r>
    </w:p>
    <w:p w14:paraId="79A4EFA4" w14:textId="77777777" w:rsidR="00F14AD7" w:rsidRPr="00CD5BF7" w:rsidRDefault="00000000" w:rsidP="00CD5BF7">
      <w:pPr>
        <w:spacing w:line="360" w:lineRule="auto"/>
        <w:rPr>
          <w:b/>
          <w:bCs/>
          <w:color w:val="375623"/>
          <w:sz w:val="22"/>
          <w:szCs w:val="22"/>
        </w:rPr>
      </w:pPr>
      <w:r w:rsidRPr="00CD5BF7">
        <w:rPr>
          <w:b/>
          <w:bCs/>
          <w:sz w:val="22"/>
          <w:szCs w:val="22"/>
        </w:rPr>
        <w:t>Priority Action Table</w:t>
      </w:r>
    </w:p>
    <w:p w14:paraId="478A534D" w14:textId="77777777" w:rsidR="00F14AD7" w:rsidRPr="00CD5BF7" w:rsidRDefault="00F14AD7" w:rsidP="00CD5BF7">
      <w:pPr>
        <w:spacing w:before="100" w:after="100" w:line="360" w:lineRule="auto"/>
        <w:rPr>
          <w:sz w:val="22"/>
          <w:szCs w:val="22"/>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3000"/>
        <w:gridCol w:w="2000"/>
        <w:gridCol w:w="1800"/>
      </w:tblGrid>
      <w:tr w:rsidR="00F14AD7" w:rsidRPr="00CD5BF7" w14:paraId="5EACDFDB" w14:textId="77777777">
        <w:tblPrEx>
          <w:tblCellMar>
            <w:top w:w="0" w:type="dxa"/>
            <w:bottom w:w="0" w:type="dxa"/>
          </w:tblCellMar>
        </w:tblPrEx>
        <w:tc>
          <w:tcPr>
            <w:tcW w:w="1200" w:type="dxa"/>
            <w:shd w:val="clear" w:color="auto" w:fill="1F4E00"/>
            <w:vAlign w:val="center"/>
          </w:tcPr>
          <w:p w14:paraId="20AA7A08" w14:textId="77777777" w:rsidR="00F14AD7" w:rsidRPr="00CD5BF7" w:rsidRDefault="00000000" w:rsidP="00CD5BF7">
            <w:pPr>
              <w:spacing w:line="360" w:lineRule="auto"/>
              <w:jc w:val="center"/>
              <w:rPr>
                <w:sz w:val="22"/>
                <w:szCs w:val="22"/>
              </w:rPr>
            </w:pPr>
            <w:r w:rsidRPr="00CD5BF7">
              <w:rPr>
                <w:b/>
                <w:bCs/>
                <w:color w:val="FFFFFF"/>
                <w:sz w:val="22"/>
                <w:szCs w:val="22"/>
              </w:rPr>
              <w:t>Priority</w:t>
            </w:r>
          </w:p>
        </w:tc>
        <w:tc>
          <w:tcPr>
            <w:tcW w:w="3000" w:type="dxa"/>
            <w:shd w:val="clear" w:color="auto" w:fill="1F4E00"/>
            <w:vAlign w:val="center"/>
          </w:tcPr>
          <w:p w14:paraId="47183C34" w14:textId="77777777" w:rsidR="00F14AD7" w:rsidRPr="00CD5BF7" w:rsidRDefault="00000000" w:rsidP="00CD5BF7">
            <w:pPr>
              <w:spacing w:line="360" w:lineRule="auto"/>
              <w:jc w:val="center"/>
              <w:rPr>
                <w:sz w:val="22"/>
                <w:szCs w:val="22"/>
              </w:rPr>
            </w:pPr>
            <w:r w:rsidRPr="00CD5BF7">
              <w:rPr>
                <w:b/>
                <w:bCs/>
                <w:color w:val="FFFFFF"/>
                <w:sz w:val="22"/>
                <w:szCs w:val="22"/>
              </w:rPr>
              <w:t>Action</w:t>
            </w:r>
          </w:p>
        </w:tc>
        <w:tc>
          <w:tcPr>
            <w:tcW w:w="2000" w:type="dxa"/>
            <w:shd w:val="clear" w:color="auto" w:fill="1F4E00"/>
            <w:vAlign w:val="center"/>
          </w:tcPr>
          <w:p w14:paraId="07CA72AE" w14:textId="77777777" w:rsidR="00F14AD7" w:rsidRPr="00CD5BF7" w:rsidRDefault="00000000" w:rsidP="00CD5BF7">
            <w:pPr>
              <w:spacing w:line="360" w:lineRule="auto"/>
              <w:jc w:val="center"/>
              <w:rPr>
                <w:sz w:val="22"/>
                <w:szCs w:val="22"/>
              </w:rPr>
            </w:pPr>
            <w:r w:rsidRPr="00CD5BF7">
              <w:rPr>
                <w:b/>
                <w:bCs/>
                <w:color w:val="FFFFFF"/>
                <w:sz w:val="22"/>
                <w:szCs w:val="22"/>
              </w:rPr>
              <w:t>Owner</w:t>
            </w:r>
          </w:p>
        </w:tc>
        <w:tc>
          <w:tcPr>
            <w:tcW w:w="1800" w:type="dxa"/>
            <w:shd w:val="clear" w:color="auto" w:fill="1F4E00"/>
            <w:vAlign w:val="center"/>
          </w:tcPr>
          <w:p w14:paraId="7C9E443D" w14:textId="77777777" w:rsidR="00F14AD7" w:rsidRPr="00CD5BF7" w:rsidRDefault="00000000" w:rsidP="00CD5BF7">
            <w:pPr>
              <w:spacing w:line="360" w:lineRule="auto"/>
              <w:jc w:val="center"/>
              <w:rPr>
                <w:sz w:val="22"/>
                <w:szCs w:val="22"/>
              </w:rPr>
            </w:pPr>
            <w:r w:rsidRPr="00CD5BF7">
              <w:rPr>
                <w:b/>
                <w:bCs/>
                <w:color w:val="FFFFFF"/>
                <w:sz w:val="22"/>
                <w:szCs w:val="22"/>
              </w:rPr>
              <w:t>Timeline</w:t>
            </w:r>
          </w:p>
        </w:tc>
      </w:tr>
      <w:tr w:rsidR="00F14AD7" w:rsidRPr="00CD5BF7" w14:paraId="6D0D891D" w14:textId="77777777">
        <w:tblPrEx>
          <w:tblCellMar>
            <w:top w:w="0" w:type="dxa"/>
            <w:bottom w:w="0" w:type="dxa"/>
          </w:tblCellMar>
        </w:tblPrEx>
        <w:tc>
          <w:tcPr>
            <w:tcW w:w="1200" w:type="dxa"/>
            <w:shd w:val="clear" w:color="auto" w:fill="E2EFDA"/>
            <w:vAlign w:val="center"/>
          </w:tcPr>
          <w:p w14:paraId="2914AC9A" w14:textId="77777777" w:rsidR="00F14AD7" w:rsidRPr="00CD5BF7" w:rsidRDefault="00000000" w:rsidP="00CD5BF7">
            <w:pPr>
              <w:spacing w:line="360" w:lineRule="auto"/>
              <w:jc w:val="center"/>
              <w:rPr>
                <w:sz w:val="22"/>
                <w:szCs w:val="22"/>
              </w:rPr>
            </w:pPr>
            <w:r w:rsidRPr="00CD5BF7">
              <w:rPr>
                <w:sz w:val="22"/>
                <w:szCs w:val="22"/>
              </w:rPr>
              <w:t>Critical</w:t>
            </w:r>
          </w:p>
        </w:tc>
        <w:tc>
          <w:tcPr>
            <w:tcW w:w="3000" w:type="dxa"/>
            <w:shd w:val="clear" w:color="auto" w:fill="E2EFDA"/>
            <w:vAlign w:val="center"/>
          </w:tcPr>
          <w:p w14:paraId="192E53D5" w14:textId="77777777" w:rsidR="00F14AD7" w:rsidRPr="00CD5BF7" w:rsidRDefault="00000000" w:rsidP="00CD5BF7">
            <w:pPr>
              <w:spacing w:line="360" w:lineRule="auto"/>
              <w:jc w:val="center"/>
              <w:rPr>
                <w:sz w:val="22"/>
                <w:szCs w:val="22"/>
              </w:rPr>
            </w:pPr>
            <w:r w:rsidRPr="00CD5BF7">
              <w:rPr>
                <w:sz w:val="22"/>
                <w:szCs w:val="22"/>
              </w:rPr>
              <w:t>Jan Kotas performance review</w:t>
            </w:r>
          </w:p>
        </w:tc>
        <w:tc>
          <w:tcPr>
            <w:tcW w:w="2000" w:type="dxa"/>
            <w:shd w:val="clear" w:color="auto" w:fill="E2EFDA"/>
            <w:vAlign w:val="center"/>
          </w:tcPr>
          <w:p w14:paraId="2152DB96" w14:textId="77777777" w:rsidR="00F14AD7" w:rsidRPr="00CD5BF7" w:rsidRDefault="00000000" w:rsidP="00CD5BF7">
            <w:pPr>
              <w:spacing w:line="360" w:lineRule="auto"/>
              <w:jc w:val="center"/>
              <w:rPr>
                <w:sz w:val="22"/>
                <w:szCs w:val="22"/>
              </w:rPr>
            </w:pPr>
            <w:r w:rsidRPr="00CD5BF7">
              <w:rPr>
                <w:sz w:val="22"/>
                <w:szCs w:val="22"/>
              </w:rPr>
              <w:t>HR / Sales Manager</w:t>
            </w:r>
          </w:p>
        </w:tc>
        <w:tc>
          <w:tcPr>
            <w:tcW w:w="1800" w:type="dxa"/>
            <w:shd w:val="clear" w:color="auto" w:fill="E2EFDA"/>
            <w:vAlign w:val="center"/>
          </w:tcPr>
          <w:p w14:paraId="02BECEBB" w14:textId="77777777" w:rsidR="00F14AD7" w:rsidRPr="00CD5BF7" w:rsidRDefault="00000000" w:rsidP="00CD5BF7">
            <w:pPr>
              <w:spacing w:line="360" w:lineRule="auto"/>
              <w:jc w:val="center"/>
              <w:rPr>
                <w:sz w:val="22"/>
                <w:szCs w:val="22"/>
              </w:rPr>
            </w:pPr>
            <w:r w:rsidRPr="00CD5BF7">
              <w:rPr>
                <w:sz w:val="22"/>
                <w:szCs w:val="22"/>
              </w:rPr>
              <w:t>Immediate</w:t>
            </w:r>
          </w:p>
        </w:tc>
      </w:tr>
      <w:tr w:rsidR="00F14AD7" w:rsidRPr="00CD5BF7" w14:paraId="20DB5F86" w14:textId="77777777">
        <w:tblPrEx>
          <w:tblCellMar>
            <w:top w:w="0" w:type="dxa"/>
            <w:bottom w:w="0" w:type="dxa"/>
          </w:tblCellMar>
        </w:tblPrEx>
        <w:tc>
          <w:tcPr>
            <w:tcW w:w="1200" w:type="dxa"/>
            <w:shd w:val="clear" w:color="auto" w:fill="FFFFFF"/>
            <w:vAlign w:val="center"/>
          </w:tcPr>
          <w:p w14:paraId="3B520BAF" w14:textId="77777777" w:rsidR="00F14AD7" w:rsidRPr="00CD5BF7" w:rsidRDefault="00000000" w:rsidP="00CD5BF7">
            <w:pPr>
              <w:spacing w:line="360" w:lineRule="auto"/>
              <w:jc w:val="center"/>
              <w:rPr>
                <w:sz w:val="22"/>
                <w:szCs w:val="22"/>
              </w:rPr>
            </w:pPr>
            <w:r w:rsidRPr="00CD5BF7">
              <w:rPr>
                <w:sz w:val="22"/>
                <w:szCs w:val="22"/>
              </w:rPr>
              <w:t>Critical</w:t>
            </w:r>
          </w:p>
        </w:tc>
        <w:tc>
          <w:tcPr>
            <w:tcW w:w="3000" w:type="dxa"/>
            <w:shd w:val="clear" w:color="auto" w:fill="FFFFFF"/>
            <w:vAlign w:val="center"/>
          </w:tcPr>
          <w:p w14:paraId="55970394" w14:textId="77777777" w:rsidR="00F14AD7" w:rsidRPr="00CD5BF7" w:rsidRDefault="00000000" w:rsidP="00CD5BF7">
            <w:pPr>
              <w:spacing w:line="360" w:lineRule="auto"/>
              <w:jc w:val="center"/>
              <w:rPr>
                <w:sz w:val="22"/>
                <w:szCs w:val="22"/>
              </w:rPr>
            </w:pPr>
            <w:r w:rsidRPr="00CD5BF7">
              <w:rPr>
                <w:sz w:val="22"/>
                <w:szCs w:val="22"/>
              </w:rPr>
              <w:t>South region coverage plan</w:t>
            </w:r>
          </w:p>
        </w:tc>
        <w:tc>
          <w:tcPr>
            <w:tcW w:w="2000" w:type="dxa"/>
            <w:shd w:val="clear" w:color="auto" w:fill="FFFFFF"/>
            <w:vAlign w:val="center"/>
          </w:tcPr>
          <w:p w14:paraId="1D7117CA" w14:textId="77777777" w:rsidR="00F14AD7" w:rsidRPr="00CD5BF7" w:rsidRDefault="00000000" w:rsidP="00CD5BF7">
            <w:pPr>
              <w:spacing w:line="360" w:lineRule="auto"/>
              <w:jc w:val="center"/>
              <w:rPr>
                <w:sz w:val="22"/>
                <w:szCs w:val="22"/>
              </w:rPr>
            </w:pPr>
            <w:r w:rsidRPr="00CD5BF7">
              <w:rPr>
                <w:sz w:val="22"/>
                <w:szCs w:val="22"/>
              </w:rPr>
              <w:t>Sales Director</w:t>
            </w:r>
          </w:p>
        </w:tc>
        <w:tc>
          <w:tcPr>
            <w:tcW w:w="1800" w:type="dxa"/>
            <w:shd w:val="clear" w:color="auto" w:fill="FFFFFF"/>
            <w:vAlign w:val="center"/>
          </w:tcPr>
          <w:p w14:paraId="16AA5DC0" w14:textId="77777777" w:rsidR="00F14AD7" w:rsidRPr="00CD5BF7" w:rsidRDefault="00000000" w:rsidP="00CD5BF7">
            <w:pPr>
              <w:spacing w:line="360" w:lineRule="auto"/>
              <w:jc w:val="center"/>
              <w:rPr>
                <w:sz w:val="22"/>
                <w:szCs w:val="22"/>
              </w:rPr>
            </w:pPr>
            <w:r w:rsidRPr="00CD5BF7">
              <w:rPr>
                <w:sz w:val="22"/>
                <w:szCs w:val="22"/>
              </w:rPr>
              <w:t>Q1 2015</w:t>
            </w:r>
          </w:p>
        </w:tc>
      </w:tr>
      <w:tr w:rsidR="00F14AD7" w:rsidRPr="00CD5BF7" w14:paraId="1E99ECFE" w14:textId="77777777">
        <w:tblPrEx>
          <w:tblCellMar>
            <w:top w:w="0" w:type="dxa"/>
            <w:bottom w:w="0" w:type="dxa"/>
          </w:tblCellMar>
        </w:tblPrEx>
        <w:tc>
          <w:tcPr>
            <w:tcW w:w="1200" w:type="dxa"/>
            <w:shd w:val="clear" w:color="auto" w:fill="E2EFDA"/>
            <w:vAlign w:val="center"/>
          </w:tcPr>
          <w:p w14:paraId="1AEC6A2E" w14:textId="77777777" w:rsidR="00F14AD7" w:rsidRPr="00CD5BF7" w:rsidRDefault="00000000" w:rsidP="00CD5BF7">
            <w:pPr>
              <w:spacing w:line="360" w:lineRule="auto"/>
              <w:jc w:val="center"/>
              <w:rPr>
                <w:sz w:val="22"/>
                <w:szCs w:val="22"/>
              </w:rPr>
            </w:pPr>
            <w:r w:rsidRPr="00CD5BF7">
              <w:rPr>
                <w:sz w:val="22"/>
                <w:szCs w:val="22"/>
              </w:rPr>
              <w:t>High</w:t>
            </w:r>
          </w:p>
        </w:tc>
        <w:tc>
          <w:tcPr>
            <w:tcW w:w="3000" w:type="dxa"/>
            <w:shd w:val="clear" w:color="auto" w:fill="E2EFDA"/>
            <w:vAlign w:val="center"/>
          </w:tcPr>
          <w:p w14:paraId="7AB219A9" w14:textId="77777777" w:rsidR="00F14AD7" w:rsidRPr="00CD5BF7" w:rsidRDefault="00000000" w:rsidP="00CD5BF7">
            <w:pPr>
              <w:spacing w:line="360" w:lineRule="auto"/>
              <w:jc w:val="center"/>
              <w:rPr>
                <w:sz w:val="22"/>
                <w:szCs w:val="22"/>
              </w:rPr>
            </w:pPr>
            <w:r w:rsidRPr="00CD5BF7">
              <w:rPr>
                <w:sz w:val="22"/>
                <w:szCs w:val="22"/>
              </w:rPr>
              <w:t>Q1 revenue stimulus plan</w:t>
            </w:r>
          </w:p>
        </w:tc>
        <w:tc>
          <w:tcPr>
            <w:tcW w:w="2000" w:type="dxa"/>
            <w:shd w:val="clear" w:color="auto" w:fill="E2EFDA"/>
            <w:vAlign w:val="center"/>
          </w:tcPr>
          <w:p w14:paraId="1D8F5604" w14:textId="77777777" w:rsidR="00F14AD7" w:rsidRPr="00CD5BF7" w:rsidRDefault="00000000" w:rsidP="00CD5BF7">
            <w:pPr>
              <w:spacing w:line="360" w:lineRule="auto"/>
              <w:jc w:val="center"/>
              <w:rPr>
                <w:sz w:val="22"/>
                <w:szCs w:val="22"/>
              </w:rPr>
            </w:pPr>
            <w:r w:rsidRPr="00CD5BF7">
              <w:rPr>
                <w:sz w:val="22"/>
                <w:szCs w:val="22"/>
              </w:rPr>
              <w:t>Marketing / Sales</w:t>
            </w:r>
          </w:p>
        </w:tc>
        <w:tc>
          <w:tcPr>
            <w:tcW w:w="1800" w:type="dxa"/>
            <w:shd w:val="clear" w:color="auto" w:fill="E2EFDA"/>
            <w:vAlign w:val="center"/>
          </w:tcPr>
          <w:p w14:paraId="1EE3A767" w14:textId="77777777" w:rsidR="00F14AD7" w:rsidRPr="00CD5BF7" w:rsidRDefault="00000000" w:rsidP="00CD5BF7">
            <w:pPr>
              <w:spacing w:line="360" w:lineRule="auto"/>
              <w:jc w:val="center"/>
              <w:rPr>
                <w:sz w:val="22"/>
                <w:szCs w:val="22"/>
              </w:rPr>
            </w:pPr>
            <w:r w:rsidRPr="00CD5BF7">
              <w:rPr>
                <w:sz w:val="22"/>
                <w:szCs w:val="22"/>
              </w:rPr>
              <w:t>January 2015</w:t>
            </w:r>
          </w:p>
        </w:tc>
      </w:tr>
      <w:tr w:rsidR="00F14AD7" w:rsidRPr="00CD5BF7" w14:paraId="1960342F" w14:textId="77777777">
        <w:tblPrEx>
          <w:tblCellMar>
            <w:top w:w="0" w:type="dxa"/>
            <w:bottom w:w="0" w:type="dxa"/>
          </w:tblCellMar>
        </w:tblPrEx>
        <w:tc>
          <w:tcPr>
            <w:tcW w:w="1200" w:type="dxa"/>
            <w:shd w:val="clear" w:color="auto" w:fill="FFFFFF"/>
            <w:vAlign w:val="center"/>
          </w:tcPr>
          <w:p w14:paraId="12258632" w14:textId="77777777" w:rsidR="00F14AD7" w:rsidRPr="00CD5BF7" w:rsidRDefault="00000000" w:rsidP="00CD5BF7">
            <w:pPr>
              <w:spacing w:line="360" w:lineRule="auto"/>
              <w:jc w:val="center"/>
              <w:rPr>
                <w:sz w:val="22"/>
                <w:szCs w:val="22"/>
              </w:rPr>
            </w:pPr>
            <w:r w:rsidRPr="00CD5BF7">
              <w:rPr>
                <w:sz w:val="22"/>
                <w:szCs w:val="22"/>
              </w:rPr>
              <w:t>High</w:t>
            </w:r>
          </w:p>
        </w:tc>
        <w:tc>
          <w:tcPr>
            <w:tcW w:w="3000" w:type="dxa"/>
            <w:shd w:val="clear" w:color="auto" w:fill="FFFFFF"/>
            <w:vAlign w:val="center"/>
          </w:tcPr>
          <w:p w14:paraId="4499EF4D" w14:textId="77777777" w:rsidR="00F14AD7" w:rsidRPr="00CD5BF7" w:rsidRDefault="00000000" w:rsidP="00CD5BF7">
            <w:pPr>
              <w:spacing w:line="360" w:lineRule="auto"/>
              <w:jc w:val="center"/>
              <w:rPr>
                <w:sz w:val="22"/>
                <w:szCs w:val="22"/>
              </w:rPr>
            </w:pPr>
            <w:r w:rsidRPr="00CD5BF7">
              <w:rPr>
                <w:sz w:val="22"/>
                <w:szCs w:val="22"/>
              </w:rPr>
              <w:t>Coffee &amp; Curry Sauce — East introduction</w:t>
            </w:r>
          </w:p>
        </w:tc>
        <w:tc>
          <w:tcPr>
            <w:tcW w:w="2000" w:type="dxa"/>
            <w:shd w:val="clear" w:color="auto" w:fill="FFFFFF"/>
            <w:vAlign w:val="center"/>
          </w:tcPr>
          <w:p w14:paraId="607E2D38" w14:textId="77777777" w:rsidR="00F14AD7" w:rsidRPr="00CD5BF7" w:rsidRDefault="00000000" w:rsidP="00CD5BF7">
            <w:pPr>
              <w:spacing w:line="360" w:lineRule="auto"/>
              <w:jc w:val="center"/>
              <w:rPr>
                <w:sz w:val="22"/>
                <w:szCs w:val="22"/>
              </w:rPr>
            </w:pPr>
            <w:r w:rsidRPr="00CD5BF7">
              <w:rPr>
                <w:sz w:val="22"/>
                <w:szCs w:val="22"/>
              </w:rPr>
              <w:t>Andrew &amp; Laura</w:t>
            </w:r>
          </w:p>
        </w:tc>
        <w:tc>
          <w:tcPr>
            <w:tcW w:w="1800" w:type="dxa"/>
            <w:shd w:val="clear" w:color="auto" w:fill="FFFFFF"/>
            <w:vAlign w:val="center"/>
          </w:tcPr>
          <w:p w14:paraId="6399ABC9" w14:textId="77777777" w:rsidR="00F14AD7" w:rsidRPr="00CD5BF7" w:rsidRDefault="00000000" w:rsidP="00CD5BF7">
            <w:pPr>
              <w:spacing w:line="360" w:lineRule="auto"/>
              <w:jc w:val="center"/>
              <w:rPr>
                <w:sz w:val="22"/>
                <w:szCs w:val="22"/>
              </w:rPr>
            </w:pPr>
            <w:r w:rsidRPr="00CD5BF7">
              <w:rPr>
                <w:sz w:val="22"/>
                <w:szCs w:val="22"/>
              </w:rPr>
              <w:t>Q3–Q4 2015</w:t>
            </w:r>
          </w:p>
        </w:tc>
      </w:tr>
      <w:tr w:rsidR="00F14AD7" w:rsidRPr="00CD5BF7" w14:paraId="675E664F" w14:textId="77777777">
        <w:tblPrEx>
          <w:tblCellMar>
            <w:top w:w="0" w:type="dxa"/>
            <w:bottom w:w="0" w:type="dxa"/>
          </w:tblCellMar>
        </w:tblPrEx>
        <w:tc>
          <w:tcPr>
            <w:tcW w:w="1200" w:type="dxa"/>
            <w:shd w:val="clear" w:color="auto" w:fill="E2EFDA"/>
            <w:vAlign w:val="center"/>
          </w:tcPr>
          <w:p w14:paraId="1ABEB3B6" w14:textId="77777777" w:rsidR="00F14AD7" w:rsidRPr="00CD5BF7" w:rsidRDefault="00000000" w:rsidP="00CD5BF7">
            <w:pPr>
              <w:spacing w:line="360" w:lineRule="auto"/>
              <w:jc w:val="center"/>
              <w:rPr>
                <w:sz w:val="22"/>
                <w:szCs w:val="22"/>
              </w:rPr>
            </w:pPr>
            <w:r w:rsidRPr="00CD5BF7">
              <w:rPr>
                <w:sz w:val="22"/>
                <w:szCs w:val="22"/>
              </w:rPr>
              <w:t>High</w:t>
            </w:r>
          </w:p>
        </w:tc>
        <w:tc>
          <w:tcPr>
            <w:tcW w:w="3000" w:type="dxa"/>
            <w:shd w:val="clear" w:color="auto" w:fill="E2EFDA"/>
            <w:vAlign w:val="center"/>
          </w:tcPr>
          <w:p w14:paraId="21010F48" w14:textId="77777777" w:rsidR="00F14AD7" w:rsidRPr="00CD5BF7" w:rsidRDefault="00000000" w:rsidP="00CD5BF7">
            <w:pPr>
              <w:spacing w:line="360" w:lineRule="auto"/>
              <w:jc w:val="center"/>
              <w:rPr>
                <w:sz w:val="22"/>
                <w:szCs w:val="22"/>
              </w:rPr>
            </w:pPr>
            <w:r w:rsidRPr="00CD5BF7">
              <w:rPr>
                <w:sz w:val="22"/>
                <w:szCs w:val="22"/>
              </w:rPr>
              <w:t>Company D account protection plan</w:t>
            </w:r>
          </w:p>
        </w:tc>
        <w:tc>
          <w:tcPr>
            <w:tcW w:w="2000" w:type="dxa"/>
            <w:shd w:val="clear" w:color="auto" w:fill="E2EFDA"/>
            <w:vAlign w:val="center"/>
          </w:tcPr>
          <w:p w14:paraId="40B3FF8B" w14:textId="77777777" w:rsidR="00F14AD7" w:rsidRPr="00CD5BF7" w:rsidRDefault="00000000" w:rsidP="00CD5BF7">
            <w:pPr>
              <w:spacing w:line="360" w:lineRule="auto"/>
              <w:jc w:val="center"/>
              <w:rPr>
                <w:sz w:val="22"/>
                <w:szCs w:val="22"/>
              </w:rPr>
            </w:pPr>
            <w:r w:rsidRPr="00CD5BF7">
              <w:rPr>
                <w:sz w:val="22"/>
                <w:szCs w:val="22"/>
              </w:rPr>
              <w:t>Account Management</w:t>
            </w:r>
          </w:p>
        </w:tc>
        <w:tc>
          <w:tcPr>
            <w:tcW w:w="1800" w:type="dxa"/>
            <w:shd w:val="clear" w:color="auto" w:fill="E2EFDA"/>
            <w:vAlign w:val="center"/>
          </w:tcPr>
          <w:p w14:paraId="545F4EC9" w14:textId="77777777" w:rsidR="00F14AD7" w:rsidRPr="00CD5BF7" w:rsidRDefault="00000000" w:rsidP="00CD5BF7">
            <w:pPr>
              <w:spacing w:line="360" w:lineRule="auto"/>
              <w:jc w:val="center"/>
              <w:rPr>
                <w:sz w:val="22"/>
                <w:szCs w:val="22"/>
              </w:rPr>
            </w:pPr>
            <w:r w:rsidRPr="00CD5BF7">
              <w:rPr>
                <w:sz w:val="22"/>
                <w:szCs w:val="22"/>
              </w:rPr>
              <w:t>Ongoing</w:t>
            </w:r>
          </w:p>
        </w:tc>
      </w:tr>
      <w:tr w:rsidR="00F14AD7" w:rsidRPr="00CD5BF7" w14:paraId="4C245464" w14:textId="77777777">
        <w:tblPrEx>
          <w:tblCellMar>
            <w:top w:w="0" w:type="dxa"/>
            <w:bottom w:w="0" w:type="dxa"/>
          </w:tblCellMar>
        </w:tblPrEx>
        <w:tc>
          <w:tcPr>
            <w:tcW w:w="1200" w:type="dxa"/>
            <w:shd w:val="clear" w:color="auto" w:fill="FFFFFF"/>
            <w:vAlign w:val="center"/>
          </w:tcPr>
          <w:p w14:paraId="2B87D71E" w14:textId="77777777" w:rsidR="00F14AD7" w:rsidRPr="00CD5BF7" w:rsidRDefault="00000000" w:rsidP="00CD5BF7">
            <w:pPr>
              <w:spacing w:line="360" w:lineRule="auto"/>
              <w:jc w:val="center"/>
              <w:rPr>
                <w:sz w:val="22"/>
                <w:szCs w:val="22"/>
              </w:rPr>
            </w:pPr>
            <w:r w:rsidRPr="00CD5BF7">
              <w:rPr>
                <w:sz w:val="22"/>
                <w:szCs w:val="22"/>
              </w:rPr>
              <w:t>Medium</w:t>
            </w:r>
          </w:p>
        </w:tc>
        <w:tc>
          <w:tcPr>
            <w:tcW w:w="3000" w:type="dxa"/>
            <w:shd w:val="clear" w:color="auto" w:fill="FFFFFF"/>
            <w:vAlign w:val="center"/>
          </w:tcPr>
          <w:p w14:paraId="15545B64" w14:textId="77777777" w:rsidR="00F14AD7" w:rsidRPr="00CD5BF7" w:rsidRDefault="00000000" w:rsidP="00CD5BF7">
            <w:pPr>
              <w:spacing w:line="360" w:lineRule="auto"/>
              <w:jc w:val="center"/>
              <w:rPr>
                <w:sz w:val="22"/>
                <w:szCs w:val="22"/>
              </w:rPr>
            </w:pPr>
            <w:r w:rsidRPr="00CD5BF7">
              <w:rPr>
                <w:sz w:val="22"/>
                <w:szCs w:val="22"/>
              </w:rPr>
              <w:t>Green Tea volume expansion</w:t>
            </w:r>
          </w:p>
        </w:tc>
        <w:tc>
          <w:tcPr>
            <w:tcW w:w="2000" w:type="dxa"/>
            <w:shd w:val="clear" w:color="auto" w:fill="FFFFFF"/>
            <w:vAlign w:val="center"/>
          </w:tcPr>
          <w:p w14:paraId="6042B55C" w14:textId="77777777" w:rsidR="00F14AD7" w:rsidRPr="00CD5BF7" w:rsidRDefault="00000000" w:rsidP="00CD5BF7">
            <w:pPr>
              <w:spacing w:line="360" w:lineRule="auto"/>
              <w:jc w:val="center"/>
              <w:rPr>
                <w:sz w:val="22"/>
                <w:szCs w:val="22"/>
              </w:rPr>
            </w:pPr>
            <w:r w:rsidRPr="00CD5BF7">
              <w:rPr>
                <w:sz w:val="22"/>
                <w:szCs w:val="22"/>
              </w:rPr>
              <w:t>Sales Team</w:t>
            </w:r>
          </w:p>
        </w:tc>
        <w:tc>
          <w:tcPr>
            <w:tcW w:w="1800" w:type="dxa"/>
            <w:shd w:val="clear" w:color="auto" w:fill="FFFFFF"/>
            <w:vAlign w:val="center"/>
          </w:tcPr>
          <w:p w14:paraId="7A3486CD" w14:textId="77777777" w:rsidR="00F14AD7" w:rsidRPr="00CD5BF7" w:rsidRDefault="00000000" w:rsidP="00CD5BF7">
            <w:pPr>
              <w:spacing w:line="360" w:lineRule="auto"/>
              <w:jc w:val="center"/>
              <w:rPr>
                <w:sz w:val="22"/>
                <w:szCs w:val="22"/>
              </w:rPr>
            </w:pPr>
            <w:r w:rsidRPr="00CD5BF7">
              <w:rPr>
                <w:sz w:val="22"/>
                <w:szCs w:val="22"/>
              </w:rPr>
              <w:t>Q2 2015</w:t>
            </w:r>
          </w:p>
        </w:tc>
      </w:tr>
      <w:tr w:rsidR="00F14AD7" w:rsidRPr="00CD5BF7" w14:paraId="5235215D" w14:textId="77777777">
        <w:tblPrEx>
          <w:tblCellMar>
            <w:top w:w="0" w:type="dxa"/>
            <w:bottom w:w="0" w:type="dxa"/>
          </w:tblCellMar>
        </w:tblPrEx>
        <w:tc>
          <w:tcPr>
            <w:tcW w:w="1200" w:type="dxa"/>
            <w:shd w:val="clear" w:color="auto" w:fill="E2EFDA"/>
            <w:vAlign w:val="center"/>
          </w:tcPr>
          <w:p w14:paraId="28C66C27" w14:textId="77777777" w:rsidR="00F14AD7" w:rsidRPr="00CD5BF7" w:rsidRDefault="00000000" w:rsidP="00CD5BF7">
            <w:pPr>
              <w:spacing w:line="360" w:lineRule="auto"/>
              <w:jc w:val="center"/>
              <w:rPr>
                <w:sz w:val="22"/>
                <w:szCs w:val="22"/>
              </w:rPr>
            </w:pPr>
            <w:r w:rsidRPr="00CD5BF7">
              <w:rPr>
                <w:sz w:val="22"/>
                <w:szCs w:val="22"/>
              </w:rPr>
              <w:t>Medium</w:t>
            </w:r>
          </w:p>
        </w:tc>
        <w:tc>
          <w:tcPr>
            <w:tcW w:w="3000" w:type="dxa"/>
            <w:shd w:val="clear" w:color="auto" w:fill="E2EFDA"/>
            <w:vAlign w:val="center"/>
          </w:tcPr>
          <w:p w14:paraId="5F2FD641" w14:textId="77777777" w:rsidR="00F14AD7" w:rsidRPr="00CD5BF7" w:rsidRDefault="00000000" w:rsidP="00CD5BF7">
            <w:pPr>
              <w:spacing w:line="360" w:lineRule="auto"/>
              <w:jc w:val="center"/>
              <w:rPr>
                <w:sz w:val="22"/>
                <w:szCs w:val="22"/>
              </w:rPr>
            </w:pPr>
            <w:r w:rsidRPr="00CD5BF7">
              <w:rPr>
                <w:sz w:val="22"/>
                <w:szCs w:val="22"/>
              </w:rPr>
              <w:t>Beer festive campaign (Denver, Milwaukee, Las Vegas)</w:t>
            </w:r>
          </w:p>
        </w:tc>
        <w:tc>
          <w:tcPr>
            <w:tcW w:w="2000" w:type="dxa"/>
            <w:shd w:val="clear" w:color="auto" w:fill="E2EFDA"/>
            <w:vAlign w:val="center"/>
          </w:tcPr>
          <w:p w14:paraId="493B5D65" w14:textId="77777777" w:rsidR="00F14AD7" w:rsidRPr="00CD5BF7" w:rsidRDefault="00000000" w:rsidP="00CD5BF7">
            <w:pPr>
              <w:spacing w:line="360" w:lineRule="auto"/>
              <w:jc w:val="center"/>
              <w:rPr>
                <w:sz w:val="22"/>
                <w:szCs w:val="22"/>
              </w:rPr>
            </w:pPr>
            <w:r w:rsidRPr="00CD5BF7">
              <w:rPr>
                <w:sz w:val="22"/>
                <w:szCs w:val="22"/>
              </w:rPr>
              <w:t>Marketing</w:t>
            </w:r>
          </w:p>
        </w:tc>
        <w:tc>
          <w:tcPr>
            <w:tcW w:w="1800" w:type="dxa"/>
            <w:shd w:val="clear" w:color="auto" w:fill="E2EFDA"/>
            <w:vAlign w:val="center"/>
          </w:tcPr>
          <w:p w14:paraId="057AC71C" w14:textId="77777777" w:rsidR="00F14AD7" w:rsidRPr="00CD5BF7" w:rsidRDefault="00000000" w:rsidP="00CD5BF7">
            <w:pPr>
              <w:spacing w:line="360" w:lineRule="auto"/>
              <w:jc w:val="center"/>
              <w:rPr>
                <w:sz w:val="22"/>
                <w:szCs w:val="22"/>
              </w:rPr>
            </w:pPr>
            <w:r w:rsidRPr="00CD5BF7">
              <w:rPr>
                <w:sz w:val="22"/>
                <w:szCs w:val="22"/>
              </w:rPr>
              <w:t>Oct 2015</w:t>
            </w:r>
          </w:p>
        </w:tc>
      </w:tr>
      <w:tr w:rsidR="00F14AD7" w:rsidRPr="00CD5BF7" w14:paraId="0DAA95C6" w14:textId="77777777">
        <w:tblPrEx>
          <w:tblCellMar>
            <w:top w:w="0" w:type="dxa"/>
            <w:bottom w:w="0" w:type="dxa"/>
          </w:tblCellMar>
        </w:tblPrEx>
        <w:tc>
          <w:tcPr>
            <w:tcW w:w="1200" w:type="dxa"/>
            <w:shd w:val="clear" w:color="auto" w:fill="FFFFFF"/>
            <w:vAlign w:val="center"/>
          </w:tcPr>
          <w:p w14:paraId="5B4DBC5C" w14:textId="77777777" w:rsidR="00F14AD7" w:rsidRPr="00CD5BF7" w:rsidRDefault="00000000" w:rsidP="00CD5BF7">
            <w:pPr>
              <w:spacing w:line="360" w:lineRule="auto"/>
              <w:jc w:val="center"/>
              <w:rPr>
                <w:sz w:val="22"/>
                <w:szCs w:val="22"/>
              </w:rPr>
            </w:pPr>
            <w:r w:rsidRPr="00CD5BF7">
              <w:rPr>
                <w:sz w:val="22"/>
                <w:szCs w:val="22"/>
              </w:rPr>
              <w:t>Strategic</w:t>
            </w:r>
          </w:p>
        </w:tc>
        <w:tc>
          <w:tcPr>
            <w:tcW w:w="3000" w:type="dxa"/>
            <w:shd w:val="clear" w:color="auto" w:fill="FFFFFF"/>
            <w:vAlign w:val="center"/>
          </w:tcPr>
          <w:p w14:paraId="503FEB84" w14:textId="77777777" w:rsidR="00F14AD7" w:rsidRPr="00CD5BF7" w:rsidRDefault="00000000" w:rsidP="00CD5BF7">
            <w:pPr>
              <w:spacing w:line="360" w:lineRule="auto"/>
              <w:jc w:val="center"/>
              <w:rPr>
                <w:sz w:val="22"/>
                <w:szCs w:val="22"/>
              </w:rPr>
            </w:pPr>
            <w:r w:rsidRPr="00CD5BF7">
              <w:rPr>
                <w:sz w:val="22"/>
                <w:szCs w:val="22"/>
              </w:rPr>
              <w:t>Regional balance target — North below 30%</w:t>
            </w:r>
          </w:p>
        </w:tc>
        <w:tc>
          <w:tcPr>
            <w:tcW w:w="2000" w:type="dxa"/>
            <w:shd w:val="clear" w:color="auto" w:fill="FFFFFF"/>
            <w:vAlign w:val="center"/>
          </w:tcPr>
          <w:p w14:paraId="3F3AF57A" w14:textId="77777777" w:rsidR="00F14AD7" w:rsidRPr="00CD5BF7" w:rsidRDefault="00000000" w:rsidP="00CD5BF7">
            <w:pPr>
              <w:spacing w:line="360" w:lineRule="auto"/>
              <w:jc w:val="center"/>
              <w:rPr>
                <w:sz w:val="22"/>
                <w:szCs w:val="22"/>
              </w:rPr>
            </w:pPr>
            <w:r w:rsidRPr="00CD5BF7">
              <w:rPr>
                <w:sz w:val="22"/>
                <w:szCs w:val="22"/>
              </w:rPr>
              <w:t>Executive Team</w:t>
            </w:r>
          </w:p>
        </w:tc>
        <w:tc>
          <w:tcPr>
            <w:tcW w:w="1800" w:type="dxa"/>
            <w:shd w:val="clear" w:color="auto" w:fill="FFFFFF"/>
            <w:vAlign w:val="center"/>
          </w:tcPr>
          <w:p w14:paraId="53E830F2" w14:textId="77777777" w:rsidR="00F14AD7" w:rsidRPr="00CD5BF7" w:rsidRDefault="00000000" w:rsidP="00CD5BF7">
            <w:pPr>
              <w:spacing w:line="360" w:lineRule="auto"/>
              <w:jc w:val="center"/>
              <w:rPr>
                <w:sz w:val="22"/>
                <w:szCs w:val="22"/>
              </w:rPr>
            </w:pPr>
            <w:r w:rsidRPr="00CD5BF7">
              <w:rPr>
                <w:sz w:val="22"/>
                <w:szCs w:val="22"/>
              </w:rPr>
              <w:t>Annual Planning</w:t>
            </w:r>
          </w:p>
        </w:tc>
      </w:tr>
      <w:tr w:rsidR="00F14AD7" w:rsidRPr="00CD5BF7" w14:paraId="6146E3AB" w14:textId="77777777">
        <w:tblPrEx>
          <w:tblCellMar>
            <w:top w:w="0" w:type="dxa"/>
            <w:bottom w:w="0" w:type="dxa"/>
          </w:tblCellMar>
        </w:tblPrEx>
        <w:tc>
          <w:tcPr>
            <w:tcW w:w="1200" w:type="dxa"/>
            <w:shd w:val="clear" w:color="auto" w:fill="E2EFDA"/>
            <w:vAlign w:val="center"/>
          </w:tcPr>
          <w:p w14:paraId="644088F2" w14:textId="77777777" w:rsidR="00F14AD7" w:rsidRPr="00CD5BF7" w:rsidRDefault="00000000" w:rsidP="00CD5BF7">
            <w:pPr>
              <w:spacing w:line="360" w:lineRule="auto"/>
              <w:jc w:val="center"/>
              <w:rPr>
                <w:sz w:val="22"/>
                <w:szCs w:val="22"/>
              </w:rPr>
            </w:pPr>
            <w:r w:rsidRPr="00CD5BF7">
              <w:rPr>
                <w:sz w:val="22"/>
                <w:szCs w:val="22"/>
              </w:rPr>
              <w:t>Strategic</w:t>
            </w:r>
          </w:p>
        </w:tc>
        <w:tc>
          <w:tcPr>
            <w:tcW w:w="3000" w:type="dxa"/>
            <w:shd w:val="clear" w:color="auto" w:fill="E2EFDA"/>
            <w:vAlign w:val="center"/>
          </w:tcPr>
          <w:p w14:paraId="1AD298B6" w14:textId="77777777" w:rsidR="00F14AD7" w:rsidRPr="00CD5BF7" w:rsidRDefault="00000000" w:rsidP="00CD5BF7">
            <w:pPr>
              <w:spacing w:line="360" w:lineRule="auto"/>
              <w:jc w:val="center"/>
              <w:rPr>
                <w:sz w:val="22"/>
                <w:szCs w:val="22"/>
              </w:rPr>
            </w:pPr>
            <w:r w:rsidRPr="00CD5BF7">
              <w:rPr>
                <w:sz w:val="22"/>
                <w:szCs w:val="22"/>
              </w:rPr>
              <w:t>Customer base growth — 20% new accounts</w:t>
            </w:r>
          </w:p>
        </w:tc>
        <w:tc>
          <w:tcPr>
            <w:tcW w:w="2000" w:type="dxa"/>
            <w:shd w:val="clear" w:color="auto" w:fill="E2EFDA"/>
            <w:vAlign w:val="center"/>
          </w:tcPr>
          <w:p w14:paraId="1C394E11" w14:textId="77777777" w:rsidR="00F14AD7" w:rsidRPr="00CD5BF7" w:rsidRDefault="00000000" w:rsidP="00CD5BF7">
            <w:pPr>
              <w:spacing w:line="360" w:lineRule="auto"/>
              <w:jc w:val="center"/>
              <w:rPr>
                <w:sz w:val="22"/>
                <w:szCs w:val="22"/>
              </w:rPr>
            </w:pPr>
            <w:r w:rsidRPr="00CD5BF7">
              <w:rPr>
                <w:sz w:val="22"/>
                <w:szCs w:val="22"/>
              </w:rPr>
              <w:t>Sales Director</w:t>
            </w:r>
          </w:p>
        </w:tc>
        <w:tc>
          <w:tcPr>
            <w:tcW w:w="1800" w:type="dxa"/>
            <w:shd w:val="clear" w:color="auto" w:fill="E2EFDA"/>
            <w:vAlign w:val="center"/>
          </w:tcPr>
          <w:p w14:paraId="5D74B4BF" w14:textId="77777777" w:rsidR="00F14AD7" w:rsidRPr="00CD5BF7" w:rsidRDefault="00000000" w:rsidP="00CD5BF7">
            <w:pPr>
              <w:spacing w:line="360" w:lineRule="auto"/>
              <w:jc w:val="center"/>
              <w:rPr>
                <w:sz w:val="22"/>
                <w:szCs w:val="22"/>
              </w:rPr>
            </w:pPr>
            <w:r w:rsidRPr="00CD5BF7">
              <w:rPr>
                <w:sz w:val="22"/>
                <w:szCs w:val="22"/>
              </w:rPr>
              <w:t>2015</w:t>
            </w:r>
          </w:p>
        </w:tc>
      </w:tr>
    </w:tbl>
    <w:p w14:paraId="7799009E" w14:textId="77777777" w:rsidR="00F14AD7" w:rsidRPr="00CD5BF7" w:rsidRDefault="00F14AD7" w:rsidP="00CD5BF7">
      <w:pPr>
        <w:spacing w:before="100" w:after="100" w:line="360" w:lineRule="auto"/>
        <w:rPr>
          <w:sz w:val="22"/>
          <w:szCs w:val="22"/>
        </w:rPr>
      </w:pPr>
    </w:p>
    <w:p w14:paraId="43B9A403" w14:textId="77777777" w:rsidR="00F14AD7" w:rsidRPr="00CD5BF7" w:rsidRDefault="00000000" w:rsidP="00CD5BF7">
      <w:pPr>
        <w:spacing w:line="360" w:lineRule="auto"/>
        <w:rPr>
          <w:sz w:val="22"/>
          <w:szCs w:val="22"/>
        </w:rPr>
      </w:pPr>
      <w:r w:rsidRPr="00CD5BF7">
        <w:rPr>
          <w:sz w:val="22"/>
          <w:szCs w:val="22"/>
        </w:rPr>
        <w:br w:type="page"/>
      </w:r>
    </w:p>
    <w:p w14:paraId="43D5CF3F"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10. CONCLUSION</w:t>
      </w:r>
    </w:p>
    <w:p w14:paraId="7C7C7AA6" w14:textId="77777777" w:rsidR="00F14AD7" w:rsidRPr="00CD5BF7" w:rsidRDefault="00000000" w:rsidP="00CD5BF7">
      <w:pPr>
        <w:spacing w:line="360" w:lineRule="auto"/>
        <w:rPr>
          <w:b/>
          <w:bCs/>
          <w:color w:val="375623"/>
          <w:sz w:val="22"/>
          <w:szCs w:val="22"/>
        </w:rPr>
      </w:pPr>
      <w:r w:rsidRPr="00CD5BF7">
        <w:rPr>
          <w:b/>
          <w:bCs/>
          <w:sz w:val="22"/>
          <w:szCs w:val="22"/>
        </w:rPr>
        <w:t>Key Learnings</w:t>
      </w:r>
    </w:p>
    <w:p w14:paraId="4E7A3F8B" w14:textId="17C40D7B" w:rsidR="00F14AD7" w:rsidRPr="00CD5BF7" w:rsidRDefault="00000000" w:rsidP="00CD5BF7">
      <w:pPr>
        <w:spacing w:before="80" w:after="80" w:line="360" w:lineRule="auto"/>
        <w:jc w:val="both"/>
        <w:rPr>
          <w:sz w:val="22"/>
          <w:szCs w:val="22"/>
        </w:rPr>
      </w:pPr>
      <w:r w:rsidRPr="00CD5BF7">
        <w:rPr>
          <w:sz w:val="22"/>
          <w:szCs w:val="22"/>
        </w:rPr>
        <w:t xml:space="preserve">This analysis confirmed that </w:t>
      </w:r>
      <w:r w:rsidR="00DA2E73" w:rsidRPr="00CD5BF7">
        <w:rPr>
          <w:sz w:val="22"/>
          <w:szCs w:val="22"/>
        </w:rPr>
        <w:t>Edge group</w:t>
      </w:r>
      <w:r w:rsidRPr="00CD5BF7">
        <w:rPr>
          <w:sz w:val="22"/>
          <w:szCs w:val="22"/>
        </w:rPr>
        <w:t xml:space="preserve"> 2014 commercial performance is structurally sound but heavily concentrated. North, Nancy Freehafer, Beverages, Company D, and December are the five pillars carrying a disproportionate share of the business. The analytical process — from raw data through pivot tables, slicers, and dashboard visualization successfully transformed 369 transaction records into a clear strategic picture that management can act on with confidence.</w:t>
      </w:r>
    </w:p>
    <w:p w14:paraId="42E4A079" w14:textId="77777777" w:rsidR="00F14AD7" w:rsidRPr="00CD5BF7" w:rsidRDefault="00000000" w:rsidP="00CD5BF7">
      <w:pPr>
        <w:spacing w:before="80" w:after="80" w:line="360" w:lineRule="auto"/>
        <w:jc w:val="both"/>
        <w:rPr>
          <w:sz w:val="22"/>
          <w:szCs w:val="22"/>
        </w:rPr>
      </w:pPr>
      <w:r w:rsidRPr="00CD5BF7">
        <w:rPr>
          <w:sz w:val="22"/>
          <w:szCs w:val="22"/>
        </w:rPr>
        <w:t>The most significant learning from this project is that data does not speak for itself — it requires structured analytical methodology, appropriate visualization choices, and disciplined interpretation to generate insight. The combination of pivot tables, slicers, and a multi-chart dashboard proved to be an effective and sufficient toolset for answering all core business questions from this dataset using Microsoft Excel alone.</w:t>
      </w:r>
    </w:p>
    <w:p w14:paraId="57ED07CA" w14:textId="77777777" w:rsidR="00F14AD7" w:rsidRPr="00CD5BF7" w:rsidRDefault="00000000" w:rsidP="00CD5BF7">
      <w:pPr>
        <w:spacing w:line="360" w:lineRule="auto"/>
        <w:rPr>
          <w:b/>
          <w:bCs/>
          <w:color w:val="375623"/>
          <w:sz w:val="22"/>
          <w:szCs w:val="22"/>
        </w:rPr>
      </w:pPr>
      <w:r w:rsidRPr="00CD5BF7">
        <w:rPr>
          <w:b/>
          <w:bCs/>
          <w:sz w:val="22"/>
          <w:szCs w:val="22"/>
        </w:rPr>
        <w:t>Limitations</w:t>
      </w:r>
    </w:p>
    <w:p w14:paraId="3B50B550"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Single-year dataset limits ability to identify multi-year trends or validate whether 2014 patterns are consistent with historical performance</w:t>
      </w:r>
    </w:p>
    <w:p w14:paraId="22488B3E"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Missing values in Payment Type (102 records) prevent complete analysis of payment behavior across the customer base</w:t>
      </w:r>
    </w:p>
    <w:p w14:paraId="54128072"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No customer acquisition date or tenure data — limits ability to distinguish new vs. established account performance</w:t>
      </w:r>
    </w:p>
    <w:p w14:paraId="64D674B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No cost data (beyond shipping fees) — prevents margin-level analysis; Revenue is the only profitability proxy available</w:t>
      </w:r>
    </w:p>
    <w:p w14:paraId="1248B8D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Geographic analysis is limited to shipped-to addresses — no data on where customers are headquartered or where demand is generated</w:t>
      </w:r>
    </w:p>
    <w:p w14:paraId="0AE815EE" w14:textId="77777777" w:rsidR="00F14AD7" w:rsidRPr="00CD5BF7" w:rsidRDefault="00000000" w:rsidP="00CD5BF7">
      <w:pPr>
        <w:spacing w:line="360" w:lineRule="auto"/>
        <w:rPr>
          <w:b/>
          <w:bCs/>
          <w:color w:val="375623"/>
          <w:sz w:val="22"/>
          <w:szCs w:val="22"/>
        </w:rPr>
      </w:pPr>
      <w:r w:rsidRPr="00CD5BF7">
        <w:rPr>
          <w:b/>
          <w:bCs/>
          <w:sz w:val="22"/>
          <w:szCs w:val="22"/>
        </w:rPr>
        <w:t>Future Research</w:t>
      </w:r>
    </w:p>
    <w:p w14:paraId="049E0EAD"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Incorporate 2015 data to perform year-over-year comparison and validate whether the W-shaped seasonal trend is consistent across years</w:t>
      </w:r>
    </w:p>
    <w:p w14:paraId="3EA5B3B4" w14:textId="34C76DD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Add product cost data to enable gross margin analysis moving beyond revenue to profitability at the category and product level</w:t>
      </w:r>
    </w:p>
    <w:p w14:paraId="75EBC459"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Explore customer segmentation analysis using demographics or purchase frequency data to refine the account management strategy</w:t>
      </w:r>
    </w:p>
    <w:p w14:paraId="70D880DE" w14:textId="61CD91C4"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Investigate the Canned Meat and Dried Fruit &amp; Nuts underperformance in greater depth including whether regional distribution gaps or pricing issues are the primary driver</w:t>
      </w:r>
    </w:p>
    <w:p w14:paraId="3CD4AC46" w14:textId="77777777" w:rsidR="00F14AD7" w:rsidRPr="00CD5BF7" w:rsidRDefault="00000000" w:rsidP="00CD5BF7">
      <w:pPr>
        <w:spacing w:line="360" w:lineRule="auto"/>
        <w:rPr>
          <w:sz w:val="22"/>
          <w:szCs w:val="22"/>
        </w:rPr>
      </w:pPr>
      <w:r w:rsidRPr="00CD5BF7">
        <w:rPr>
          <w:sz w:val="22"/>
          <w:szCs w:val="22"/>
        </w:rPr>
        <w:br w:type="page"/>
      </w:r>
    </w:p>
    <w:p w14:paraId="45E1DB5C" w14:textId="77777777" w:rsidR="00F14AD7" w:rsidRPr="00CD5BF7" w:rsidRDefault="00000000" w:rsidP="00CD5BF7">
      <w:pPr>
        <w:shd w:val="clear" w:color="auto" w:fill="375623"/>
        <w:spacing w:before="300" w:after="200" w:line="360" w:lineRule="auto"/>
        <w:rPr>
          <w:sz w:val="22"/>
          <w:szCs w:val="22"/>
        </w:rPr>
      </w:pPr>
      <w:r w:rsidRPr="00CD5BF7">
        <w:rPr>
          <w:b/>
          <w:bCs/>
          <w:color w:val="FFFFFF"/>
          <w:sz w:val="22"/>
          <w:szCs w:val="22"/>
        </w:rPr>
        <w:lastRenderedPageBreak/>
        <w:t>11. REFERENCES &amp; APPENDICES</w:t>
      </w:r>
    </w:p>
    <w:p w14:paraId="04A941C6" w14:textId="77777777" w:rsidR="00F14AD7" w:rsidRPr="00CD5BF7" w:rsidRDefault="00000000" w:rsidP="00CD5BF7">
      <w:pPr>
        <w:spacing w:line="360" w:lineRule="auto"/>
        <w:rPr>
          <w:b/>
          <w:bCs/>
          <w:color w:val="375623"/>
          <w:sz w:val="22"/>
          <w:szCs w:val="22"/>
        </w:rPr>
      </w:pPr>
      <w:r w:rsidRPr="00CD5BF7">
        <w:rPr>
          <w:b/>
          <w:bCs/>
          <w:sz w:val="22"/>
          <w:szCs w:val="22"/>
        </w:rPr>
        <w:t>References</w:t>
      </w:r>
    </w:p>
    <w:p w14:paraId="6C4D0B3D" w14:textId="70AAA3CC"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 xml:space="preserve">Dataset: </w:t>
      </w:r>
      <w:r w:rsidR="00DA2E73" w:rsidRPr="00CD5BF7">
        <w:rPr>
          <w:sz w:val="22"/>
          <w:szCs w:val="22"/>
        </w:rPr>
        <w:t>Edge group</w:t>
      </w:r>
      <w:r w:rsidRPr="00CD5BF7">
        <w:rPr>
          <w:sz w:val="22"/>
          <w:szCs w:val="22"/>
        </w:rPr>
        <w:t xml:space="preserve"> Sales Dataset — provided as part of the </w:t>
      </w:r>
      <w:proofErr w:type="spellStart"/>
      <w:r w:rsidRPr="00CD5BF7">
        <w:rPr>
          <w:sz w:val="22"/>
          <w:szCs w:val="22"/>
        </w:rPr>
        <w:t>Vephla</w:t>
      </w:r>
      <w:proofErr w:type="spellEnd"/>
      <w:r w:rsidRPr="00CD5BF7">
        <w:rPr>
          <w:sz w:val="22"/>
          <w:szCs w:val="22"/>
        </w:rPr>
        <w:t xml:space="preserve"> University Data Analytics </w:t>
      </w:r>
      <w:proofErr w:type="spellStart"/>
      <w:r w:rsidRPr="00CD5BF7">
        <w:rPr>
          <w:sz w:val="22"/>
          <w:szCs w:val="22"/>
        </w:rPr>
        <w:t>Programme</w:t>
      </w:r>
      <w:proofErr w:type="spellEnd"/>
      <w:r w:rsidRPr="00CD5BF7">
        <w:rPr>
          <w:sz w:val="22"/>
          <w:szCs w:val="22"/>
        </w:rPr>
        <w:t xml:space="preserve"> curriculum (2024)</w:t>
      </w:r>
    </w:p>
    <w:p w14:paraId="62B519D8" w14:textId="7DC1C10D"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Tool: Microsoft Excel</w:t>
      </w:r>
    </w:p>
    <w:p w14:paraId="58AD68E1"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 xml:space="preserve">Institution: </w:t>
      </w:r>
      <w:proofErr w:type="spellStart"/>
      <w:r w:rsidRPr="00CD5BF7">
        <w:rPr>
          <w:sz w:val="22"/>
          <w:szCs w:val="22"/>
        </w:rPr>
        <w:t>Vephla</w:t>
      </w:r>
      <w:proofErr w:type="spellEnd"/>
      <w:r w:rsidRPr="00CD5BF7">
        <w:rPr>
          <w:sz w:val="22"/>
          <w:szCs w:val="22"/>
        </w:rPr>
        <w:t xml:space="preserve"> University — Data Analytics </w:t>
      </w:r>
      <w:proofErr w:type="spellStart"/>
      <w:r w:rsidRPr="00CD5BF7">
        <w:rPr>
          <w:sz w:val="22"/>
          <w:szCs w:val="22"/>
        </w:rPr>
        <w:t>Programme</w:t>
      </w:r>
      <w:proofErr w:type="spellEnd"/>
      <w:r w:rsidRPr="00CD5BF7">
        <w:rPr>
          <w:sz w:val="22"/>
          <w:szCs w:val="22"/>
        </w:rPr>
        <w:t>, 2024–2025</w:t>
      </w:r>
    </w:p>
    <w:p w14:paraId="0F9D71C8" w14:textId="77777777" w:rsidR="00F14AD7" w:rsidRPr="00CD5BF7" w:rsidRDefault="00000000" w:rsidP="00CD5BF7">
      <w:pPr>
        <w:pStyle w:val="ListParagraph"/>
        <w:numPr>
          <w:ilvl w:val="0"/>
          <w:numId w:val="1"/>
        </w:numPr>
        <w:spacing w:before="60" w:after="60" w:line="360" w:lineRule="auto"/>
        <w:rPr>
          <w:sz w:val="22"/>
          <w:szCs w:val="22"/>
        </w:rPr>
      </w:pPr>
      <w:r w:rsidRPr="00CD5BF7">
        <w:rPr>
          <w:sz w:val="22"/>
          <w:szCs w:val="22"/>
        </w:rPr>
        <w:t xml:space="preserve">Framework: Technical Report Template for Analytical Projects — </w:t>
      </w:r>
      <w:proofErr w:type="spellStart"/>
      <w:r w:rsidRPr="00CD5BF7">
        <w:rPr>
          <w:sz w:val="22"/>
          <w:szCs w:val="22"/>
        </w:rPr>
        <w:t>Vephla</w:t>
      </w:r>
      <w:proofErr w:type="spellEnd"/>
      <w:r w:rsidRPr="00CD5BF7">
        <w:rPr>
          <w:sz w:val="22"/>
          <w:szCs w:val="22"/>
        </w:rPr>
        <w:t xml:space="preserve"> University</w:t>
      </w:r>
    </w:p>
    <w:p w14:paraId="69B1C2BD" w14:textId="548C2CEC" w:rsidR="00F14AD7" w:rsidRPr="00CD5BF7" w:rsidRDefault="00000000" w:rsidP="00CD5BF7">
      <w:pPr>
        <w:spacing w:line="360" w:lineRule="auto"/>
        <w:rPr>
          <w:b/>
          <w:bCs/>
          <w:color w:val="375623"/>
          <w:sz w:val="22"/>
          <w:szCs w:val="22"/>
        </w:rPr>
      </w:pPr>
      <w:r w:rsidRPr="00CD5BF7">
        <w:rPr>
          <w:b/>
          <w:bCs/>
          <w:sz w:val="22"/>
          <w:szCs w:val="22"/>
        </w:rPr>
        <w:t>Appendices</w:t>
      </w:r>
    </w:p>
    <w:p w14:paraId="055860C1" w14:textId="77777777" w:rsidR="00DA2E73" w:rsidRPr="00CD5BF7" w:rsidRDefault="00DA2E73" w:rsidP="00CD5BF7">
      <w:pPr>
        <w:spacing w:line="360" w:lineRule="auto"/>
        <w:rPr>
          <w:sz w:val="22"/>
          <w:szCs w:val="22"/>
        </w:rPr>
      </w:pPr>
      <w:r w:rsidRPr="00CD5BF7">
        <w:rPr>
          <w:sz w:val="22"/>
          <w:szCs w:val="22"/>
        </w:rPr>
        <w:t>Appendix A: Completed Dashboard Screenshot</w:t>
      </w:r>
    </w:p>
    <w:p w14:paraId="2A848223" w14:textId="77777777" w:rsidR="00DA2E73" w:rsidRPr="00CD5BF7" w:rsidRDefault="00DA2E73" w:rsidP="00CD5BF7">
      <w:pPr>
        <w:spacing w:line="360" w:lineRule="auto"/>
        <w:rPr>
          <w:sz w:val="22"/>
          <w:szCs w:val="22"/>
        </w:rPr>
      </w:pPr>
      <w:r w:rsidRPr="00CD5BF7">
        <w:rPr>
          <w:sz w:val="22"/>
          <w:szCs w:val="22"/>
        </w:rPr>
        <w:t>Appendix B: Pre-Analysis Board</w:t>
      </w:r>
    </w:p>
    <w:p w14:paraId="38815122" w14:textId="77777777" w:rsidR="00DA2E73" w:rsidRPr="00CD5BF7" w:rsidRDefault="00DA2E73" w:rsidP="00CD5BF7">
      <w:pPr>
        <w:spacing w:line="360" w:lineRule="auto"/>
        <w:rPr>
          <w:sz w:val="22"/>
          <w:szCs w:val="22"/>
        </w:rPr>
      </w:pPr>
      <w:r w:rsidRPr="00CD5BF7">
        <w:rPr>
          <w:sz w:val="22"/>
          <w:szCs w:val="22"/>
        </w:rPr>
        <w:t>Appendix C: In-Analysis Board</w:t>
      </w:r>
    </w:p>
    <w:p w14:paraId="541245B7" w14:textId="77777777" w:rsidR="00DA2E73" w:rsidRPr="00CD5BF7" w:rsidRDefault="00DA2E73" w:rsidP="00CD5BF7">
      <w:pPr>
        <w:spacing w:line="360" w:lineRule="auto"/>
        <w:rPr>
          <w:sz w:val="22"/>
          <w:szCs w:val="22"/>
        </w:rPr>
      </w:pPr>
      <w:r w:rsidRPr="00CD5BF7">
        <w:rPr>
          <w:sz w:val="22"/>
          <w:szCs w:val="22"/>
        </w:rPr>
        <w:t>Appendix D: Post-Analysis Board</w:t>
      </w:r>
    </w:p>
    <w:p w14:paraId="5C095871" w14:textId="77777777" w:rsidR="00DA2E73" w:rsidRPr="00CD5BF7" w:rsidRDefault="00DA2E73" w:rsidP="00CD5BF7">
      <w:pPr>
        <w:spacing w:line="360" w:lineRule="auto"/>
        <w:rPr>
          <w:sz w:val="22"/>
          <w:szCs w:val="22"/>
        </w:rPr>
      </w:pPr>
      <w:r w:rsidRPr="00CD5BF7">
        <w:rPr>
          <w:sz w:val="22"/>
          <w:szCs w:val="22"/>
        </w:rPr>
        <w:t>Appendix E: Pivot Tables and Pivot Charts</w:t>
      </w:r>
    </w:p>
    <w:p w14:paraId="6D92D485" w14:textId="77777777" w:rsidR="00DA2E73" w:rsidRPr="00CD5BF7" w:rsidRDefault="00DA2E73" w:rsidP="00CD5BF7">
      <w:pPr>
        <w:spacing w:line="360" w:lineRule="auto"/>
        <w:rPr>
          <w:sz w:val="22"/>
          <w:szCs w:val="22"/>
        </w:rPr>
      </w:pPr>
      <w:r w:rsidRPr="00CD5BF7">
        <w:rPr>
          <w:sz w:val="22"/>
          <w:szCs w:val="22"/>
        </w:rPr>
        <w:t>Appendix F: Excel Functions Used</w:t>
      </w:r>
    </w:p>
    <w:p w14:paraId="34EFDA9E" w14:textId="77777777" w:rsidR="00DA2E73" w:rsidRPr="00CD5BF7" w:rsidRDefault="00DA2E73" w:rsidP="00CD5BF7">
      <w:pPr>
        <w:spacing w:line="360" w:lineRule="auto"/>
        <w:rPr>
          <w:sz w:val="22"/>
          <w:szCs w:val="22"/>
        </w:rPr>
      </w:pPr>
      <w:r w:rsidRPr="00CD5BF7">
        <w:rPr>
          <w:sz w:val="22"/>
          <w:szCs w:val="22"/>
        </w:rPr>
        <w:t>VLOOKUP</w:t>
      </w:r>
    </w:p>
    <w:p w14:paraId="70A2B33E" w14:textId="77777777" w:rsidR="00DA2E73" w:rsidRPr="00CD5BF7" w:rsidRDefault="00DA2E73" w:rsidP="00CD5BF7">
      <w:pPr>
        <w:spacing w:line="360" w:lineRule="auto"/>
        <w:rPr>
          <w:sz w:val="22"/>
          <w:szCs w:val="22"/>
        </w:rPr>
      </w:pPr>
      <w:r w:rsidRPr="00CD5BF7">
        <w:rPr>
          <w:sz w:val="22"/>
          <w:szCs w:val="22"/>
        </w:rPr>
        <w:t>SUMIFS</w:t>
      </w:r>
    </w:p>
    <w:p w14:paraId="2CC3352E" w14:textId="77777777" w:rsidR="00DA2E73" w:rsidRPr="00CD5BF7" w:rsidRDefault="00DA2E73" w:rsidP="00CD5BF7">
      <w:pPr>
        <w:spacing w:line="360" w:lineRule="auto"/>
        <w:rPr>
          <w:sz w:val="22"/>
          <w:szCs w:val="22"/>
        </w:rPr>
      </w:pPr>
      <w:r w:rsidRPr="00CD5BF7">
        <w:rPr>
          <w:sz w:val="22"/>
          <w:szCs w:val="22"/>
        </w:rPr>
        <w:t>COUNTIFS</w:t>
      </w:r>
    </w:p>
    <w:p w14:paraId="57DBEFAA" w14:textId="77777777" w:rsidR="00DA2E73" w:rsidRPr="00CD5BF7" w:rsidRDefault="00DA2E73" w:rsidP="00CD5BF7">
      <w:pPr>
        <w:spacing w:line="360" w:lineRule="auto"/>
        <w:rPr>
          <w:sz w:val="22"/>
          <w:szCs w:val="22"/>
        </w:rPr>
      </w:pPr>
      <w:r w:rsidRPr="00CD5BF7">
        <w:rPr>
          <w:sz w:val="22"/>
          <w:szCs w:val="22"/>
        </w:rPr>
        <w:t>IF</w:t>
      </w:r>
    </w:p>
    <w:p w14:paraId="2B863150" w14:textId="77777777" w:rsidR="00DA2E73" w:rsidRPr="00CD5BF7" w:rsidRDefault="00DA2E73" w:rsidP="00CD5BF7">
      <w:pPr>
        <w:spacing w:line="360" w:lineRule="auto"/>
        <w:rPr>
          <w:sz w:val="22"/>
          <w:szCs w:val="22"/>
        </w:rPr>
      </w:pPr>
      <w:r w:rsidRPr="00CD5BF7">
        <w:rPr>
          <w:sz w:val="22"/>
          <w:szCs w:val="22"/>
        </w:rPr>
        <w:t>IFERROR</w:t>
      </w:r>
    </w:p>
    <w:p w14:paraId="561E9AC2" w14:textId="77777777" w:rsidR="00DA2E73" w:rsidRPr="00CD5BF7" w:rsidRDefault="00DA2E73" w:rsidP="00CD5BF7">
      <w:pPr>
        <w:spacing w:line="360" w:lineRule="auto"/>
        <w:rPr>
          <w:sz w:val="22"/>
          <w:szCs w:val="22"/>
        </w:rPr>
      </w:pPr>
      <w:r w:rsidRPr="00CD5BF7">
        <w:rPr>
          <w:sz w:val="22"/>
          <w:szCs w:val="22"/>
        </w:rPr>
        <w:t>Pivot Calculated Fields</w:t>
      </w:r>
    </w:p>
    <w:p w14:paraId="6F23F65D" w14:textId="77777777" w:rsidR="00DA2E73" w:rsidRPr="00CD5BF7" w:rsidRDefault="00DA2E73" w:rsidP="00CD5BF7">
      <w:pPr>
        <w:spacing w:line="360" w:lineRule="auto"/>
        <w:rPr>
          <w:sz w:val="22"/>
          <w:szCs w:val="22"/>
        </w:rPr>
      </w:pPr>
      <w:r w:rsidRPr="00CD5BF7">
        <w:rPr>
          <w:sz w:val="22"/>
          <w:szCs w:val="22"/>
        </w:rPr>
        <w:t>Appendix G: Dashboard Components</w:t>
      </w:r>
    </w:p>
    <w:p w14:paraId="51AF5195" w14:textId="77777777" w:rsidR="00DA2E73" w:rsidRPr="00CD5BF7" w:rsidRDefault="00DA2E73" w:rsidP="00CD5BF7">
      <w:pPr>
        <w:spacing w:line="360" w:lineRule="auto"/>
        <w:rPr>
          <w:sz w:val="22"/>
          <w:szCs w:val="22"/>
        </w:rPr>
      </w:pPr>
      <w:r w:rsidRPr="00CD5BF7">
        <w:rPr>
          <w:sz w:val="22"/>
          <w:szCs w:val="22"/>
        </w:rPr>
        <w:t>KPI Cards</w:t>
      </w:r>
    </w:p>
    <w:p w14:paraId="4DD9AE73" w14:textId="77777777" w:rsidR="00DA2E73" w:rsidRPr="00CD5BF7" w:rsidRDefault="00DA2E73" w:rsidP="00CD5BF7">
      <w:pPr>
        <w:spacing w:line="360" w:lineRule="auto"/>
        <w:rPr>
          <w:sz w:val="22"/>
          <w:szCs w:val="22"/>
        </w:rPr>
      </w:pPr>
      <w:r w:rsidRPr="00CD5BF7">
        <w:rPr>
          <w:sz w:val="22"/>
          <w:szCs w:val="22"/>
        </w:rPr>
        <w:t>Interactive Slicers</w:t>
      </w:r>
    </w:p>
    <w:p w14:paraId="33064C24" w14:textId="77777777" w:rsidR="00DA2E73" w:rsidRPr="00CD5BF7" w:rsidRDefault="00DA2E73" w:rsidP="00CD5BF7">
      <w:pPr>
        <w:spacing w:line="360" w:lineRule="auto"/>
        <w:rPr>
          <w:sz w:val="22"/>
          <w:szCs w:val="22"/>
        </w:rPr>
      </w:pPr>
      <w:r w:rsidRPr="00CD5BF7">
        <w:rPr>
          <w:sz w:val="22"/>
          <w:szCs w:val="22"/>
        </w:rPr>
        <w:t>Pie Chart</w:t>
      </w:r>
    </w:p>
    <w:p w14:paraId="13A3DD2B" w14:textId="77777777" w:rsidR="00DA2E73" w:rsidRPr="00CD5BF7" w:rsidRDefault="00DA2E73" w:rsidP="00CD5BF7">
      <w:pPr>
        <w:spacing w:line="360" w:lineRule="auto"/>
        <w:rPr>
          <w:sz w:val="22"/>
          <w:szCs w:val="22"/>
        </w:rPr>
      </w:pPr>
      <w:r w:rsidRPr="00CD5BF7">
        <w:rPr>
          <w:sz w:val="22"/>
          <w:szCs w:val="22"/>
        </w:rPr>
        <w:t>Doughnut Chart</w:t>
      </w:r>
    </w:p>
    <w:p w14:paraId="1068772B" w14:textId="77777777" w:rsidR="00DA2E73" w:rsidRPr="00CD5BF7" w:rsidRDefault="00DA2E73" w:rsidP="00CD5BF7">
      <w:pPr>
        <w:spacing w:line="360" w:lineRule="auto"/>
        <w:rPr>
          <w:sz w:val="22"/>
          <w:szCs w:val="22"/>
        </w:rPr>
      </w:pPr>
      <w:proofErr w:type="spellStart"/>
      <w:r w:rsidRPr="00CD5BF7">
        <w:rPr>
          <w:sz w:val="22"/>
          <w:szCs w:val="22"/>
        </w:rPr>
        <w:t>Treemap</w:t>
      </w:r>
      <w:proofErr w:type="spellEnd"/>
    </w:p>
    <w:p w14:paraId="12B0571C" w14:textId="77777777" w:rsidR="00DA2E73" w:rsidRPr="00CD5BF7" w:rsidRDefault="00DA2E73" w:rsidP="00CD5BF7">
      <w:pPr>
        <w:spacing w:line="360" w:lineRule="auto"/>
        <w:rPr>
          <w:sz w:val="22"/>
          <w:szCs w:val="22"/>
        </w:rPr>
      </w:pPr>
      <w:r w:rsidRPr="00CD5BF7">
        <w:rPr>
          <w:sz w:val="22"/>
          <w:szCs w:val="22"/>
        </w:rPr>
        <w:t>Filled Map</w:t>
      </w:r>
    </w:p>
    <w:p w14:paraId="120A8047" w14:textId="77777777" w:rsidR="00DA2E73" w:rsidRPr="00CD5BF7" w:rsidRDefault="00DA2E73" w:rsidP="00CD5BF7">
      <w:pPr>
        <w:spacing w:line="360" w:lineRule="auto"/>
        <w:rPr>
          <w:sz w:val="22"/>
          <w:szCs w:val="22"/>
        </w:rPr>
      </w:pPr>
      <w:r w:rsidRPr="00CD5BF7">
        <w:rPr>
          <w:sz w:val="22"/>
          <w:szCs w:val="22"/>
        </w:rPr>
        <w:t>Horizontal Bar Charts</w:t>
      </w:r>
    </w:p>
    <w:p w14:paraId="37E7D2A0" w14:textId="77777777" w:rsidR="00DA2E73" w:rsidRPr="00CD5BF7" w:rsidRDefault="00DA2E73" w:rsidP="00CD5BF7">
      <w:pPr>
        <w:spacing w:line="360" w:lineRule="auto"/>
        <w:rPr>
          <w:sz w:val="22"/>
          <w:szCs w:val="22"/>
        </w:rPr>
      </w:pPr>
      <w:r w:rsidRPr="00CD5BF7">
        <w:rPr>
          <w:sz w:val="22"/>
          <w:szCs w:val="22"/>
        </w:rPr>
        <w:t>Area Chart</w:t>
      </w:r>
    </w:p>
    <w:p w14:paraId="59B3F989" w14:textId="77777777" w:rsidR="00DA2E73" w:rsidRPr="00CD5BF7" w:rsidRDefault="00DA2E73" w:rsidP="00CD5BF7">
      <w:pPr>
        <w:spacing w:line="360" w:lineRule="auto"/>
        <w:rPr>
          <w:b/>
          <w:bCs/>
          <w:color w:val="375623"/>
          <w:sz w:val="22"/>
          <w:szCs w:val="22"/>
        </w:rPr>
      </w:pPr>
    </w:p>
    <w:sectPr w:rsidR="00DA2E73" w:rsidRPr="00CD5BF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1A5"/>
    <w:multiLevelType w:val="hybridMultilevel"/>
    <w:tmpl w:val="C234DC46"/>
    <w:lvl w:ilvl="0" w:tplc="2A960702">
      <w:start w:val="1"/>
      <w:numFmt w:val="bullet"/>
      <w:lvlText w:val="●"/>
      <w:lvlJc w:val="left"/>
      <w:pPr>
        <w:ind w:left="720" w:hanging="360"/>
      </w:pPr>
    </w:lvl>
    <w:lvl w:ilvl="1" w:tplc="1A5A6294">
      <w:start w:val="1"/>
      <w:numFmt w:val="bullet"/>
      <w:lvlText w:val="○"/>
      <w:lvlJc w:val="left"/>
      <w:pPr>
        <w:ind w:left="1440" w:hanging="360"/>
      </w:pPr>
    </w:lvl>
    <w:lvl w:ilvl="2" w:tplc="2A2C456A">
      <w:start w:val="1"/>
      <w:numFmt w:val="bullet"/>
      <w:lvlText w:val="■"/>
      <w:lvlJc w:val="left"/>
      <w:pPr>
        <w:ind w:left="2160" w:hanging="360"/>
      </w:pPr>
    </w:lvl>
    <w:lvl w:ilvl="3" w:tplc="834446D4">
      <w:start w:val="1"/>
      <w:numFmt w:val="bullet"/>
      <w:lvlText w:val="●"/>
      <w:lvlJc w:val="left"/>
      <w:pPr>
        <w:ind w:left="2880" w:hanging="360"/>
      </w:pPr>
    </w:lvl>
    <w:lvl w:ilvl="4" w:tplc="BB6A84E8">
      <w:start w:val="1"/>
      <w:numFmt w:val="bullet"/>
      <w:lvlText w:val="○"/>
      <w:lvlJc w:val="left"/>
      <w:pPr>
        <w:ind w:left="3600" w:hanging="360"/>
      </w:pPr>
    </w:lvl>
    <w:lvl w:ilvl="5" w:tplc="1764C166">
      <w:start w:val="1"/>
      <w:numFmt w:val="bullet"/>
      <w:lvlText w:val="■"/>
      <w:lvlJc w:val="left"/>
      <w:pPr>
        <w:ind w:left="4320" w:hanging="360"/>
      </w:pPr>
    </w:lvl>
    <w:lvl w:ilvl="6" w:tplc="DB02685E">
      <w:start w:val="1"/>
      <w:numFmt w:val="bullet"/>
      <w:lvlText w:val="●"/>
      <w:lvlJc w:val="left"/>
      <w:pPr>
        <w:ind w:left="5040" w:hanging="360"/>
      </w:pPr>
    </w:lvl>
    <w:lvl w:ilvl="7" w:tplc="59F6C420">
      <w:start w:val="1"/>
      <w:numFmt w:val="bullet"/>
      <w:lvlText w:val="●"/>
      <w:lvlJc w:val="left"/>
      <w:pPr>
        <w:ind w:left="5760" w:hanging="360"/>
      </w:pPr>
    </w:lvl>
    <w:lvl w:ilvl="8" w:tplc="820A2126">
      <w:start w:val="1"/>
      <w:numFmt w:val="bullet"/>
      <w:lvlText w:val="●"/>
      <w:lvlJc w:val="left"/>
      <w:pPr>
        <w:ind w:left="6480" w:hanging="360"/>
      </w:pPr>
    </w:lvl>
  </w:abstractNum>
  <w:abstractNum w:abstractNumId="1" w15:restartNumberingAfterBreak="0">
    <w:nsid w:val="034A591F"/>
    <w:multiLevelType w:val="hybridMultilevel"/>
    <w:tmpl w:val="AA98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6676A"/>
    <w:multiLevelType w:val="multilevel"/>
    <w:tmpl w:val="1E2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A17570"/>
    <w:multiLevelType w:val="hybridMultilevel"/>
    <w:tmpl w:val="271E1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287FA5"/>
    <w:multiLevelType w:val="hybridMultilevel"/>
    <w:tmpl w:val="712ABA86"/>
    <w:lvl w:ilvl="0" w:tplc="22C66160">
      <w:start w:val="1"/>
      <w:numFmt w:val="bullet"/>
      <w:lvlText w:val="•"/>
      <w:lvlJc w:val="left"/>
      <w:pPr>
        <w:ind w:left="720" w:hanging="360"/>
      </w:pPr>
    </w:lvl>
    <w:lvl w:ilvl="1" w:tplc="0C1E2EB6">
      <w:numFmt w:val="decimal"/>
      <w:lvlText w:val=""/>
      <w:lvlJc w:val="left"/>
    </w:lvl>
    <w:lvl w:ilvl="2" w:tplc="65C46C20">
      <w:numFmt w:val="decimal"/>
      <w:lvlText w:val=""/>
      <w:lvlJc w:val="left"/>
    </w:lvl>
    <w:lvl w:ilvl="3" w:tplc="9F26DB12">
      <w:numFmt w:val="decimal"/>
      <w:lvlText w:val=""/>
      <w:lvlJc w:val="left"/>
    </w:lvl>
    <w:lvl w:ilvl="4" w:tplc="FD541CC0">
      <w:numFmt w:val="decimal"/>
      <w:lvlText w:val=""/>
      <w:lvlJc w:val="left"/>
    </w:lvl>
    <w:lvl w:ilvl="5" w:tplc="362A401E">
      <w:numFmt w:val="decimal"/>
      <w:lvlText w:val=""/>
      <w:lvlJc w:val="left"/>
    </w:lvl>
    <w:lvl w:ilvl="6" w:tplc="100AD4D6">
      <w:numFmt w:val="decimal"/>
      <w:lvlText w:val=""/>
      <w:lvlJc w:val="left"/>
    </w:lvl>
    <w:lvl w:ilvl="7" w:tplc="B8483F82">
      <w:numFmt w:val="decimal"/>
      <w:lvlText w:val=""/>
      <w:lvlJc w:val="left"/>
    </w:lvl>
    <w:lvl w:ilvl="8" w:tplc="B8C639AC">
      <w:numFmt w:val="decimal"/>
      <w:lvlText w:val=""/>
      <w:lvlJc w:val="left"/>
    </w:lvl>
  </w:abstractNum>
  <w:abstractNum w:abstractNumId="5" w15:restartNumberingAfterBreak="0">
    <w:nsid w:val="4F1D554F"/>
    <w:multiLevelType w:val="multilevel"/>
    <w:tmpl w:val="DD2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1B028E"/>
    <w:multiLevelType w:val="multilevel"/>
    <w:tmpl w:val="817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E43044"/>
    <w:multiLevelType w:val="multilevel"/>
    <w:tmpl w:val="994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5E4FB7"/>
    <w:multiLevelType w:val="multilevel"/>
    <w:tmpl w:val="E4B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012104"/>
    <w:multiLevelType w:val="multilevel"/>
    <w:tmpl w:val="834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7631717">
    <w:abstractNumId w:val="0"/>
    <w:lvlOverride w:ilvl="0">
      <w:startOverride w:val="1"/>
    </w:lvlOverride>
  </w:num>
  <w:num w:numId="2" w16cid:durableId="1842892493">
    <w:abstractNumId w:val="6"/>
  </w:num>
  <w:num w:numId="3" w16cid:durableId="1958485898">
    <w:abstractNumId w:val="8"/>
  </w:num>
  <w:num w:numId="4" w16cid:durableId="459420071">
    <w:abstractNumId w:val="1"/>
  </w:num>
  <w:num w:numId="5" w16cid:durableId="2060595073">
    <w:abstractNumId w:val="9"/>
  </w:num>
  <w:num w:numId="6" w16cid:durableId="499469739">
    <w:abstractNumId w:val="7"/>
  </w:num>
  <w:num w:numId="7" w16cid:durableId="123275554">
    <w:abstractNumId w:val="3"/>
  </w:num>
  <w:num w:numId="8" w16cid:durableId="119765847">
    <w:abstractNumId w:val="5"/>
  </w:num>
  <w:num w:numId="9" w16cid:durableId="581909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AD7"/>
    <w:rsid w:val="002C0BDB"/>
    <w:rsid w:val="00495DD8"/>
    <w:rsid w:val="004D69EF"/>
    <w:rsid w:val="005C4710"/>
    <w:rsid w:val="00997288"/>
    <w:rsid w:val="00AA037D"/>
    <w:rsid w:val="00AB22D8"/>
    <w:rsid w:val="00CD5BF7"/>
    <w:rsid w:val="00D474BD"/>
    <w:rsid w:val="00DA2E73"/>
    <w:rsid w:val="00F1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D486"/>
  <w15:docId w15:val="{CB3BC6C1-EBE2-4779-8E22-DDFFD7BC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17</Pages>
  <Words>3131</Words>
  <Characters>17852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Idowu</cp:lastModifiedBy>
  <cp:revision>2</cp:revision>
  <dcterms:created xsi:type="dcterms:W3CDTF">2026-08-08T12:09:00Z</dcterms:created>
  <dcterms:modified xsi:type="dcterms:W3CDTF">2026-08-08T20:37:00Z</dcterms:modified>
</cp:coreProperties>
</file>