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41E3A"/>
          <w:sz w:val="38"/>
        </w:rPr>
        <w:t>HemoPocket</w:t>
      </w:r>
    </w:p>
    <w:p>
      <w:pPr>
        <w:spacing w:before="200" w:after="80"/>
      </w:pPr>
      <w:r>
        <w:rPr>
          <w:b/>
          <w:color w:val="C41E3A"/>
          <w:sz w:val="29"/>
        </w:rPr>
        <w:t>Propuesta de reconocimiento como herramienta de apoyo a la decisión clínica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 la atención de</w:t>
            </w:r>
          </w:p>
        </w:tc>
        <w:tc>
          <w:tcPr>
            <w:tcW w:type="dxa" w:w="4680"/>
          </w:tcPr>
          <w:p>
            <w:r/>
            <w:r>
              <w:t>Comisión de Calidad — Hospital Universitario Ntra. Sra. de Candelaria (HUNSC)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Asunto</w:t>
            </w:r>
          </w:p>
        </w:tc>
        <w:tc>
          <w:tcPr>
            <w:tcW w:type="dxa" w:w="4680"/>
          </w:tcPr>
          <w:p>
            <w:r/>
            <w:r>
              <w:t>Solicitud de valoración y reconocimiento de HemoPocket como herramienta de apoyo clínico del Servicio de Hematología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Promotora</w:t>
            </w:r>
          </w:p>
        </w:tc>
        <w:tc>
          <w:tcPr>
            <w:tcW w:type="dxa" w:w="4680"/>
          </w:tcPr>
          <w:p>
            <w:r/>
            <w:r>
              <w:t>Dra. María Teresa Busnego Barreto — F.E.A. Hematología y Hemoterapia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4680"/>
          </w:tcPr>
          <w:p>
            <w:r/>
            <w:r>
              <w:t>Santa Cruz de Tenerife, 9 de junio de 2026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jc w:val="both"/>
      </w:pPr>
      <w:r>
        <w:t>Estimados miembros de la Comisión de Calidad:</w:t>
      </w:r>
    </w:p>
    <w:p>
      <w:pPr>
        <w:jc w:val="both"/>
      </w:pPr>
      <w:r>
        <w:t xml:space="preserve">Tengo el placer de presentar a esta Comisión </w:t>
      </w:r>
      <w:r>
        <w:rPr>
          <w:b/>
        </w:rPr>
        <w:t>HemoPocket</w:t>
      </w:r>
      <w:r>
        <w:t xml:space="preserve">, una herramienta de apoyo a la decisión clínica desarrollada para el Servicio de Hematología y Hemoterapia, y de solicitar su valoración con vistas a su </w:t>
      </w:r>
      <w:r>
        <w:rPr>
          <w:b/>
        </w:rPr>
        <w:t>reconocimiento como recurso de apoyo del Servicio</w:t>
      </w:r>
      <w:r>
        <w:t>. A continuación expongo su aportación específica a los objetivos de calidad y seguridad del paciente que son competencia de esta Comisión.</w:t>
      </w:r>
    </w:p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1. Qué es, en una línea</w:t>
      </w:r>
    </w:p>
    <w:p>
      <w:pPr>
        <w:jc w:val="both"/>
      </w:pPr>
      <w:r>
        <w:t xml:space="preserve">Una guía de consulta rápida —disponible en móvil, tableta y ordenador, </w:t>
      </w:r>
      <w:r>
        <w:rPr>
          <w:b/>
        </w:rPr>
        <w:t>incluso sin conexión</w:t>
      </w:r>
      <w:r>
        <w:t>— que reúne los algoritmos, escalas, calculadoras, criterios diagnósticos y guías clínicas de uso habitual en Hematología, en un único punto de acceso curado y actualizado.</w:t>
      </w:r>
    </w:p>
    <w:p>
      <w:pPr>
        <w:ind w:left="432"/>
      </w:pPr>
      <w:r>
        <w:rPr>
          <w:b/>
          <w:i/>
          <w:color w:val="666666"/>
        </w:rPr>
        <w:t>No</w:t>
      </w:r>
      <w:r>
        <w:rPr>
          <w:i/>
          <w:color w:val="666666"/>
        </w:rPr>
        <w:t xml:space="preserve"> es un dispositivo de diagnóstico ni de prescripción automática, y </w:t>
      </w:r>
      <w:r>
        <w:rPr>
          <w:b/>
          <w:i/>
          <w:color w:val="666666"/>
        </w:rPr>
        <w:t>no</w:t>
      </w:r>
      <w:r>
        <w:rPr>
          <w:i/>
          <w:color w:val="666666"/>
        </w:rPr>
        <w:t xml:space="preserve"> almacena datos identificativos de pacientes. Es un apoyo que </w:t>
      </w:r>
      <w:r>
        <w:rPr>
          <w:b/>
          <w:i/>
          <w:color w:val="666666"/>
        </w:rPr>
        <w:t>no sustituye</w:t>
      </w:r>
      <w:r>
        <w:rPr>
          <w:i/>
          <w:color w:val="666666"/>
        </w:rPr>
        <w:t xml:space="preserve"> el juicio del facultativo ni los protocolos oficiales del centro.</w:t>
      </w:r>
    </w:p>
    <w:p>
      <w:pPr>
        <w:spacing w:before="200" w:after="80"/>
      </w:pPr>
      <w:r>
        <w:rPr>
          <w:b/>
          <w:color w:val="C41E3A"/>
          <w:sz w:val="29"/>
        </w:rPr>
        <w:t>2. Problema de calidad que resuelve</w:t>
      </w:r>
    </w:p>
    <w:p>
      <w:pPr>
        <w:jc w:val="both"/>
      </w:pPr>
      <w:r>
        <w:t xml:space="preserve">La información clínica en Hematología está habitualmente </w:t>
      </w:r>
      <w:r>
        <w:rPr>
          <w:b/>
        </w:rPr>
        <w:t>fragmentada</w:t>
      </w:r>
      <w:r>
        <w:t xml:space="preserve"> (PDF en carpetas de red, papel, calculadoras en webs externas) y </w:t>
      </w:r>
      <w:r>
        <w:rPr>
          <w:b/>
        </w:rPr>
        <w:t>se desactualiza con rapidez</w:t>
      </w:r>
      <w:r>
        <w:t xml:space="preserve"> (las clasificaciones y recomendaciones de ELN, ESMO, NCCN, SEHH, GELTAMO, PETHEMA, ISTH, IMWG… cambian con frecuencia). Esto genera:</w:t>
      </w:r>
    </w:p>
    <w:p>
      <w:pPr>
        <w:pStyle w:val="ListBullet"/>
      </w:pPr>
      <w:r>
        <w:rPr>
          <w:b/>
        </w:rPr>
        <w:t>Variabilidad no justificada</w:t>
      </w:r>
      <w:r>
        <w:t xml:space="preserve"> entre facultativos y entre turnos.</w:t>
      </w:r>
    </w:p>
    <w:p>
      <w:pPr>
        <w:pStyle w:val="ListBullet"/>
      </w:pPr>
      <w:r>
        <w:rPr>
          <w:b/>
        </w:rPr>
        <w:t>Uso de versiones obsoletas</w:t>
      </w:r>
      <w:r>
        <w:t xml:space="preserve"> de protocolos.</w:t>
      </w:r>
    </w:p>
    <w:p>
      <w:pPr>
        <w:pStyle w:val="ListBullet"/>
      </w:pPr>
      <w:r>
        <w:rPr>
          <w:b/>
        </w:rPr>
        <w:t>Carga cognitiva y pérdida de tiempo</w:t>
      </w:r>
      <w:r>
        <w:t xml:space="preserve"> en situaciones urgentes (neutropenia febril, microangiopatías, CRS/ICANS, reversión de anticoagulación, lisis tumoral…).</w:t>
      </w:r>
    </w:p>
    <w:p>
      <w:pPr>
        <w:spacing w:before="200" w:after="80"/>
      </w:pPr>
      <w:r>
        <w:rPr>
          <w:b/>
          <w:color w:val="C41E3A"/>
          <w:sz w:val="29"/>
        </w:rPr>
        <w:t>3. Aportación a la calidad y a la seguridad del paciente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Eje de calidad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Cómo lo aborda HemoPocket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Práctica basada en la evidencia</w:t>
            </w:r>
          </w:p>
        </w:tc>
        <w:tc>
          <w:tcPr>
            <w:tcW w:type="dxa" w:w="4680"/>
          </w:tcPr>
          <w:p>
            <w:r/>
            <w:r>
              <w:t xml:space="preserve">Escalas y criterios reproducen guías de referencia, </w:t>
            </w:r>
            <w:r>
              <w:rPr>
                <w:b/>
              </w:rPr>
              <w:t>con cita bibliográfica</w:t>
            </w:r>
            <w:r>
              <w:t>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Reducción de la variabilidad</w:t>
            </w:r>
          </w:p>
        </w:tc>
        <w:tc>
          <w:tcPr>
            <w:tcW w:type="dxa" w:w="4680"/>
          </w:tcPr>
          <w:p>
            <w:r/>
            <w:r>
              <w:t>Un único origen de verdad para algoritmos, umbrales y criterios, común a todo el equipo.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Seguridad del paciente</w:t>
            </w:r>
          </w:p>
        </w:tc>
        <w:tc>
          <w:tcPr>
            <w:tcW w:type="dxa" w:w="4680"/>
          </w:tcPr>
          <w:p>
            <w:r/>
            <w:r>
              <w:t xml:space="preserve">Más de 50 calculadoras que minimizan errores de cálculo (dosis, aclaramiento, calcio corregido, conversión de opioides, QTc, lisis tumoral…) y </w:t>
            </w:r>
            <w:r>
              <w:rPr>
                <w:i/>
              </w:rPr>
              <w:t>check-lists</w:t>
            </w:r>
            <w:r>
              <w:t xml:space="preserve"> de ingreso que reducen omisiones.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Continuidad asistencial</w:t>
            </w:r>
          </w:p>
        </w:tc>
        <w:tc>
          <w:tcPr>
            <w:tcW w:type="dxa" w:w="4680"/>
          </w:tcPr>
          <w:p>
            <w:r/>
            <w:r>
              <w:t>Misma información en todos los turnos y dispositivos; funciona sin conexión en cualquier punto del hospital.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Actualización continua</w:t>
            </w:r>
          </w:p>
        </w:tc>
        <w:tc>
          <w:tcPr>
            <w:tcW w:type="dxa" w:w="4680"/>
          </w:tcPr>
          <w:p>
            <w:r/>
            <w:r>
              <w:t>El contenido se versiona y se distribuye de forma centralizada: al abrir la app con conexión, todos los equipos reciben la última versión.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Trazabilidad</w:t>
            </w:r>
          </w:p>
        </w:tc>
        <w:tc>
          <w:tcPr>
            <w:tcW w:type="dxa" w:w="4680"/>
          </w:tcPr>
          <w:p>
            <w:r/>
            <w:r>
              <w:t>La app muestra la versión activa y la fecha de última sincronización; el historial de cambios queda registrado.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Docencia</w:t>
            </w:r>
          </w:p>
        </w:tc>
        <w:tc>
          <w:tcPr>
            <w:tcW w:type="dxa" w:w="4680"/>
          </w:tcPr>
          <w:p>
            <w:r/>
            <w:r>
              <w:t>Recurso normalizado para residentes y formación continuada.</w:t>
            </w:r>
          </w:p>
        </w:tc>
      </w:tr>
    </w:tbl>
    <w:p/>
    <w:p>
      <w:pPr>
        <w:spacing w:before="200" w:after="80"/>
      </w:pPr>
      <w:r>
        <w:rPr>
          <w:b/>
          <w:color w:val="C41E3A"/>
          <w:sz w:val="29"/>
        </w:rPr>
        <w:t>4. Garantías de calidad del contenido</w:t>
      </w:r>
    </w:p>
    <w:p>
      <w:pPr>
        <w:pStyle w:val="ListBullet"/>
      </w:pPr>
      <w:r>
        <w:rPr>
          <w:b/>
        </w:rPr>
        <w:t>Revisión clínica por pares</w:t>
      </w:r>
      <w:r>
        <w:t xml:space="preserve">: los contenidos han sido revisados por </w:t>
      </w:r>
      <w:r>
        <w:rPr>
          <w:b/>
        </w:rPr>
        <w:t>facultativos del propio Servicio</w:t>
      </w:r>
      <w:r>
        <w:t>, acreditados como revisores por área dentro de la herramienta.</w:t>
      </w:r>
    </w:p>
    <w:p>
      <w:pPr>
        <w:pStyle w:val="ListBullet"/>
      </w:pPr>
      <w:r>
        <w:rPr>
          <w:b/>
        </w:rPr>
        <w:t>Fuentes reconocidas</w:t>
      </w:r>
      <w:r>
        <w:t>: ELN, ESMO, NCCN, SEHH, GELTAMO, PETHEMA, ISTH, ASTCT, IMWG, iwCLL, entre otras.</w:t>
      </w:r>
    </w:p>
    <w:p>
      <w:pPr>
        <w:pStyle w:val="ListBullet"/>
      </w:pPr>
      <w:r>
        <w:rPr>
          <w:b/>
        </w:rPr>
        <w:t>Aviso Legal y de privacidad</w:t>
      </w:r>
      <w:r>
        <w:t xml:space="preserve"> accesible desde la propia app, con limitación de responsabilidad y aceptación en el primer uso.</w:t>
      </w:r>
    </w:p>
    <w:p>
      <w:pPr>
        <w:spacing w:before="200" w:after="80"/>
      </w:pPr>
      <w:r>
        <w:rPr>
          <w:b/>
          <w:color w:val="C41E3A"/>
          <w:sz w:val="29"/>
        </w:rPr>
        <w:t>5. Indicadores propuestos para el seguimiento</w:t>
      </w:r>
    </w:p>
    <w:p>
      <w:pPr>
        <w:jc w:val="both"/>
      </w:pPr>
      <w:r>
        <w:t>A acordar con esta Comisión:</w:t>
      </w:r>
    </w:p>
    <w:p>
      <w:pPr>
        <w:pStyle w:val="ListNumber"/>
      </w:pPr>
      <w:r>
        <w:rPr>
          <w:b/>
        </w:rPr>
        <w:t>Grado de adopción</w:t>
      </w:r>
      <w:r>
        <w:t>: facultativos con acceso activo / plantilla del Servicio.</w:t>
      </w:r>
    </w:p>
    <w:p>
      <w:pPr>
        <w:pStyle w:val="ListNumber"/>
      </w:pPr>
      <w:r>
        <w:rPr>
          <w:b/>
        </w:rPr>
        <w:t>Actualización</w:t>
      </w:r>
      <w:r>
        <w:t>: nº de actualizaciones por trimestre y tiempo medio de actualización tras la publicación de una nueva guía.</w:t>
      </w:r>
    </w:p>
    <w:p>
      <w:pPr>
        <w:pStyle w:val="ListNumber"/>
      </w:pPr>
      <w:r>
        <w:rPr>
          <w:b/>
        </w:rPr>
        <w:t>Cobertura de revisión</w:t>
      </w:r>
      <w:r>
        <w:t>: nº de áreas con revisor clínico asignado y contenido revisado.</w:t>
      </w:r>
    </w:p>
    <w:p>
      <w:pPr>
        <w:pStyle w:val="ListNumber"/>
      </w:pPr>
      <w:r>
        <w:rPr>
          <w:b/>
        </w:rPr>
        <w:t>Satisfacción/utilidad percibida</w:t>
      </w:r>
      <w:r>
        <w:t xml:space="preserve"> (encuesta semestral al equipo).</w:t>
      </w:r>
    </w:p>
    <w:p>
      <w:pPr>
        <w:pStyle w:val="ListNumber"/>
      </w:pPr>
      <w:r>
        <w:rPr>
          <w:b/>
        </w:rPr>
        <w:t>Incidencias de seguridad o de protección de datos</w:t>
      </w:r>
      <w:r>
        <w:t xml:space="preserve"> (objetivo: 0).</w:t>
      </w:r>
    </w:p>
    <w:p>
      <w:pPr>
        <w:spacing w:before="200" w:after="80"/>
      </w:pPr>
      <w:r>
        <w:rPr>
          <w:b/>
          <w:color w:val="C41E3A"/>
          <w:sz w:val="29"/>
        </w:rPr>
        <w:t>6. Solicitud a la Comisión</w:t>
      </w:r>
    </w:p>
    <w:p>
      <w:pPr>
        <w:pStyle w:val="ListNumber"/>
      </w:pPr>
      <w:r>
        <w:rPr>
          <w:b/>
        </w:rPr>
        <w:t>Valorar y, en su caso, reconocer</w:t>
      </w:r>
      <w:r>
        <w:t xml:space="preserve"> HemoPocket como herramienta de apoyo del Servicio de Hematología.</w:t>
      </w:r>
    </w:p>
    <w:p>
      <w:pPr>
        <w:pStyle w:val="ListNumber"/>
      </w:pPr>
      <w:r>
        <w:rPr>
          <w:b/>
        </w:rPr>
        <w:t>Acordar el cuadro de indicadores</w:t>
      </w:r>
      <w:r>
        <w:t xml:space="preserve"> de seguimiento y la periodicidad de revisión (p. ej., anual).</w:t>
      </w:r>
    </w:p>
    <w:p>
      <w:pPr>
        <w:pStyle w:val="ListNumber"/>
      </w:pPr>
      <w:r>
        <w:rPr>
          <w:b/>
        </w:rPr>
        <w:t>Avalar el modelo de gobernanza del contenido</w:t>
      </w:r>
      <w:r>
        <w:t xml:space="preserve"> (comité editorial del Servicio y procedimiento de actualización documentado).</w:t>
      </w:r>
    </w:p>
    <w:p>
      <w:pPr>
        <w:jc w:val="both"/>
      </w:pPr>
      <w:r>
        <w:t>Quedo a disposición de la Comisión para una demostración de la herramienta y para aportar cuanta documentación complementaria se precise (memoria completa del proyecto y documento técnico para Sistemas de Información).</w:t>
      </w:r>
    </w:p>
    <w:p>
      <w:pPr>
        <w:jc w:val="both"/>
      </w:pPr>
      <w:r>
        <w:t>Atentamente,</w:t>
      </w:r>
    </w:p>
    <w:p>
      <w:pPr>
        <w:jc w:val="both"/>
      </w:pPr>
      <w:r>
        <w:rPr>
          <w:b/>
        </w:rPr>
        <w:t>Dra. María Teresa Busnego Barreto</w:t>
      </w:r>
    </w:p>
    <w:p>
      <w:pPr>
        <w:jc w:val="both"/>
      </w:pPr>
      <w:r>
        <w:t>Facultativa Especialista en Hematología y Hemoterapia</w:t>
      </w:r>
    </w:p>
    <w:p>
      <w:pPr>
        <w:jc w:val="both"/>
      </w:pPr>
      <w:r>
        <w:t>Servicio de Hematología y Hemoterapia — HUNSC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HemoPocket · Comisión de Calidad   ·   Página </w:t>
    </w:r>
    <w:fldSimple w:instr="PAGE">
      <w:r>
        <w:rPr>
          <w:sz w:val="16"/>
        </w:rPr>
      </w:r>
    </w:fldSimple>
    <w:r>
      <w:rPr>
        <w:color w:val="666666"/>
        <w:sz w:val="16"/>
      </w:rPr>
      <w:t xml:space="preserve"> de </w:t>
    </w:r>
    <w:fldSimple w:instr="NUMPAGES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