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</w:t>
      </w:r>
    </w:p>
    <w:p>
      <w:pPr>
        <w:spacing w:before="200" w:after="80"/>
      </w:pPr>
      <w:r>
        <w:rPr>
          <w:b/>
          <w:color w:val="C41E3A"/>
          <w:sz w:val="29"/>
        </w:rPr>
        <w:t>Presentación al Servicio de Hematología y propuesta de gobernanza por secciones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 la atención de</w:t>
            </w:r>
          </w:p>
        </w:tc>
        <w:tc>
          <w:tcPr>
            <w:tcW w:type="dxa" w:w="4680"/>
          </w:tcPr>
          <w:p>
            <w:r/>
            <w:r>
              <w:t>Jefatura de Servicio y Jefaturas de Sección — Servicio de Hematología y Hemoterapia (HUNSC)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Asunto</w:t>
            </w:r>
          </w:p>
        </w:tc>
        <w:tc>
          <w:tcPr>
            <w:tcW w:type="dxa" w:w="4680"/>
          </w:tcPr>
          <w:p>
            <w:r/>
            <w:r>
              <w:t>Presentación de HemoPocket, propuesta de respaldo del Servicio y designación de responsables por sección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Promotora</w:t>
            </w:r>
          </w:p>
        </w:tc>
        <w:tc>
          <w:tcPr>
            <w:tcW w:type="dxa" w:w="4680"/>
          </w:tcPr>
          <w:p>
            <w:r/>
            <w:r>
              <w:t>Dra. María Teresa Busnego Barreto — F.E.A. Hematología y Hemoterapia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/>
            <w:r>
              <w:t>Santa Cruz de Tenerife, 9 de junio de 2026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Estimado/a Jefe/a de Servicio y compañeros/as responsables de sección:</w:t>
      </w:r>
    </w:p>
    <w:p>
      <w:pPr>
        <w:jc w:val="both"/>
      </w:pPr>
      <w:r>
        <w:t xml:space="preserve">Os presento </w:t>
      </w:r>
      <w:r>
        <w:rPr>
          <w:b/>
        </w:rPr>
        <w:t>HemoPocket</w:t>
      </w:r>
      <w:r>
        <w:t xml:space="preserve">, una herramienta de consulta rápida que muchos del equipo ya venís utilizando, y os propongo darle un </w:t>
      </w:r>
      <w:r>
        <w:rPr>
          <w:b/>
        </w:rPr>
        <w:t>respaldo formal del Servicio</w:t>
      </w:r>
      <w:r>
        <w:t xml:space="preserve"> y una </w:t>
      </w:r>
      <w:r>
        <w:rPr>
          <w:b/>
        </w:rPr>
        <w:t>gobernanza por secciones</w:t>
      </w:r>
      <w:r>
        <w:t xml:space="preserve"> sostenible, de cara a su presentación ante las comisiones del hospital (Calidad, Informática y Dirección Médica).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1. Qué es y por qué nos interesa como Servicio</w:t>
      </w:r>
    </w:p>
    <w:p>
      <w:pPr>
        <w:jc w:val="both"/>
      </w:pPr>
      <w:r>
        <w:t xml:space="preserve">Es una guía de consulta rápida (móvil, tableta y ordenador, </w:t>
      </w:r>
      <w:r>
        <w:rPr>
          <w:b/>
        </w:rPr>
        <w:t>también sin conexión</w:t>
      </w:r>
      <w:r>
        <w:t xml:space="preserve">) que reúne nuestros algoritmos, escalas, calculadoras, criterios y guías clínicas en un único sitio, </w:t>
      </w:r>
      <w:r>
        <w:rPr>
          <w:b/>
        </w:rPr>
        <w:t>organizado por las mismas secciones con las que trabajamos</w:t>
      </w:r>
      <w:r>
        <w:t>:</w:t>
      </w:r>
    </w:p>
    <w:p>
      <w:pPr>
        <w:pStyle w:val="ListBullet"/>
      </w:pPr>
      <w:r>
        <w:t>Neutropenia febril e infecciones · Otras urgencias hematológicas</w:t>
      </w:r>
    </w:p>
    <w:p>
      <w:pPr>
        <w:pStyle w:val="ListBullet"/>
      </w:pPr>
      <w:r>
        <w:t>Trombosis y Hemostasia · Banco de Sangre · Terapia celular</w:t>
      </w:r>
    </w:p>
    <w:p>
      <w:pPr>
        <w:pStyle w:val="ListBullet"/>
      </w:pPr>
      <w:r>
        <w:t>Citopenias · Leucemias agudas · Patología mieloide crónica</w:t>
      </w:r>
    </w:p>
    <w:p>
      <w:pPr>
        <w:pStyle w:val="ListBullet"/>
      </w:pPr>
      <w:r>
        <w:t>Mieloma y gammapatías · Linfomas · LLC · Hematología pediátrica</w:t>
      </w:r>
    </w:p>
    <w:p>
      <w:pPr>
        <w:pStyle w:val="ListBullet"/>
      </w:pPr>
      <w:r>
        <w:t>Citodiagnóstico · Pautas de QT (SEHH)</w:t>
      </w:r>
    </w:p>
    <w:p>
      <w:pPr>
        <w:jc w:val="both"/>
      </w:pPr>
      <w:r>
        <w:t xml:space="preserve">Incluye además el </w:t>
      </w:r>
      <w:r>
        <w:rPr>
          <w:b/>
        </w:rPr>
        <w:t>listín telefónico interno</w:t>
      </w:r>
      <w:r>
        <w:t xml:space="preserve"> y un repositorio de </w:t>
      </w:r>
      <w:r>
        <w:rPr>
          <w:b/>
        </w:rPr>
        <w:t>48 guías y protocolos</w:t>
      </w:r>
      <w:r>
        <w:t xml:space="preserve"> del Servicio.</w:t>
      </w:r>
    </w:p>
    <w:p>
      <w:pPr>
        <w:ind w:left="432"/>
      </w:pPr>
      <w:r>
        <w:rPr>
          <w:i/>
          <w:color w:val="666666"/>
        </w:rPr>
        <w:t xml:space="preserve">Su valor para nosotros: </w:t>
      </w:r>
      <w:r>
        <w:rPr>
          <w:b/>
          <w:i/>
          <w:color w:val="666666"/>
        </w:rPr>
        <w:t>unifica criterios entre todos</w:t>
      </w:r>
      <w:r>
        <w:rPr>
          <w:i/>
          <w:color w:val="666666"/>
        </w:rPr>
        <w:t>, evita que cada uno trabaje con una versión distinta y nos ahorra tiempo en la guardia.</w:t>
      </w:r>
    </w:p>
    <w:p>
      <w:pPr>
        <w:spacing w:before="200" w:after="80"/>
      </w:pPr>
      <w:r>
        <w:rPr>
          <w:b/>
          <w:color w:val="C41E3A"/>
          <w:sz w:val="29"/>
        </w:rPr>
        <w:t>2. Lo que ya está hecho y revisado</w:t>
      </w:r>
    </w:p>
    <w:p>
      <w:pPr>
        <w:pStyle w:val="ListBullet"/>
      </w:pPr>
      <w:r>
        <w:rPr>
          <w:b/>
        </w:rPr>
        <w:t>Revisión por pares del propio Servicio</w:t>
      </w:r>
      <w:r>
        <w:t>: cada área cuenta ya con revisores clínicos acreditados en la herramienta.</w:t>
      </w:r>
    </w:p>
    <w:p>
      <w:pPr>
        <w:pStyle w:val="ListBullet"/>
      </w:pPr>
      <w:r>
        <w:rPr>
          <w:b/>
        </w:rPr>
        <w:t>Más de 50 calculadoras y escalas</w:t>
      </w:r>
      <w:r>
        <w:t xml:space="preserve"> y </w:t>
      </w:r>
      <w:r>
        <w:rPr>
          <w:b/>
        </w:rPr>
        <w:t>algoritmos</w:t>
      </w:r>
      <w:r>
        <w:t xml:space="preserve"> de las situaciones más frecuentes y críticas.</w:t>
      </w:r>
    </w:p>
    <w:p>
      <w:pPr>
        <w:pStyle w:val="ListBullet"/>
      </w:pPr>
      <w:r>
        <w:rPr>
          <w:b/>
        </w:rPr>
        <w:t>Aviso Legal y de privacidad</w:t>
      </w:r>
      <w:r>
        <w:t xml:space="preserve"> integrados; </w:t>
      </w:r>
      <w:r>
        <w:rPr>
          <w:b/>
        </w:rPr>
        <w:t>no se guardan datos de pacientes</w:t>
      </w:r>
      <w:r>
        <w:t>.</w:t>
      </w:r>
    </w:p>
    <w:p>
      <w:pPr>
        <w:pStyle w:val="ListBullet"/>
      </w:pPr>
      <w:r>
        <w:t xml:space="preserve">La app </w:t>
      </w:r>
      <w:r>
        <w:rPr>
          <w:b/>
        </w:rPr>
        <w:t>no es un producto oficial del hospital</w:t>
      </w:r>
      <w:r>
        <w:t xml:space="preserve"> (es un proyecto de innovación clínica); por eso planteo el respaldo del Servicio como paso previo.</w:t>
      </w:r>
    </w:p>
    <w:p>
      <w:pPr>
        <w:spacing w:before="200" w:after="80"/>
      </w:pPr>
      <w:r>
        <w:rPr>
          <w:b/>
          <w:color w:val="C41E3A"/>
          <w:sz w:val="29"/>
        </w:rPr>
        <w:t>3. Propuesta de gobernanza por secciones</w:t>
      </w:r>
    </w:p>
    <w:p>
      <w:pPr>
        <w:jc w:val="both"/>
      </w:pPr>
      <w:r>
        <w:t>Para que el contenido se mantenga vivo y fiable sin recaer en una sola persona, propongo: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Comité editorial del Servicio</w:t>
            </w:r>
          </w:p>
        </w:tc>
        <w:tc>
          <w:tcPr>
            <w:tcW w:type="dxa" w:w="4680"/>
          </w:tcPr>
          <w:p>
            <w:r/>
            <w:r>
              <w:t xml:space="preserve">Coordinado por la promotora, con un </w:t>
            </w:r>
            <w:r>
              <w:rPr>
                <w:b/>
              </w:rPr>
              <w:t>responsable/revisor por sección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Responsable por sección</w:t>
            </w:r>
          </w:p>
        </w:tc>
        <w:tc>
          <w:tcPr>
            <w:tcW w:type="dxa" w:w="4680"/>
          </w:tcPr>
          <w:p>
            <w:r/>
            <w:r>
              <w:t xml:space="preserve">Valida y propone cambios del contenido de </w:t>
            </w:r>
            <w:r>
              <w:rPr>
                <w:b/>
              </w:rPr>
              <w:t>su</w:t>
            </w:r>
            <w:r>
              <w:t xml:space="preserve"> área (las jefaturas de sección o quien designen).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Procedimiento de actualización (SOP)</w:t>
            </w:r>
          </w:p>
        </w:tc>
        <w:tc>
          <w:tcPr>
            <w:tcW w:type="dxa" w:w="4680"/>
          </w:tcPr>
          <w:p>
            <w:r/>
            <w:r>
              <w:t>Documentar quién revisa, con qué periodicidad y cómo se valida y comunica cada cambio.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Declaración de conflictos de interés</w:t>
            </w:r>
          </w:p>
        </w:tc>
        <w:tc>
          <w:tcPr>
            <w:tcW w:type="dxa" w:w="4680"/>
          </w:tcPr>
          <w:p>
            <w:r/>
            <w:r>
              <w:t>De los revisores, según buenas prácticas.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Mantenedor de respaldo</w:t>
            </w:r>
          </w:p>
        </w:tc>
        <w:tc>
          <w:tcPr>
            <w:tcW w:type="dxa" w:w="4680"/>
          </w:tcPr>
          <w:p>
            <w:r/>
            <w:r>
              <w:t>Designar a una segunda persona con acceso, para no depender de una sola.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4. Lo que os pido concretamente</w:t>
      </w:r>
    </w:p>
    <w:p>
      <w:pPr>
        <w:pStyle w:val="ListNumber"/>
      </w:pPr>
      <w:r>
        <w:rPr>
          <w:b/>
        </w:rPr>
        <w:t>Respaldo del Servicio</w:t>
      </w:r>
      <w:r>
        <w:t xml:space="preserve"> a HemoPocket como herramienta de apoyo, para presentarla a las comisiones.</w:t>
      </w:r>
    </w:p>
    <w:p>
      <w:pPr>
        <w:pStyle w:val="ListNumber"/>
      </w:pPr>
      <w:r>
        <w:rPr>
          <w:b/>
        </w:rPr>
        <w:t>Confirmar o designar el revisor/responsable de cada sección</w:t>
      </w:r>
      <w:r>
        <w:t xml:space="preserve"> (la mayoría ya figuráis como revisores).</w:t>
      </w:r>
    </w:p>
    <w:p>
      <w:pPr>
        <w:pStyle w:val="ListNumber"/>
      </w:pPr>
      <w:r>
        <w:rPr>
          <w:b/>
        </w:rPr>
        <w:t>Designar un mantenedor de respaldo</w:t>
      </w:r>
      <w:r>
        <w:t xml:space="preserve"> con acceso al proyecto.</w:t>
      </w:r>
    </w:p>
    <w:p>
      <w:pPr>
        <w:pStyle w:val="ListNumber"/>
      </w:pPr>
      <w:r>
        <w:rPr>
          <w:b/>
        </w:rPr>
        <w:t>Validar el procedimiento de actualización</w:t>
      </w:r>
      <w:r>
        <w:t xml:space="preserve"> propuesto (lo preparo yo en borrador para que lo reviséis).</w:t>
      </w:r>
    </w:p>
    <w:p>
      <w:pPr>
        <w:spacing w:before="200" w:after="80"/>
      </w:pPr>
      <w:r>
        <w:rPr>
          <w:b/>
          <w:color w:val="C41E3A"/>
          <w:sz w:val="29"/>
        </w:rPr>
        <w:t>5. Áreas y revisores actuales (a confirmar)</w:t>
      </w:r>
    </w:p>
    <w:p>
      <w:pPr>
        <w:jc w:val="both"/>
      </w:pPr>
      <w:r>
        <w:t xml:space="preserve">La herramienta ya recoge los revisores por área en su apartado "Equipo" y en el Aviso Legal. Os pediré únicamente </w:t>
      </w:r>
      <w:r>
        <w:rPr>
          <w:b/>
        </w:rPr>
        <w:t>confirmar o corregir</w:t>
      </w:r>
      <w:r>
        <w:t xml:space="preserve"> quién es el responsable de cada sección, para dejarlo por escrito en el acta del comité editorial.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Quedo a vuestra disposición para enseñaros la herramienta en una sesión breve del Servicio y para recoger vuestras propuestas antes de llevarla a las comisiones.</w:t>
      </w:r>
    </w:p>
    <w:p>
      <w:pPr>
        <w:jc w:val="both"/>
      </w:pPr>
      <w:r>
        <w:t>Un cordial saludo,</w:t>
      </w:r>
    </w:p>
    <w:p>
      <w:pPr>
        <w:jc w:val="both"/>
      </w:pPr>
      <w:r>
        <w:rPr>
          <w:b/>
        </w:rPr>
        <w:t>Dra. María Teresa Busnego Barreto</w:t>
      </w:r>
    </w:p>
    <w:p>
      <w:pPr>
        <w:jc w:val="both"/>
      </w:pPr>
      <w:r>
        <w:t>Facultativa Especialista en Hematología y Hemoterapia</w:t>
      </w:r>
    </w:p>
    <w:p>
      <w:pPr>
        <w:jc w:val="both"/>
      </w:pPr>
      <w:r>
        <w:t>Servicio de Hematología y Hemoterapia — HUNSC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Servicio de Hematología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