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C41E3A"/>
          <w:sz w:val="38"/>
        </w:rPr>
        <w:t>HemoPocket</w:t>
      </w:r>
    </w:p>
    <w:p>
      <w:pPr>
        <w:spacing w:before="200" w:after="80"/>
      </w:pPr>
      <w:r>
        <w:rPr>
          <w:b/>
          <w:color w:val="C41E3A"/>
          <w:sz w:val="29"/>
        </w:rPr>
        <w:t>Solicitud de respaldo institucional a una herramienta de apoyo a la decisión clínica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A la atención de</w:t>
            </w:r>
          </w:p>
        </w:tc>
        <w:tc>
          <w:tcPr>
            <w:tcW w:type="dxa" w:w="4680"/>
          </w:tcPr>
          <w:p>
            <w:r/>
            <w:r>
              <w:t>Dirección Médica — Hospital Universitario Ntra. Sra. de Candelaria (HUNSC)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Asunto</w:t>
            </w:r>
          </w:p>
        </w:tc>
        <w:tc>
          <w:tcPr>
            <w:tcW w:type="dxa" w:w="4680"/>
          </w:tcPr>
          <w:p>
            <w:r/>
            <w:r>
              <w:t>Solicitud de respaldo institucional y decisión sobre el modelo de relación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Promotora</w:t>
            </w:r>
          </w:p>
        </w:tc>
        <w:tc>
          <w:tcPr>
            <w:tcW w:type="dxa" w:w="4680"/>
          </w:tcPr>
          <w:p>
            <w:r/>
            <w:r>
              <w:t>Dra. María Teresa Busnego Barreto — F.E.A. Hematología y Hemoterapia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4680"/>
          </w:tcPr>
          <w:p>
            <w:r/>
            <w:r>
              <w:t>Santa Cruz de Tenerife, 9 de junio de 2026</w:t>
            </w:r>
          </w:p>
        </w:tc>
      </w:tr>
    </w:tbl>
    <w:p/>
    <w:p>
      <w:pPr>
        <w:spacing w:before="60" w:after="60"/>
      </w:pPr>
      <w:r>
        <w:rPr>
          <w:color w:val="BBBBBB"/>
        </w:rPr>
        <w:t>____________________________________________________________</w:t>
      </w:r>
    </w:p>
    <w:p>
      <w:pPr>
        <w:jc w:val="both"/>
      </w:pPr>
      <w:r>
        <w:t>Estimada Dirección Médica:</w:t>
      </w:r>
    </w:p>
    <w:p>
      <w:pPr>
        <w:jc w:val="both"/>
      </w:pPr>
      <w:r>
        <w:t xml:space="preserve">Someto a su consideración </w:t>
      </w:r>
      <w:r>
        <w:rPr>
          <w:b/>
        </w:rPr>
        <w:t>HemoPocket</w:t>
      </w:r>
      <w:r>
        <w:t xml:space="preserve">, una herramienta de apoyo a la decisión clínica para el Servicio de Hematología, y solicito su </w:t>
      </w:r>
      <w:r>
        <w:rPr>
          <w:b/>
        </w:rPr>
        <w:t>respaldo institucional</w:t>
      </w:r>
      <w:r>
        <w:t xml:space="preserve">, así como una </w:t>
      </w:r>
      <w:r>
        <w:rPr>
          <w:b/>
        </w:rPr>
        <w:t>decisión sobre el modelo de relación</w:t>
      </w:r>
      <w:r>
        <w:t xml:space="preserve"> del hospital con la herramienta. Resumo a continuación el valor estratégico, las garantías y las decisiones que requieren su criterio.</w:t>
      </w:r>
    </w:p>
    <w:p>
      <w:pPr>
        <w:spacing w:before="60" w:after="60"/>
      </w:pPr>
      <w:r>
        <w:rPr>
          <w:color w:val="BBBBBB"/>
        </w:rPr>
        <w:t>____________________________________________________________</w:t>
      </w:r>
    </w:p>
    <w:p>
      <w:pPr>
        <w:spacing w:before="200" w:after="80"/>
      </w:pPr>
      <w:r>
        <w:rPr>
          <w:b/>
          <w:color w:val="C41E3A"/>
          <w:sz w:val="29"/>
        </w:rPr>
        <w:t>1. Valor para la institución</w:t>
      </w:r>
    </w:p>
    <w:p>
      <w:pPr>
        <w:pStyle w:val="ListBullet"/>
      </w:pPr>
      <w:r>
        <w:rPr>
          <w:b/>
        </w:rPr>
        <w:t>Mejor atención al paciente hematológico</w:t>
      </w:r>
      <w:r>
        <w:t>: criterios homogéneos, decisiones más rápidas y seguras en urgencias y guardia, y menor variabilidad no justificada.</w:t>
      </w:r>
    </w:p>
    <w:p>
      <w:pPr>
        <w:pStyle w:val="ListBullet"/>
      </w:pPr>
      <w:r>
        <w:rPr>
          <w:b/>
        </w:rPr>
        <w:t>Seguridad del paciente</w:t>
      </w:r>
      <w:r>
        <w:t xml:space="preserve">: calculadoras que reducen errores de cálculo y </w:t>
      </w:r>
      <w:r>
        <w:rPr>
          <w:i/>
        </w:rPr>
        <w:t>check-lists</w:t>
      </w:r>
      <w:r>
        <w:t xml:space="preserve"> que reducen omisiones.</w:t>
      </w:r>
    </w:p>
    <w:p>
      <w:pPr>
        <w:pStyle w:val="ListBullet"/>
      </w:pPr>
      <w:r>
        <w:rPr>
          <w:b/>
        </w:rPr>
        <w:t>Docencia y captación de talento</w:t>
      </w:r>
      <w:r>
        <w:t>: recurso de referencia para residentes y nuevos facultativos; proyecta una imagen de servicio innovador.</w:t>
      </w:r>
    </w:p>
    <w:p>
      <w:pPr>
        <w:pStyle w:val="ListBullet"/>
      </w:pPr>
      <w:r>
        <w:rPr>
          <w:b/>
        </w:rPr>
        <w:t>Coste para el hospital: prácticamente nulo</w:t>
      </w:r>
      <w:r>
        <w:t>. No requiere licencias, servidores propios ni instalación en los equipos.</w:t>
      </w:r>
    </w:p>
    <w:p>
      <w:pPr>
        <w:pStyle w:val="ListBullet"/>
      </w:pPr>
      <w:r>
        <w:rPr>
          <w:b/>
        </w:rPr>
        <w:t>Innovación clínica liderada desde el propio Servicio</w:t>
      </w:r>
      <w:r>
        <w:t>, con revisión por pares interna.</w:t>
      </w:r>
    </w:p>
    <w:p>
      <w:pPr>
        <w:spacing w:before="200" w:after="80"/>
      </w:pPr>
      <w:r>
        <w:rPr>
          <w:b/>
          <w:color w:val="C41E3A"/>
          <w:sz w:val="29"/>
        </w:rPr>
        <w:t>2. Garantías (resumen para Dirección)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Ámbito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Garantía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Protección de datos</w:t>
            </w:r>
          </w:p>
        </w:tc>
        <w:tc>
          <w:tcPr>
            <w:tcW w:type="dxa" w:w="4680"/>
          </w:tcPr>
          <w:p>
            <w:r/>
            <w:r>
              <w:t>No se tratan datos identificativos de pacientes. Acceso con credenciales personales. Datos de cuenta en región europea y tráfico cifrado. Sin telemetría a terceros.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Calidad del contenido</w:t>
            </w:r>
          </w:p>
        </w:tc>
        <w:tc>
          <w:tcPr>
            <w:tcW w:type="dxa" w:w="4680"/>
          </w:tcPr>
          <w:p>
            <w:r/>
            <w:r>
              <w:t>Basado en guías de referencia (ELN, ESMO, NCCN, SEHH, GELTAMO, PETHEMA…), revisado por facultativos del Servicio.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Responsabilidad</w:t>
            </w:r>
          </w:p>
        </w:tc>
        <w:tc>
          <w:tcPr>
            <w:tcW w:type="dxa" w:w="4680"/>
          </w:tcPr>
          <w:p>
            <w:r/>
            <w:r>
              <w:t xml:space="preserve">Aviso Legal con limitación de responsabilidad: herramienta de </w:t>
            </w:r>
            <w:r>
              <w:rPr>
                <w:b/>
              </w:rPr>
              <w:t>apoyo</w:t>
            </w:r>
            <w:r>
              <w:t>, que no sustituye el juicio clínico ni los protocolos del centro. Aceptación obligatoria en el primer uso.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Seguridad informática</w:t>
            </w:r>
          </w:p>
        </w:tc>
        <w:tc>
          <w:tcPr>
            <w:tcW w:type="dxa" w:w="4680"/>
          </w:tcPr>
          <w:p>
            <w:r/>
            <w:r>
              <w:t>Aplicación sin instalación intrusiva, con permisos por roles y código auditable (detalle en el documento para Sistemas de Información).</w:t>
            </w:r>
          </w:p>
        </w:tc>
      </w:tr>
    </w:tbl>
    <w:p/>
    <w:p>
      <w:pPr>
        <w:spacing w:before="200" w:after="80"/>
      </w:pPr>
      <w:r>
        <w:rPr>
          <w:b/>
          <w:color w:val="C41E3A"/>
          <w:sz w:val="29"/>
        </w:rPr>
        <w:t>3. Riesgos identificados y su mitigación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Riesgo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Mitigación propuesta</w:t>
            </w:r>
          </w:p>
        </w:tc>
      </w:tr>
      <w:tr>
        <w:tc>
          <w:tcPr>
            <w:tcW w:type="dxa" w:w="4680"/>
          </w:tcPr>
          <w:p>
            <w:r/>
            <w:r>
              <w:t>Dependencia de una sola persona</w:t>
            </w:r>
          </w:p>
        </w:tc>
        <w:tc>
          <w:tcPr>
            <w:tcW w:type="dxa" w:w="4680"/>
          </w:tcPr>
          <w:p>
            <w:r/>
            <w:r>
              <w:t xml:space="preserve">Comité editorial del Servicio y </w:t>
            </w:r>
            <w:r>
              <w:rPr>
                <w:b/>
              </w:rPr>
              <w:t>mantenedor de respaldo</w:t>
            </w:r>
            <w:r>
              <w:t xml:space="preserve"> con acceso.</w:t>
            </w:r>
          </w:p>
        </w:tc>
      </w:tr>
      <w:tr>
        <w:tc>
          <w:tcPr>
            <w:tcW w:type="dxa" w:w="4680"/>
          </w:tcPr>
          <w:p>
            <w:r/>
            <w:r>
              <w:t>Cumplimiento formal (RGPD)</w:t>
            </w:r>
          </w:p>
        </w:tc>
        <w:tc>
          <w:tcPr>
            <w:tcW w:type="dxa" w:w="4680"/>
          </w:tcPr>
          <w:p>
            <w:r/>
            <w:r>
              <w:t xml:space="preserve">Política de privacidad y registro de la actividad </w:t>
            </w:r>
            <w:r>
              <w:rPr>
                <w:b/>
              </w:rPr>
              <w:t>con el Delegado de Protección de Datos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t>Contenido desactualizado</w:t>
            </w:r>
          </w:p>
        </w:tc>
        <w:tc>
          <w:tcPr>
            <w:tcW w:type="dxa" w:w="4680"/>
          </w:tcPr>
          <w:p>
            <w:r/>
            <w:r>
              <w:t>Procedimiento de actualización documentado y trazabilidad de versiones.</w:t>
            </w:r>
          </w:p>
        </w:tc>
      </w:tr>
      <w:tr>
        <w:tc>
          <w:tcPr>
            <w:tcW w:type="dxa" w:w="4680"/>
          </w:tcPr>
          <w:p>
            <w:r/>
            <w:r>
              <w:t>Encaje institucional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Decisión de Dirección</w:t>
            </w:r>
            <w:r>
              <w:t xml:space="preserve"> sobre el modelo de relación (ver punto 4).</w:t>
            </w:r>
          </w:p>
        </w:tc>
      </w:tr>
    </w:tbl>
    <w:p/>
    <w:p>
      <w:pPr>
        <w:spacing w:before="200" w:after="80"/>
      </w:pPr>
      <w:r>
        <w:rPr>
          <w:b/>
          <w:color w:val="C41E3A"/>
          <w:sz w:val="29"/>
        </w:rPr>
        <w:t>4. Decisión que solicitamos: modelo de relación</w:t>
      </w:r>
    </w:p>
    <w:p>
      <w:pPr>
        <w:jc w:val="both"/>
      </w:pPr>
      <w:r>
        <w:t xml:space="preserve">El Aviso Legal actual declara que HemoPocket </w:t>
      </w:r>
      <w:r>
        <w:rPr>
          <w:b/>
        </w:rPr>
        <w:t>no es un producto oficial del hospital</w:t>
      </w:r>
      <w:r>
        <w:t>. Si la institución desea respaldarla, conviene definir el marco:</w:t>
      </w:r>
    </w:p>
    <w:p>
      <w:pPr>
        <w:pStyle w:val="ListBullet"/>
      </w:pPr>
      <w:r>
        <w:rPr>
          <w:b/>
        </w:rPr>
        <w:t>Opción A — Reconocimiento de uso</w:t>
      </w:r>
      <w:r>
        <w:t xml:space="preserve"> </w:t>
      </w:r>
      <w:r>
        <w:rPr>
          <w:i/>
        </w:rPr>
        <w:t>(recomendada para iniciar)</w:t>
      </w:r>
      <w:r>
        <w:t>: el centro autoriza y recomienda su uso como herramienta de apoyo; la titularidad permanece en la autora. Implantación rápida y de bajo riesgo.</w:t>
      </w:r>
    </w:p>
    <w:p>
      <w:pPr>
        <w:pStyle w:val="ListBullet"/>
      </w:pPr>
      <w:r>
        <w:rPr>
          <w:b/>
        </w:rPr>
        <w:t>Opción B — Adopción institucional</w:t>
      </w:r>
      <w:r>
        <w:t>: el centro la asume como recurso propio, con acuerdo de cesión/licencia, gobernanza y mantenimiento corporativos. Mayor implicación; requeriría acuerdo de propiedad intelectual y encaje en los sistemas corporativos.</w:t>
      </w:r>
    </w:p>
    <w:p>
      <w:pPr>
        <w:spacing w:before="200" w:after="80"/>
      </w:pPr>
      <w:r>
        <w:rPr>
          <w:b/>
          <w:color w:val="C41E3A"/>
          <w:sz w:val="29"/>
        </w:rPr>
        <w:t>5. Solicitud a la Dirección Médica</w:t>
      </w:r>
    </w:p>
    <w:p>
      <w:pPr>
        <w:pStyle w:val="ListNumber"/>
      </w:pPr>
      <w:r>
        <w:rPr>
          <w:b/>
        </w:rPr>
        <w:t>Respaldo institucional</w:t>
      </w:r>
      <w:r>
        <w:t xml:space="preserve"> a HemoPocket como herramienta de apoyo del Servicio de Hematología.</w:t>
      </w:r>
    </w:p>
    <w:p>
      <w:pPr>
        <w:pStyle w:val="ListNumber"/>
      </w:pPr>
      <w:r>
        <w:rPr>
          <w:b/>
        </w:rPr>
        <w:t>Decisión sobre el modelo de relación</w:t>
      </w:r>
      <w:r>
        <w:t xml:space="preserve"> (Opción A o B).</w:t>
      </w:r>
    </w:p>
    <w:p>
      <w:pPr>
        <w:pStyle w:val="ListNumber"/>
      </w:pPr>
      <w:r>
        <w:rPr>
          <w:b/>
        </w:rPr>
        <w:t>Apoyo para las gestiones de cumplimiento</w:t>
      </w:r>
      <w:r>
        <w:t xml:space="preserve">: facilitar la interlocución con el </w:t>
      </w:r>
      <w:r>
        <w:rPr>
          <w:b/>
        </w:rPr>
        <w:t>Delegado de Protección de Datos</w:t>
      </w:r>
      <w:r>
        <w:t xml:space="preserve"> y con </w:t>
      </w:r>
      <w:r>
        <w:rPr>
          <w:b/>
        </w:rPr>
        <w:t>Sistemas de Información</w:t>
      </w:r>
      <w:r>
        <w:t>.</w:t>
      </w:r>
    </w:p>
    <w:p>
      <w:pPr>
        <w:jc w:val="both"/>
      </w:pPr>
      <w:r>
        <w:t>Quedo a su disposición para una presentación ejecutiva y una demostración de la herramienta.</w:t>
      </w:r>
    </w:p>
    <w:p>
      <w:pPr>
        <w:jc w:val="both"/>
      </w:pPr>
      <w:r>
        <w:t>Atentamente,</w:t>
      </w:r>
    </w:p>
    <w:p>
      <w:pPr>
        <w:jc w:val="both"/>
      </w:pPr>
      <w:r>
        <w:rPr>
          <w:b/>
        </w:rPr>
        <w:t>Dra. María Teresa Busnego Barreto</w:t>
      </w:r>
    </w:p>
    <w:p>
      <w:pPr>
        <w:jc w:val="both"/>
      </w:pPr>
      <w:r>
        <w:t>Facultativa Especialista en Hematología y Hemoterapia</w:t>
      </w:r>
    </w:p>
    <w:p>
      <w:pPr>
        <w:jc w:val="both"/>
      </w:pPr>
      <w:r>
        <w:t>Servicio de Hematología y Hemoterapia — HUNSC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HemoPocket · Dirección Médica   ·   Página </w:t>
    </w:r>
    <w:fldSimple w:instr="PAGE">
      <w:r>
        <w:rPr>
          <w:sz w:val="16"/>
        </w:rPr>
      </w:r>
    </w:fldSimple>
    <w:r>
      <w:rPr>
        <w:color w:val="666666"/>
        <w:sz w:val="16"/>
      </w:rPr>
      <w:t xml:space="preserve"> de </w:t>
    </w:r>
    <w:fldSimple w:instr="NUMPAGES">
      <w:r>
        <w:rPr>
          <w:sz w:val="16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