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C41E3A"/>
          <w:sz w:val="38"/>
        </w:rPr>
        <w:t>HemoPocket</w:t>
      </w:r>
    </w:p>
    <w:p>
      <w:pPr>
        <w:spacing w:before="200" w:after="80"/>
      </w:pPr>
      <w:r>
        <w:rPr>
          <w:b/>
          <w:color w:val="C41E3A"/>
          <w:sz w:val="29"/>
        </w:rPr>
        <w:t>Presentación de un proyecto de mejora de la calidad y solicitud de valoración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 la atención de</w:t>
            </w:r>
          </w:p>
        </w:tc>
        <w:tc>
          <w:tcPr>
            <w:tcW w:type="dxa" w:w="4680"/>
          </w:tcPr>
          <w:p>
            <w:r/>
            <w:r>
              <w:t>Comisión de Calidad — Hospital Universitario Ntra. Sra. de Candelaria (HUNSC)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Asunto</w:t>
            </w:r>
          </w:p>
        </w:tc>
        <w:tc>
          <w:tcPr>
            <w:tcW w:type="dxa" w:w="4680"/>
          </w:tcPr>
          <w:p>
            <w:r/>
            <w:r>
              <w:t>Valoración del proyecto "Implantación y evaluación de una herramienta de apoyo a la decisión clínica en Hematología"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Promotora / IP</w:t>
            </w:r>
          </w:p>
        </w:tc>
        <w:tc>
          <w:tcPr>
            <w:tcW w:type="dxa" w:w="4680"/>
          </w:tcPr>
          <w:p>
            <w:r/>
            <w:r>
              <w:t>Dra. María Teresa Busnego Barreto — F.E.A. Hematología y Hemoterapia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Documento adjunto</w:t>
            </w:r>
          </w:p>
        </w:tc>
        <w:tc>
          <w:tcPr>
            <w:tcW w:type="dxa" w:w="4680"/>
          </w:tcPr>
          <w:p>
            <w:r/>
            <w:r>
              <w:t>Protocolo de Investigación y Mejora de la Calidad (estructura estándar)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4680"/>
          </w:tcPr>
          <w:p>
            <w:r/>
            <w:r>
              <w:t>Santa Cruz de Tenerife, 9 de junio de 2026</w:t>
            </w:r>
          </w:p>
        </w:tc>
      </w:tr>
    </w:tbl>
    <w:p/>
    <w:p>
      <w:pPr>
        <w:spacing w:before="60" w:after="60"/>
      </w:pPr>
      <w:r>
        <w:rPr>
          <w:color w:val="BBBBBB"/>
        </w:rPr>
        <w:t>____________________________________________________________</w:t>
      </w:r>
    </w:p>
    <w:p>
      <w:pPr>
        <w:jc w:val="both"/>
      </w:pPr>
      <w:r>
        <w:t>Estimados miembros de la Comisión de Calidad:</w:t>
      </w:r>
    </w:p>
    <w:p>
      <w:pPr>
        <w:jc w:val="both"/>
      </w:pPr>
      <w:r>
        <w:t xml:space="preserve">Presento a esta Comisión el proyecto de mejora de la calidad </w:t>
      </w:r>
      <w:r>
        <w:rPr>
          <w:b/>
        </w:rPr>
        <w:t>«Implantación y evaluación de una herramienta de apoyo a la decisión clínica en Hematología»</w:t>
      </w:r>
      <w:r>
        <w:t xml:space="preserve">, cuyo protocolo completo se adjunta. La herramienta evaluada es </w:t>
      </w:r>
      <w:r>
        <w:rPr>
          <w:b/>
        </w:rPr>
        <w:t>HemoPocket</w:t>
      </w:r>
      <w:r>
        <w:t>, una guía de consulta rápida desarrollada desde el propio Servicio. Solicito su valoración y, en su caso, el aval para su desarrollo y para su tramitación ante el comité correspondiente.</w:t>
      </w:r>
    </w:p>
    <w:p>
      <w:pPr>
        <w:spacing w:before="60" w:after="60"/>
      </w:pPr>
      <w:r>
        <w:rPr>
          <w:color w:val="BBBBBB"/>
        </w:rPr>
        <w:t>____________________________________________________________</w:t>
      </w:r>
    </w:p>
    <w:p>
      <w:pPr>
        <w:spacing w:before="200" w:after="80"/>
      </w:pPr>
      <w:r>
        <w:rPr>
          <w:b/>
          <w:color w:val="C41E3A"/>
          <w:sz w:val="29"/>
        </w:rPr>
        <w:t>1. El proyecto en una línea</w:t>
      </w:r>
    </w:p>
    <w:p>
      <w:pPr>
        <w:jc w:val="both"/>
      </w:pPr>
      <w:r>
        <w:t xml:space="preserve">Evaluar, mediante un </w:t>
      </w:r>
      <w:r>
        <w:rPr>
          <w:b/>
        </w:rPr>
        <w:t>estudio de intervención antes-después</w:t>
      </w:r>
      <w:r>
        <w:t xml:space="preserve">, el impacto de implantar una herramienta de apoyo a la decisión clínica (HemoPocket) sobre la </w:t>
      </w:r>
      <w:r>
        <w:rPr>
          <w:b/>
        </w:rPr>
        <w:t>unificación de criterios</w:t>
      </w:r>
      <w:r>
        <w:t xml:space="preserve">, la </w:t>
      </w:r>
      <w:r>
        <w:rPr>
          <w:b/>
        </w:rPr>
        <w:t>seguridad</w:t>
      </w:r>
      <w:r>
        <w:t xml:space="preserve"> y la </w:t>
      </w:r>
      <w:r>
        <w:rPr>
          <w:b/>
        </w:rPr>
        <w:t>utilidad percibida</w:t>
      </w:r>
      <w:r>
        <w:t xml:space="preserve"> en el Servicio de Hematología.</w:t>
      </w:r>
    </w:p>
    <w:p>
      <w:pPr>
        <w:ind w:left="432"/>
      </w:pPr>
      <w:r>
        <w:rPr>
          <w:i/>
          <w:color w:val="666666"/>
        </w:rPr>
        <w:t xml:space="preserve">La herramienta es un </w:t>
      </w:r>
      <w:r>
        <w:rPr>
          <w:b/>
          <w:i/>
          <w:color w:val="666666"/>
        </w:rPr>
        <w:t>apoyo</w:t>
      </w:r>
      <w:r>
        <w:rPr>
          <w:i/>
          <w:color w:val="666666"/>
        </w:rPr>
        <w:t xml:space="preserve"> a la decisión: no es un dispositivo de diagnóstico ni de prescripción, </w:t>
      </w:r>
      <w:r>
        <w:rPr>
          <w:b/>
          <w:i/>
          <w:color w:val="666666"/>
        </w:rPr>
        <w:t>no sustituye</w:t>
      </w:r>
      <w:r>
        <w:rPr>
          <w:i/>
          <w:color w:val="666666"/>
        </w:rPr>
        <w:t xml:space="preserve"> el juicio del facultativo ni los protocolos del centro, y </w:t>
      </w:r>
      <w:r>
        <w:rPr>
          <w:b/>
          <w:i/>
          <w:color w:val="666666"/>
        </w:rPr>
        <w:t>no trata datos identificativos de pacientes</w:t>
      </w:r>
      <w:r>
        <w:rPr>
          <w:i/>
          <w:color w:val="666666"/>
        </w:rPr>
        <w:t>.</w:t>
      </w:r>
    </w:p>
    <w:p>
      <w:pPr>
        <w:spacing w:before="200" w:after="80"/>
      </w:pPr>
      <w:r>
        <w:rPr>
          <w:b/>
          <w:color w:val="C41E3A"/>
          <w:sz w:val="29"/>
        </w:rPr>
        <w:t>2. Problema de calidad y justificación</w:t>
      </w:r>
    </w:p>
    <w:p>
      <w:pPr>
        <w:jc w:val="both"/>
      </w:pPr>
      <w:r>
        <w:t xml:space="preserve">La información clínica en Hematología está </w:t>
      </w:r>
      <w:r>
        <w:rPr>
          <w:b/>
        </w:rPr>
        <w:t>fragmentada</w:t>
      </w:r>
      <w:r>
        <w:t xml:space="preserve"> y se </w:t>
      </w:r>
      <w:r>
        <w:rPr>
          <w:b/>
        </w:rPr>
        <w:t>actualiza con rapidez</w:t>
      </w:r>
      <w:r>
        <w:t xml:space="preserve"> (ELN, ESMO, NCCN, SEHH, GELTAMO, PETHEMA, ISTH, IMWG…). Esto favorece la </w:t>
      </w:r>
      <w:r>
        <w:rPr>
          <w:b/>
        </w:rPr>
        <w:t>variabilidad no justificada</w:t>
      </w:r>
      <w:r>
        <w:t xml:space="preserve">, el uso de </w:t>
      </w:r>
      <w:r>
        <w:rPr>
          <w:b/>
        </w:rPr>
        <w:t>versiones desactualizadas</w:t>
      </w:r>
      <w:r>
        <w:t xml:space="preserve"> y una elevada </w:t>
      </w:r>
      <w:r>
        <w:rPr>
          <w:b/>
        </w:rPr>
        <w:t>carga cognitiva</w:t>
      </w:r>
      <w:r>
        <w:t xml:space="preserve"> en urgencias. El proyecto aborda directamente estos problemas, alineándose con los objetivos de seguridad del paciente y de reducción de la variabilidad.</w:t>
      </w:r>
    </w:p>
    <w:p>
      <w:pPr>
        <w:spacing w:before="200" w:after="80"/>
      </w:pPr>
      <w:r>
        <w:rPr>
          <w:b/>
          <w:color w:val="C41E3A"/>
          <w:sz w:val="29"/>
        </w:rPr>
        <w:t>3. Diseño y evaluación (resumen del protocolo)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Elemento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Contenido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Diseño</w:t>
            </w:r>
          </w:p>
        </w:tc>
        <w:tc>
          <w:tcPr>
            <w:tcW w:type="dxa" w:w="4680"/>
          </w:tcPr>
          <w:p>
            <w:r/>
            <w:r>
              <w:t>Estudio de intervención cuasi-experimental, antes-después, sin grupo control.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Población</w:t>
            </w:r>
          </w:p>
        </w:tc>
        <w:tc>
          <w:tcPr>
            <w:tcW w:type="dxa" w:w="4680"/>
          </w:tcPr>
          <w:p>
            <w:r/>
            <w:r>
              <w:t>Facultativos y residentes del Servicio (muestreo censal).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Medición</w:t>
            </w:r>
          </w:p>
        </w:tc>
        <w:tc>
          <w:tcPr>
            <w:tcW w:type="dxa" w:w="4680"/>
          </w:tcPr>
          <w:p>
            <w:r/>
            <w:r>
              <w:t>Cuestionario estructurado basal, a los 6 y a los 12 meses, más registro de adopción.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Análisis</w:t>
            </w:r>
          </w:p>
        </w:tc>
        <w:tc>
          <w:tcPr>
            <w:tcW w:type="dxa" w:w="4680"/>
          </w:tcPr>
          <w:p>
            <w:r/>
            <w:r>
              <w:t>Descriptivo y bivariante pre-post (McNemar / Wilcoxon; p &lt; 0,05).</w:t>
            </w:r>
          </w:p>
        </w:tc>
      </w:tr>
    </w:tbl>
    <w:p/>
    <w:p>
      <w:pPr>
        <w:spacing w:before="200" w:after="80"/>
      </w:pPr>
      <w:r>
        <w:rPr>
          <w:b/>
          <w:color w:val="C41E3A"/>
          <w:sz w:val="29"/>
        </w:rPr>
        <w:t>4. Indicadores de calidad propuestos</w:t>
      </w:r>
    </w:p>
    <w:p>
      <w:pPr>
        <w:pStyle w:val="ListNumber"/>
      </w:pPr>
      <w:r>
        <w:rPr>
          <w:b/>
        </w:rPr>
        <w:t>Grado de adopción</w:t>
      </w:r>
      <w:r>
        <w:t>: cuentas activas y frecuencia de uso (sin telemetría; por privacidad, se mide por cuentas activas y autodeclaración).</w:t>
      </w:r>
    </w:p>
    <w:p>
      <w:pPr>
        <w:pStyle w:val="ListNumber"/>
      </w:pPr>
      <w:r>
        <w:rPr>
          <w:b/>
        </w:rPr>
        <w:t>Unificación de criterios</w:t>
      </w:r>
      <w:r>
        <w:t>: percepción de homogeneidad antes/después.</w:t>
      </w:r>
    </w:p>
    <w:p>
      <w:pPr>
        <w:pStyle w:val="ListNumber"/>
      </w:pPr>
      <w:r>
        <w:rPr>
          <w:b/>
        </w:rPr>
        <w:t>Seguridad</w:t>
      </w:r>
      <w:r>
        <w:t>: contribución percibida a la prevención de errores de cálculo y omisiones.</w:t>
      </w:r>
    </w:p>
    <w:p>
      <w:pPr>
        <w:pStyle w:val="ListNumber"/>
      </w:pPr>
      <w:r>
        <w:rPr>
          <w:b/>
        </w:rPr>
        <w:t>Eficiencia</w:t>
      </w:r>
      <w:r>
        <w:t>: percepción de ahorro de tiempo en el punto de atención.</w:t>
      </w:r>
    </w:p>
    <w:p>
      <w:pPr>
        <w:pStyle w:val="ListNumber"/>
      </w:pPr>
      <w:r>
        <w:rPr>
          <w:b/>
        </w:rPr>
        <w:t>Satisfacción / utilidad</w:t>
      </w:r>
      <w:r>
        <w:t xml:space="preserve"> del profesional y utilidad docente.</w:t>
      </w:r>
    </w:p>
    <w:p>
      <w:pPr>
        <w:pStyle w:val="ListNumber"/>
      </w:pPr>
      <w:r>
        <w:rPr>
          <w:b/>
        </w:rPr>
        <w:t>Incidencias</w:t>
      </w:r>
      <w:r>
        <w:t xml:space="preserve"> de seguridad o de protección de datos (objetivo: 0).</w:t>
      </w:r>
    </w:p>
    <w:p>
      <w:pPr>
        <w:spacing w:before="200" w:after="80"/>
      </w:pPr>
      <w:r>
        <w:rPr>
          <w:b/>
          <w:color w:val="C41E3A"/>
          <w:sz w:val="29"/>
        </w:rPr>
        <w:t>5. Garantías</w:t>
      </w:r>
    </w:p>
    <w:p>
      <w:pPr>
        <w:pStyle w:val="ListBullet"/>
      </w:pPr>
      <w:r>
        <w:rPr>
          <w:b/>
        </w:rPr>
        <w:t>Revisión clínica por pares</w:t>
      </w:r>
      <w:r>
        <w:t xml:space="preserve"> del propio Servicio (revisores por área).</w:t>
      </w:r>
    </w:p>
    <w:p>
      <w:pPr>
        <w:pStyle w:val="ListBullet"/>
      </w:pPr>
      <w:r>
        <w:rPr>
          <w:b/>
        </w:rPr>
        <w:t>Fuentes reconocidas</w:t>
      </w:r>
      <w:r>
        <w:t xml:space="preserve"> y con cita bibliográfica.</w:t>
      </w:r>
    </w:p>
    <w:p>
      <w:pPr>
        <w:pStyle w:val="ListBullet"/>
      </w:pPr>
      <w:r>
        <w:rPr>
          <w:b/>
        </w:rPr>
        <w:t>Aviso Legal y de privacidad</w:t>
      </w:r>
      <w:r>
        <w:t xml:space="preserve"> integrados, con aceptación en el primer uso.</w:t>
      </w:r>
    </w:p>
    <w:p>
      <w:pPr>
        <w:pStyle w:val="ListBullet"/>
      </w:pPr>
      <w:r>
        <w:rPr>
          <w:b/>
        </w:rPr>
        <w:t>Conflicto de interés declarado</w:t>
      </w:r>
      <w:r>
        <w:t>: la IP es la autora de la herramienta; se mitiga delegando la recogida y el análisis de los cuestionarios en un coinvestigador no autor.</w:t>
      </w:r>
    </w:p>
    <w:p>
      <w:pPr>
        <w:spacing w:before="200" w:after="80"/>
      </w:pPr>
      <w:r>
        <w:rPr>
          <w:b/>
          <w:color w:val="C41E3A"/>
          <w:sz w:val="29"/>
        </w:rPr>
        <w:t>6. Solicitud a la Comisión</w:t>
      </w:r>
    </w:p>
    <w:p>
      <w:pPr>
        <w:pStyle w:val="ListNumber"/>
      </w:pPr>
      <w:r>
        <w:rPr>
          <w:b/>
        </w:rPr>
        <w:t>Valorar y avalar</w:t>
      </w:r>
      <w:r>
        <w:t xml:space="preserve"> el proyecto y su protocolo como iniciativa de mejora de la calidad del Servicio.</w:t>
      </w:r>
    </w:p>
    <w:p>
      <w:pPr>
        <w:pStyle w:val="ListNumber"/>
      </w:pPr>
      <w:r>
        <w:rPr>
          <w:b/>
        </w:rPr>
        <w:t>Acordar el cuadro de indicadores</w:t>
      </w:r>
      <w:r>
        <w:t xml:space="preserve"> y la periodicidad de revisión.</w:t>
      </w:r>
    </w:p>
    <w:p>
      <w:pPr>
        <w:pStyle w:val="ListNumber"/>
      </w:pPr>
      <w:r>
        <w:rPr>
          <w:b/>
        </w:rPr>
        <w:t>Apoyar su tramitación</w:t>
      </w:r>
      <w:r>
        <w:t xml:space="preserve"> ante el CEIm y la interlocución con Sistemas de Información y con el Delegado de Protección de Datos.</w:t>
      </w:r>
    </w:p>
    <w:p>
      <w:pPr>
        <w:jc w:val="both"/>
      </w:pPr>
      <w:r>
        <w:t>Quedo a disposición de la Comisión para presentar el protocolo, realizar una demostración de la herramienta y aportar la documentación complementaria (memoria del proyecto y documento técnico).</w:t>
      </w:r>
    </w:p>
    <w:p>
      <w:pPr>
        <w:jc w:val="both"/>
      </w:pPr>
      <w:r>
        <w:t>Atentamente,</w:t>
      </w:r>
    </w:p>
    <w:p>
      <w:pPr>
        <w:jc w:val="both"/>
      </w:pPr>
      <w:r>
        <w:rPr>
          <w:b/>
        </w:rPr>
        <w:t>Dra. María Teresa Busnego Barreto</w:t>
      </w:r>
    </w:p>
    <w:p>
      <w:pPr>
        <w:jc w:val="both"/>
      </w:pPr>
      <w:r>
        <w:t>Facultativa Especialista en Hematología y Hemoterapia</w:t>
      </w:r>
    </w:p>
    <w:p>
      <w:pPr>
        <w:jc w:val="both"/>
      </w:pPr>
      <w:r>
        <w:t>Servicio de Hematología y Hemoterapia — HUNSC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HemoPocket · Comisión de Calidad   ·   Página </w:t>
    </w:r>
    <w:fldSimple w:instr="PAGE">
      <w:r>
        <w:rPr>
          <w:sz w:val="16"/>
        </w:rPr>
      </w:r>
    </w:fldSimple>
    <w:r>
      <w:rPr>
        <w:color w:val="666666"/>
        <w:sz w:val="16"/>
      </w:rPr>
      <w:t xml:space="preserve"> de </w:t>
    </w:r>
    <w:fldSimple w:instr="NUMPAGES">
      <w:r>
        <w:rPr>
          <w:sz w:val="16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