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41E3A"/>
          <w:sz w:val="38"/>
        </w:rPr>
        <w:t>HemoPocket</w:t>
      </w:r>
    </w:p>
    <w:p>
      <w:pPr>
        <w:spacing w:before="200" w:after="80"/>
      </w:pPr>
      <w:r>
        <w:rPr>
          <w:b/>
          <w:color w:val="C41E3A"/>
          <w:sz w:val="29"/>
        </w:rPr>
        <w:t>Invitación a participar en un proyecto de mejora de la calidad del Servicio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 la atención de</w:t>
            </w:r>
          </w:p>
        </w:tc>
        <w:tc>
          <w:tcPr>
            <w:tcW w:type="dxa" w:w="4680"/>
          </w:tcPr>
          <w:p>
            <w:r/>
            <w:r>
              <w:t>Jefatura de Servicio y Jefaturas de Sección — Servicio de Hematología y Hemoterapia (HUNSC)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Asunto</w:t>
            </w:r>
          </w:p>
        </w:tc>
        <w:tc>
          <w:tcPr>
            <w:tcW w:type="dxa" w:w="4680"/>
          </w:tcPr>
          <w:p>
            <w:r/>
            <w:r>
              <w:t>Participación en el proyecto "Implantación y evaluación de una herramienta de apoyo a la decisión clínica en Hematología"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Promotora / IP</w:t>
            </w:r>
          </w:p>
        </w:tc>
        <w:tc>
          <w:tcPr>
            <w:tcW w:type="dxa" w:w="4680"/>
          </w:tcPr>
          <w:p>
            <w:r/>
            <w:r>
              <w:t>Dra. María Teresa Busnego Barreto — F.E.A. Hematología y Hemoterapia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Documento adjunto</w:t>
            </w:r>
          </w:p>
        </w:tc>
        <w:tc>
          <w:tcPr>
            <w:tcW w:type="dxa" w:w="4680"/>
          </w:tcPr>
          <w:p>
            <w:r/>
            <w:r>
              <w:t>Protocolo de Investigación y Mejora de la Calidad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4680"/>
          </w:tcPr>
          <w:p>
            <w:r/>
            <w:r>
              <w:t>Santa Cruz de Tenerife, 9 de junio de 2026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jc w:val="both"/>
      </w:pPr>
      <w:r>
        <w:t>Estimado/a Jefe/a de Servicio y compañeros/as responsables de sección:</w:t>
      </w:r>
    </w:p>
    <w:p>
      <w:pPr>
        <w:jc w:val="both"/>
      </w:pPr>
      <w:r>
        <w:t xml:space="preserve">Os presento el proyecto de mejora de la calidad </w:t>
      </w:r>
      <w:r>
        <w:rPr>
          <w:b/>
        </w:rPr>
        <w:t>«Implantación y evaluación de una herramienta de apoyo a la decisión clínica en Hematología»</w:t>
      </w:r>
      <w:r>
        <w:t xml:space="preserve"> (protocolo adjunto), que evalúa la herramienta </w:t>
      </w:r>
      <w:r>
        <w:rPr>
          <w:b/>
        </w:rPr>
        <w:t>HemoPocket</w:t>
      </w:r>
      <w:r>
        <w:t xml:space="preserve"> que muchos ya venís utilizando. Os invito a </w:t>
      </w:r>
      <w:r>
        <w:rPr>
          <w:b/>
        </w:rPr>
        <w:t>participar y a respaldarlo</w:t>
      </w:r>
      <w:r>
        <w:t xml:space="preserve"> desde el Servicio antes de su presentación a las comisiones del hospital.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1. Qué proponemos y por qué nos interesa</w:t>
      </w:r>
    </w:p>
    <w:p>
      <w:pPr>
        <w:jc w:val="both"/>
      </w:pPr>
      <w:r>
        <w:t xml:space="preserve">Medir, de forma estructurada (estudio </w:t>
      </w:r>
      <w:r>
        <w:rPr>
          <w:b/>
        </w:rPr>
        <w:t>antes-después</w:t>
      </w:r>
      <w:r>
        <w:t xml:space="preserve">), si disponer de una herramienta común mejora la </w:t>
      </w:r>
      <w:r>
        <w:rPr>
          <w:b/>
        </w:rPr>
        <w:t>unificación de criterios</w:t>
      </w:r>
      <w:r>
        <w:t xml:space="preserve">, la </w:t>
      </w:r>
      <w:r>
        <w:rPr>
          <w:b/>
        </w:rPr>
        <w:t>seguridad</w:t>
      </w:r>
      <w:r>
        <w:t xml:space="preserve"> y la </w:t>
      </w:r>
      <w:r>
        <w:rPr>
          <w:b/>
        </w:rPr>
        <w:t>eficiencia</w:t>
      </w:r>
      <w:r>
        <w:t xml:space="preserve"> en nuestra práctica. La herramienta está organizada </w:t>
      </w:r>
      <w:r>
        <w:rPr>
          <w:b/>
        </w:rPr>
        <w:t>por las mismas secciones con las que trabajamos</w:t>
      </w:r>
      <w:r>
        <w:t xml:space="preserve"> (infecciones, trombosis y hemostasia, banco de sangre, terapia celular, citopenias, leucemias agudas, mieloide crónica, mieloma, linfomas, LLC, pediatría, citodiagnóstico…) e incluye el listín telefónico interno y el repositorio de guías.</w:t>
      </w:r>
    </w:p>
    <w:p>
      <w:pPr>
        <w:ind w:left="432"/>
      </w:pPr>
      <w:r>
        <w:rPr>
          <w:i/>
          <w:color w:val="666666"/>
        </w:rPr>
        <w:t xml:space="preserve">Su valor para nosotros: que </w:t>
      </w:r>
      <w:r>
        <w:rPr>
          <w:b/>
          <w:i/>
          <w:color w:val="666666"/>
        </w:rPr>
        <w:t>todos trabajemos con la misma versión y los mismos criterios</w:t>
      </w:r>
      <w:r>
        <w:rPr>
          <w:i/>
          <w:color w:val="666666"/>
        </w:rPr>
        <w:t>, y disponer de evidencia local que lo respalde ante el hospital.</w:t>
      </w:r>
    </w:p>
    <w:p>
      <w:pPr>
        <w:spacing w:before="200" w:after="80"/>
      </w:pPr>
      <w:r>
        <w:rPr>
          <w:b/>
          <w:color w:val="C41E3A"/>
          <w:sz w:val="29"/>
        </w:rPr>
        <w:t>2. Lo que os pido concretamente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Encaje en el proyecto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Respaldo del Servicio</w:t>
            </w:r>
            <w:r>
              <w:t xml:space="preserve"> al proyecto y a la herramienta</w:t>
            </w:r>
          </w:p>
        </w:tc>
        <w:tc>
          <w:tcPr>
            <w:tcW w:type="dxa" w:w="3120"/>
          </w:tcPr>
          <w:p>
            <w:r/>
            <w:r>
              <w:t>Requisito para presentarlo a las comisiones.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Confirmar/designar el revisor-responsable de cada sección</w:t>
            </w:r>
          </w:p>
        </w:tc>
        <w:tc>
          <w:tcPr>
            <w:tcW w:type="dxa" w:w="3120"/>
          </w:tcPr>
          <w:p>
            <w:r/>
            <w:r>
              <w:t>Gobernanza del contenido (comité editorial).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Participar como coinvestigadores/colaboradores</w:t>
            </w:r>
          </w:p>
        </w:tc>
        <w:tc>
          <w:tcPr>
            <w:tcW w:type="dxa" w:w="3120"/>
          </w:tcPr>
          <w:p>
            <w:r/>
            <w:r>
              <w:t>Diseño, revisión y difusión de resultados.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Designar un mantenedor de respaldo</w:t>
            </w:r>
            <w:r>
              <w:t xml:space="preserve"> con acceso</w:t>
            </w:r>
          </w:p>
        </w:tc>
        <w:tc>
          <w:tcPr>
            <w:tcW w:type="dxa" w:w="3120"/>
          </w:tcPr>
          <w:p>
            <w:r/>
            <w:r>
              <w:t>Sostenibilidad (no depender de una sola persona).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Cumplimentar el cuestionario</w:t>
            </w:r>
            <w:r>
              <w:t xml:space="preserve"> basal y de seguimiento</w:t>
            </w:r>
          </w:p>
        </w:tc>
        <w:tc>
          <w:tcPr>
            <w:tcW w:type="dxa" w:w="3120"/>
          </w:tcPr>
          <w:p>
            <w:r/>
            <w:r>
              <w:t>Recogida de datos del estudio (Anexo I del protocolo).</w:t>
            </w:r>
          </w:p>
        </w:tc>
      </w:tr>
    </w:tbl>
    <w:p/>
    <w:p>
      <w:pPr>
        <w:spacing w:before="200" w:after="80"/>
      </w:pPr>
      <w:r>
        <w:rPr>
          <w:b/>
          <w:color w:val="C41E3A"/>
          <w:sz w:val="29"/>
        </w:rPr>
        <w:t>3. Gobernanza por secciones (propuesta)</w:t>
      </w:r>
    </w:p>
    <w:p>
      <w:pPr>
        <w:pStyle w:val="ListBullet"/>
      </w:pPr>
      <w:r>
        <w:rPr>
          <w:b/>
        </w:rPr>
        <w:t>Comité editorial del Servicio</w:t>
      </w:r>
      <w:r>
        <w:t xml:space="preserve">, coordinado por la promotora, con un </w:t>
      </w:r>
      <w:r>
        <w:rPr>
          <w:b/>
        </w:rPr>
        <w:t>responsable por sección</w:t>
      </w:r>
      <w:r>
        <w:t>.</w:t>
      </w:r>
    </w:p>
    <w:p>
      <w:pPr>
        <w:pStyle w:val="ListBullet"/>
      </w:pPr>
      <w:r>
        <w:rPr>
          <w:b/>
        </w:rPr>
        <w:t>Procedimiento de actualización (SOP)</w:t>
      </w:r>
      <w:r>
        <w:t xml:space="preserve"> documentado: quién revisa, con qué periodicidad y cómo se valida y comunica cada cambio.</w:t>
      </w:r>
    </w:p>
    <w:p>
      <w:pPr>
        <w:pStyle w:val="ListBullet"/>
      </w:pPr>
      <w:r>
        <w:rPr>
          <w:b/>
        </w:rPr>
        <w:t>Declaración de conflictos de interés</w:t>
      </w:r>
      <w:r>
        <w:t xml:space="preserve"> de los revisores.</w:t>
      </w:r>
    </w:p>
    <w:p>
      <w:pPr>
        <w:spacing w:before="200" w:after="80"/>
      </w:pPr>
      <w:r>
        <w:rPr>
          <w:b/>
          <w:color w:val="C41E3A"/>
          <w:sz w:val="29"/>
        </w:rPr>
        <w:t>4. Transparencia</w:t>
      </w:r>
    </w:p>
    <w:p>
      <w:pPr>
        <w:pStyle w:val="ListBullet"/>
      </w:pPr>
      <w:r>
        <w:t xml:space="preserve">La herramienta </w:t>
      </w:r>
      <w:r>
        <w:rPr>
          <w:b/>
        </w:rPr>
        <w:t>no es un producto oficial del hospital</w:t>
      </w:r>
      <w:r>
        <w:t xml:space="preserve"> (proyecto de innovación clínica); por eso solicito primero el respaldo del Servicio.</w:t>
      </w:r>
    </w:p>
    <w:p>
      <w:pPr>
        <w:pStyle w:val="ListBullet"/>
      </w:pPr>
      <w:r>
        <w:rPr>
          <w:b/>
        </w:rPr>
        <w:t>Conflicto de interés</w:t>
      </w:r>
      <w:r>
        <w:t xml:space="preserve">: como promotora soy la autora de la herramienta y la IP del estudio. Para minimizar el sesgo, la </w:t>
      </w:r>
      <w:r>
        <w:rPr>
          <w:b/>
        </w:rPr>
        <w:t>recogida y el análisis de los cuestionarios</w:t>
      </w:r>
      <w:r>
        <w:t xml:space="preserve"> los gestionará un coinvestigador no autor.</w:t>
      </w:r>
    </w:p>
    <w:p>
      <w:pPr>
        <w:pStyle w:val="ListBullet"/>
      </w:pPr>
      <w:r>
        <w:t xml:space="preserve">La herramienta </w:t>
      </w:r>
      <w:r>
        <w:rPr>
          <w:b/>
        </w:rPr>
        <w:t>no trata datos de pacientes</w:t>
      </w:r>
      <w:r>
        <w:t xml:space="preserve"> y </w:t>
      </w:r>
      <w:r>
        <w:rPr>
          <w:b/>
        </w:rPr>
        <w:t>no incorpora telemetría</w:t>
      </w:r>
      <w:r>
        <w:t>; la adopción se medirá por cuentas activas y autodeclaración.</w:t>
      </w:r>
    </w:p>
    <w:p>
      <w:pPr>
        <w:spacing w:before="200" w:after="80"/>
      </w:pPr>
      <w:r>
        <w:rPr>
          <w:b/>
          <w:color w:val="C41E3A"/>
          <w:sz w:val="29"/>
        </w:rPr>
        <w:t>5. Áreas y revisores actuales (a confirmar)</w:t>
      </w:r>
    </w:p>
    <w:p>
      <w:pPr>
        <w:jc w:val="both"/>
      </w:pPr>
      <w:r>
        <w:t xml:space="preserve">La herramienta ya recoge los revisores por área en su apartado "Equipo" y en el Aviso Legal. Os pediré únicamente </w:t>
      </w:r>
      <w:r>
        <w:rPr>
          <w:b/>
        </w:rPr>
        <w:t>confirmar o corregir</w:t>
      </w:r>
      <w:r>
        <w:t xml:space="preserve"> quién es el responsable de cada sección, para reflejarlo en el acta del comité editorial y en el protocolo.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jc w:val="both"/>
      </w:pPr>
      <w:r>
        <w:t>Quedo a vuestra disposición para una sesión breve del Servicio donde mostrar la herramienta y el protocolo, y recoger vuestras aportaciones.</w:t>
      </w:r>
    </w:p>
    <w:p>
      <w:pPr>
        <w:jc w:val="both"/>
      </w:pPr>
      <w:r>
        <w:t>Un cordial saludo,</w:t>
      </w:r>
    </w:p>
    <w:p>
      <w:pPr>
        <w:jc w:val="both"/>
      </w:pPr>
      <w:r>
        <w:rPr>
          <w:b/>
        </w:rPr>
        <w:t>Dra. María Teresa Busnego Barreto</w:t>
      </w:r>
    </w:p>
    <w:p>
      <w:pPr>
        <w:jc w:val="both"/>
      </w:pPr>
      <w:r>
        <w:t>Facultativa Especialista en Hematología y Hemoterapia</w:t>
      </w:r>
    </w:p>
    <w:p>
      <w:pPr>
        <w:jc w:val="both"/>
      </w:pPr>
      <w:r>
        <w:t>Servicio de Hematología y Hemoterapia — HUNSC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HemoPocket · Servicio de Hematología   ·   Página </w:t>
    </w:r>
    <w:fldSimple w:instr="PAGE">
      <w:r>
        <w:rPr>
          <w:sz w:val="16"/>
        </w:rPr>
      </w:r>
    </w:fldSimple>
    <w:r>
      <w:rPr>
        <w:color w:val="666666"/>
        <w:sz w:val="16"/>
      </w:rPr>
      <w:t xml:space="preserve"> de </w:t>
    </w:r>
    <w:fldSimple w:instr="NUMPAGES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