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C41E3A"/>
          <w:sz w:val="38"/>
        </w:rPr>
        <w:t>Proyecto de Investigación y Mejora de la Calidad</w:t>
      </w:r>
    </w:p>
    <w:p>
      <w:pPr>
        <w:spacing w:before="200" w:after="80"/>
      </w:pPr>
      <w:r>
        <w:rPr>
          <w:b/>
          <w:color w:val="C41E3A"/>
          <w:sz w:val="29"/>
        </w:rPr>
        <w:t>Título</w:t>
      </w:r>
    </w:p>
    <w:p>
      <w:pPr>
        <w:jc w:val="both"/>
      </w:pPr>
      <w:r>
        <w:rPr>
          <w:b/>
        </w:rPr>
        <w:t>Implantación y evaluación de una herramienta de apoyo a la decisión clínica en Hematología</w:t>
      </w:r>
    </w:p>
    <w:p>
      <w:pPr>
        <w:spacing w:before="200" w:after="80"/>
      </w:pPr>
      <w:r>
        <w:rPr>
          <w:b/>
          <w:color w:val="C41E3A"/>
          <w:sz w:val="29"/>
        </w:rPr>
        <w:t>Investigador principal</w:t>
      </w:r>
    </w:p>
    <w:p>
      <w:pPr>
        <w:jc w:val="both"/>
      </w:pPr>
      <w:r>
        <w:t>Dra. María Teresa Busnego Barreto (IP). Facultativa Especialista en Hematología y Hemoterapia. Servicio de Hematología y Hemoterapia, Hospital Universitario Ntra. Sra. de Candelaria (HUNSC). ______@________</w:t>
      </w:r>
    </w:p>
    <w:p>
      <w:pPr>
        <w:ind w:left="432"/>
      </w:pPr>
      <w:r>
        <w:rPr>
          <w:b/>
          <w:i/>
          <w:color w:val="666666"/>
        </w:rPr>
        <w:t>Declaración de conflicto de interés:</w:t>
      </w:r>
      <w:r>
        <w:rPr>
          <w:i/>
          <w:color w:val="666666"/>
        </w:rPr>
        <w:t xml:space="preserve"> la IP es la autora de la herramienta evaluada (HemoPocket). Este extremo se declara expresamente y se aborda en las consideraciones éticas y en las limitaciones del estudio.</w:t>
      </w:r>
    </w:p>
    <w:p>
      <w:pPr>
        <w:spacing w:before="200" w:after="80"/>
      </w:pPr>
      <w:r>
        <w:rPr>
          <w:b/>
          <w:color w:val="C41E3A"/>
          <w:sz w:val="29"/>
        </w:rPr>
        <w:t>Co-investigadores</w:t>
      </w:r>
    </w:p>
    <w:p>
      <w:pPr>
        <w:pStyle w:val="ListBullet"/>
      </w:pPr>
      <w:r>
        <w:t>____________________ (coIP). F.E.A. Hematología y Hemoterapia. Servicio de Hematología, HUNSC. ______@________</w:t>
      </w:r>
    </w:p>
    <w:p>
      <w:pPr>
        <w:pStyle w:val="ListBullet"/>
      </w:pPr>
      <w:r>
        <w:t>____________________ (coIP). F.E.A. Hematología y Hemoterapia. Servicio de Hematología, HUNSC. ______@________</w:t>
      </w:r>
    </w:p>
    <w:p>
      <w:pPr>
        <w:pStyle w:val="ListBullet"/>
      </w:pPr>
      <w:r>
        <w:t>____________________. Médico/a Interno/a Residente de Hematología y Hemoterapia. HUNSC. ______@________</w:t>
      </w:r>
    </w:p>
    <w:p>
      <w:pPr>
        <w:pStyle w:val="ListBullet"/>
      </w:pPr>
      <w:r>
        <w:t>(Revisores clínicos por área del Servicio, acreditados en la herramienta — relación en Anexo III.)</w:t>
      </w:r>
    </w:p>
    <w:p>
      <w:pPr>
        <w:spacing w:before="200" w:after="80"/>
      </w:pPr>
      <w:r>
        <w:rPr>
          <w:b/>
          <w:color w:val="C41E3A"/>
          <w:sz w:val="29"/>
        </w:rPr>
        <w:t>Resumen estructurado</w:t>
      </w:r>
    </w:p>
    <w:p>
      <w:pPr>
        <w:jc w:val="both"/>
      </w:pPr>
      <w:r>
        <w:rPr>
          <w:b/>
        </w:rPr>
        <w:t>Introducción:</w:t>
      </w:r>
      <w:r>
        <w:t xml:space="preserve"> la información clínica en Hematología está fragmentada y se actualiza con rapidez, lo que favorece la variabilidad no justificada y el uso de versiones desactualizadas. Las herramientas de apoyo a la decisión clínica (en adelante, HADC) pueden mitigar estos problemas.</w:t>
      </w:r>
    </w:p>
    <w:p>
      <w:pPr>
        <w:jc w:val="both"/>
      </w:pPr>
      <w:r>
        <w:rPr>
          <w:b/>
        </w:rPr>
        <w:t>Objetivos:</w:t>
      </w:r>
      <w:r>
        <w:t xml:space="preserve"> evaluar el impacto de la implantación de una HADC propia (HemoPocket) en la unificación de criterios, la utilidad percibida y la práctica del Servicio de Hematología.</w:t>
      </w:r>
    </w:p>
    <w:p>
      <w:pPr>
        <w:jc w:val="both"/>
      </w:pPr>
      <w:r>
        <w:rPr>
          <w:b/>
        </w:rPr>
        <w:t>Material y métodos:</w:t>
      </w:r>
      <w:r>
        <w:t xml:space="preserve"> estudio de intervención cuasi-experimental antes-después, sin grupo control, de mejora de la calidad asistencial. Población: facultativos y residentes del Servicio. Recogida mediante cuestionario estructurado pre-implantación y a los 6 y 12 meses, y registro de cuentas activas. Análisis descriptivo y bivariante pre-post.</w:t>
      </w:r>
    </w:p>
    <w:p>
      <w:pPr>
        <w:jc w:val="both"/>
      </w:pPr>
      <w:r>
        <w:rPr>
          <w:b/>
        </w:rPr>
        <w:t>Resultados esperados:</w:t>
      </w:r>
      <w:r>
        <w:t xml:space="preserve"> adopción elevada, mejora percibida en la unificación de criterios y en la seguridad de los cálculos, y alta satisfacción de los profesionales.</w:t>
      </w:r>
    </w:p>
    <w:p>
      <w:pPr>
        <w:jc w:val="both"/>
      </w:pPr>
      <w:r>
        <w:rPr>
          <w:b/>
        </w:rPr>
        <w:t>Palabras clave:</w:t>
      </w:r>
      <w:r>
        <w:t xml:space="preserve"> apoyo a la decisión clínica; hematología; variabilidad de la práctica clínica; calidad asistencial; seguridad del paciente.</w:t>
      </w:r>
    </w:p>
    <w:p>
      <w:pPr>
        <w:spacing w:before="200" w:after="80"/>
      </w:pPr>
      <w:r>
        <w:rPr>
          <w:b/>
          <w:color w:val="C41E3A"/>
          <w:sz w:val="29"/>
        </w:rPr>
        <w:t>Introducción</w:t>
      </w:r>
    </w:p>
    <w:p>
      <w:pPr>
        <w:jc w:val="both"/>
      </w:pPr>
      <w:r>
        <w:t>La práctica clínica en Hematología se caracteriza por una elevada especialización por subáreas y por una actualización muy frecuente de las clasificaciones y recomendaciones de las principales sociedades científicas (ELN, ESMO, NCCN, SEHH, GELTAMO, PETHEMA, ISTH, IMWG, entre otras). En la actividad asistencial diaria, la información de consulta (algoritmos, escalas pronósticas, calculadoras, criterios diagnósticos y protocolos) suele encontrarse dispersa en distintos soportes (documentos en red, formato papel y recursos externos), lo que dificulta disponer de la versión vigente en el punto de atención.</w:t>
      </w:r>
    </w:p>
    <w:p>
      <w:pPr>
        <w:jc w:val="both"/>
      </w:pPr>
      <w:r>
        <w:t>Esta fragmentación se asocia a tres problemas: variabilidad no justificada entre profesionales y turnos, uso ocasional de versiones desactualizadas, y una elevada carga cognitiva en situaciones urgentes (neutropenia febril, microangiopatías trombóticas, síndrome de liberación de citoquinas y neurotoxicidad asociados a terapia celular, reversión de la anticoagulación o lisis tumoral, entre otras).</w:t>
      </w:r>
    </w:p>
    <w:p>
      <w:pPr>
        <w:jc w:val="both"/>
      </w:pPr>
      <w:r>
        <w:t>Las herramientas de apoyo a la decisión clínica han demostrado capacidad para mejorar la adherencia a las recomendaciones y reducir errores, especialmente cuando se integran en el flujo de trabajo y ofrecen información en el momento de la atención. En este contexto se ha desarrollado, desde el propio Servicio, una HADC de consulta rápida (HemoPocket) que reúne ese conocimiento en un único recurso, curado, revisado por pares, versionado y disponible incluso sin conexión. Se desconoce su impacto real sobre la práctica del Servicio, por lo que se plantea su evaluación estructurada.</w:t>
      </w:r>
    </w:p>
    <w:p>
      <w:pPr>
        <w:jc w:val="both"/>
      </w:pPr>
      <w:r>
        <w:t>La pregunta de investigación es: ¿en qué medida la implantación de una HADC propia mejora la unificación de criterios y resulta útil para los profesionales del Servicio de Hematología?</w:t>
      </w:r>
    </w:p>
    <w:p>
      <w:pPr>
        <w:spacing w:before="200" w:after="80"/>
      </w:pPr>
      <w:r>
        <w:rPr>
          <w:b/>
          <w:color w:val="C41E3A"/>
          <w:sz w:val="29"/>
        </w:rPr>
        <w:t>Objetivos</w:t>
      </w:r>
    </w:p>
    <w:p>
      <w:pPr>
        <w:jc w:val="both"/>
      </w:pPr>
      <w:r>
        <w:rPr>
          <w:b/>
        </w:rPr>
        <w:t>Objetivo principal:</w:t>
      </w:r>
    </w:p>
    <w:p>
      <w:pPr>
        <w:pStyle w:val="ListBullet"/>
      </w:pPr>
      <w:r>
        <w:t>Evaluar el impacto de la implantación de una HADC propia (HemoPocket) sobre la unificación de criterios y la utilidad percibida por los profesionales del Servicio de Hematología.</w:t>
      </w:r>
    </w:p>
    <w:p>
      <w:pPr>
        <w:jc w:val="both"/>
      </w:pPr>
      <w:r>
        <w:rPr>
          <w:b/>
        </w:rPr>
        <w:t>Objetivos específicos:</w:t>
      </w:r>
    </w:p>
    <w:p>
      <w:pPr>
        <w:pStyle w:val="ListBullet"/>
      </w:pPr>
      <w:r>
        <w:t>Determinar el grado de adopción de la herramienta entre los profesionales del Servicio.</w:t>
      </w:r>
    </w:p>
    <w:p>
      <w:pPr>
        <w:pStyle w:val="ListBullet"/>
      </w:pPr>
      <w:r>
        <w:t>Medir la utilidad percibida y la satisfacción de los profesionales con la herramienta.</w:t>
      </w:r>
    </w:p>
    <w:p>
      <w:pPr>
        <w:pStyle w:val="ListBullet"/>
      </w:pPr>
      <w:r>
        <w:t>Analizar la percepción de unificación de criterios antes y después de la implantación.</w:t>
      </w:r>
    </w:p>
    <w:p>
      <w:pPr>
        <w:pStyle w:val="ListBullet"/>
      </w:pPr>
      <w:r>
        <w:t>Estimar la contribución percibida a la prevención de errores de cálculo y de omisiones.</w:t>
      </w:r>
    </w:p>
    <w:p>
      <w:pPr>
        <w:pStyle w:val="ListBullet"/>
      </w:pPr>
      <w:r>
        <w:t>Valorar la percepción de ahorro de tiempo en la consulta en el punto de atención.</w:t>
      </w:r>
    </w:p>
    <w:p>
      <w:pPr>
        <w:jc w:val="both"/>
      </w:pPr>
      <w:r>
        <w:rPr>
          <w:b/>
        </w:rPr>
        <w:t>Objetivos secundarios:</w:t>
      </w:r>
    </w:p>
    <w:p>
      <w:pPr>
        <w:pStyle w:val="ListBullet"/>
      </w:pPr>
      <w:r>
        <w:t>Describir la utilidad percibida como recurso docente por parte de los residentes.</w:t>
      </w:r>
    </w:p>
    <w:p>
      <w:pPr>
        <w:pStyle w:val="ListBullet"/>
      </w:pPr>
      <w:r>
        <w:t>Identificar áreas de mejora y nuevas funcionalidades demandadas por los usuarios.</w:t>
      </w:r>
    </w:p>
    <w:p>
      <w:pPr>
        <w:spacing w:before="200" w:after="80"/>
      </w:pPr>
      <w:r>
        <w:rPr>
          <w:b/>
          <w:color w:val="C41E3A"/>
          <w:sz w:val="29"/>
        </w:rPr>
        <w:t>Metodología</w:t>
      </w:r>
    </w:p>
    <w:p>
      <w:pPr>
        <w:jc w:val="both"/>
      </w:pPr>
      <w:r>
        <w:rPr>
          <w:b/>
        </w:rPr>
        <w:t>Diseño de estudio:</w:t>
      </w:r>
      <w:r>
        <w:t xml:space="preserve"> estudio de intervención cuasi-experimental, antes-después (pre-post), sin grupo control, de mejora de la calidad asistencial, con componente cuantitativo y cualitativo.</w:t>
      </w:r>
    </w:p>
    <w:p>
      <w:pPr>
        <w:jc w:val="both"/>
      </w:pPr>
      <w:r>
        <w:rPr>
          <w:b/>
        </w:rPr>
        <w:t>Periodo de estudio:</w:t>
      </w:r>
      <w:r>
        <w:t xml:space="preserve"> 12 meses (p. ej., enero a diciembre de 2027).</w:t>
      </w:r>
    </w:p>
    <w:p>
      <w:pPr>
        <w:jc w:val="both"/>
      </w:pPr>
      <w:r>
        <w:rPr>
          <w:b/>
        </w:rPr>
        <w:t>Población de referencia:</w:t>
      </w:r>
      <w:r>
        <w:t xml:space="preserve"> profesionales del Servicio de Hematología y Hemoterapia del HUNSC.</w:t>
      </w:r>
    </w:p>
    <w:p>
      <w:pPr>
        <w:jc w:val="both"/>
      </w:pPr>
      <w:r>
        <w:rPr>
          <w:b/>
        </w:rPr>
        <w:t>Población de estudio:</w:t>
      </w:r>
      <w:r>
        <w:t xml:space="preserve"> facultativos especialistas y médicos residentes del Servicio que desarrollen actividad asistencial durante el periodo de estudio.</w:t>
      </w:r>
    </w:p>
    <w:p>
      <w:pPr>
        <w:spacing w:before="140"/>
      </w:pPr>
      <w:r>
        <w:rPr>
          <w:b/>
          <w:color w:val="C41E3A"/>
          <w:sz w:val="24"/>
        </w:rPr>
        <w:t>Criterios de inclusión y exclusión</w:t>
      </w:r>
    </w:p>
    <w:p>
      <w:pPr>
        <w:jc w:val="both"/>
      </w:pPr>
      <w:r>
        <w:rPr>
          <w:b/>
        </w:rPr>
        <w:t>Criterios de inclusión:</w:t>
      </w:r>
    </w:p>
    <w:p>
      <w:pPr>
        <w:pStyle w:val="ListBullet"/>
      </w:pPr>
      <w:r>
        <w:t>Facultativos especialistas y residentes adscritos al Servicio de Hematología del HUNSC durante el periodo de estudio.</w:t>
      </w:r>
    </w:p>
    <w:p>
      <w:pPr>
        <w:pStyle w:val="ListBullet"/>
      </w:pPr>
      <w:r>
        <w:t>Aceptación de la participación voluntaria en la encuesta.</w:t>
      </w:r>
    </w:p>
    <w:p>
      <w:pPr>
        <w:jc w:val="both"/>
      </w:pPr>
      <w:r>
        <w:rPr>
          <w:b/>
        </w:rPr>
        <w:t>Criterios de exclusión:</w:t>
      </w:r>
    </w:p>
    <w:p>
      <w:pPr>
        <w:pStyle w:val="ListBullet"/>
      </w:pPr>
      <w:r>
        <w:t>Ausencia prolongada durante el periodo de estudio que impida el uso de la herramienta y la cumplimentación de los cuestionarios.</w:t>
      </w:r>
    </w:p>
    <w:p>
      <w:pPr>
        <w:spacing w:before="140"/>
      </w:pPr>
      <w:r>
        <w:rPr>
          <w:b/>
          <w:color w:val="C41E3A"/>
          <w:sz w:val="24"/>
        </w:rPr>
        <w:t>Variables de estudio</w:t>
      </w:r>
    </w:p>
    <w:p>
      <w:pPr>
        <w:jc w:val="both"/>
      </w:pPr>
      <w:r>
        <w:rPr>
          <w:b/>
        </w:rPr>
        <w:t>Variable dependiente:</w:t>
      </w:r>
      <w:r>
        <w:t xml:space="preserve"> indicadores de resultado de la implantación: grado de adopción (cuentas activas y frecuencia de uso autodeclarada), utilidad percibida y satisfacción (escala tipo Likert de 1 a 5), percepción de unificación de criterios (Likert), contribución percibida a la prevención de errores de cálculo y omisiones (Likert), y percepción de ahorro de tiempo (Likert).</w:t>
      </w:r>
    </w:p>
    <w:p>
      <w:pPr>
        <w:jc w:val="both"/>
      </w:pPr>
      <w:r>
        <w:rPr>
          <w:b/>
        </w:rPr>
        <w:t>Variable independiente:</w:t>
      </w:r>
      <w:r>
        <w:t xml:space="preserve"> uso de la herramienta (sí/no y frecuencia), y variables de caracterización del profesional: categoría (especialista/residente), años de experiencia, sección o área de actividad y dispositivo de uso.</w:t>
      </w:r>
    </w:p>
    <w:p>
      <w:pPr>
        <w:spacing w:before="140"/>
      </w:pPr>
      <w:r>
        <w:rPr>
          <w:b/>
          <w:color w:val="C41E3A"/>
          <w:sz w:val="24"/>
        </w:rPr>
        <w:t>Tamaño y cálculo de la muestra</w:t>
      </w:r>
    </w:p>
    <w:p>
      <w:pPr>
        <w:jc w:val="both"/>
      </w:pPr>
      <w:r>
        <w:t xml:space="preserve">Dado que la población diana es finita y de tamaño reducido (la plantilla del Servicio), se opta por un </w:t>
      </w:r>
      <w:r>
        <w:rPr>
          <w:b/>
        </w:rPr>
        <w:t>muestreo censal/consecutivo</w:t>
      </w:r>
      <w:r>
        <w:t>, incluyendo a la totalidad de los profesionales que cumplan los criterios (N ≈ ____). No se realiza cálculo de muestra para contraste de hipótesis, al tratarse de un estudio descriptivo-analítico de ámbito local; prima la representatividad sobre el tamaño.</w:t>
      </w:r>
    </w:p>
    <w:p>
      <w:pPr>
        <w:spacing w:before="140"/>
      </w:pPr>
      <w:r>
        <w:rPr>
          <w:b/>
          <w:color w:val="C41E3A"/>
          <w:sz w:val="24"/>
        </w:rPr>
        <w:t>Recogida de datos y fuentes de información</w:t>
      </w:r>
    </w:p>
    <w:p>
      <w:pPr>
        <w:pStyle w:val="ListBullet"/>
      </w:pPr>
      <w:r>
        <w:rPr>
          <w:b/>
        </w:rPr>
        <w:t>Cuestionario estructurado</w:t>
      </w:r>
      <w:r>
        <w:t xml:space="preserve"> autoadministrado, en tres momentos: basal (pre-implantación), a los 6 meses y a los 12 meses (Anexo I).</w:t>
      </w:r>
    </w:p>
    <w:p>
      <w:pPr>
        <w:pStyle w:val="ListBullet"/>
      </w:pPr>
      <w:r>
        <w:rPr>
          <w:b/>
        </w:rPr>
        <w:t>Registro de adopción</w:t>
      </w:r>
      <w:r>
        <w:t>: número de cuentas activas y altas de usuarios del Servicio (la herramienta no incorpora telemetría de uso por motivos de privacidad; la adopción se estima mediante cuentas activas y autodeclaración).</w:t>
      </w:r>
    </w:p>
    <w:p>
      <w:pPr>
        <w:pStyle w:val="ListBullet"/>
      </w:pPr>
      <w:r>
        <w:rPr>
          <w:b/>
        </w:rPr>
        <w:t>Hoja de recogida de datos</w:t>
      </w:r>
      <w:r>
        <w:t xml:space="preserve"> estructurada (Anexo II).</w:t>
      </w:r>
    </w:p>
    <w:p>
      <w:pPr>
        <w:spacing w:before="140"/>
      </w:pPr>
      <w:r>
        <w:rPr>
          <w:b/>
          <w:color w:val="C41E3A"/>
          <w:sz w:val="24"/>
        </w:rPr>
        <w:t>Análisis de los datos</w:t>
      </w:r>
    </w:p>
    <w:p>
      <w:pPr>
        <w:jc w:val="both"/>
      </w:pPr>
      <w:r>
        <w:t>Análisis descriptivo según la naturaleza de las variables (proporciones para cualitativas; medias y desviación estándar, o medianas y rango intercuartílico, para cuantitativas). Análisis bivariante pre-post mediante pruebas para datos apareados (prueba de McNemar para variables cualitativas; prueba de Wilcoxon o t de Student para datos apareados en cuantitativas, según distribución). Se considerará significación estadística para p &lt; 0,05. El tratamiento de datos se realizará con hoja de cálculo y paquete estadístico (p. ej., R o SPSS).</w:t>
      </w:r>
    </w:p>
    <w:p>
      <w:pPr>
        <w:spacing w:before="200" w:after="80"/>
      </w:pPr>
      <w:r>
        <w:rPr>
          <w:b/>
          <w:color w:val="C41E3A"/>
          <w:sz w:val="29"/>
        </w:rPr>
        <w:t>Consideraciones éticas</w:t>
      </w:r>
    </w:p>
    <w:p>
      <w:pPr>
        <w:pStyle w:val="ListBullet"/>
      </w:pPr>
      <w:r>
        <w:t xml:space="preserve">El estudio </w:t>
      </w:r>
      <w:r>
        <w:rPr>
          <w:b/>
        </w:rPr>
        <w:t>no maneja datos identificativos de pacientes</w:t>
      </w:r>
      <w:r>
        <w:t>; la herramienta evaluada tampoco los trata.</w:t>
      </w:r>
    </w:p>
    <w:p>
      <w:pPr>
        <w:pStyle w:val="ListBullet"/>
      </w:pPr>
      <w:r>
        <w:t xml:space="preserve">La participación de los profesionales es </w:t>
      </w:r>
      <w:r>
        <w:rPr>
          <w:b/>
        </w:rPr>
        <w:t>voluntaria</w:t>
      </w:r>
      <w:r>
        <w:t xml:space="preserve">, con </w:t>
      </w:r>
      <w:r>
        <w:rPr>
          <w:b/>
        </w:rPr>
        <w:t>consentimiento informado</w:t>
      </w:r>
      <w:r>
        <w:t xml:space="preserve"> para la cumplimentación de los cuestionarios. Los datos se recogerán de forma </w:t>
      </w:r>
      <w:r>
        <w:rPr>
          <w:b/>
        </w:rPr>
        <w:t>anonimizada o seudonimizada</w:t>
      </w:r>
      <w:r>
        <w:t>.</w:t>
      </w:r>
    </w:p>
    <w:p>
      <w:pPr>
        <w:pStyle w:val="ListBullet"/>
      </w:pPr>
      <w:r>
        <w:t xml:space="preserve">Se solicitará la evaluación del </w:t>
      </w:r>
      <w:r>
        <w:rPr>
          <w:b/>
        </w:rPr>
        <w:t>Comité de Ética de la Investigación con medicamentos (CEIm)</w:t>
      </w:r>
      <w:r>
        <w:t xml:space="preserve"> del centro y/o de la comisión correspondiente, según proceda.</w:t>
      </w:r>
    </w:p>
    <w:p>
      <w:pPr>
        <w:pStyle w:val="ListBullet"/>
      </w:pPr>
      <w:r>
        <w:t xml:space="preserve">Cumplimiento del </w:t>
      </w:r>
      <w:r>
        <w:rPr>
          <w:b/>
        </w:rPr>
        <w:t>RGPD</w:t>
      </w:r>
      <w:r>
        <w:t xml:space="preserve"> y de la </w:t>
      </w:r>
      <w:r>
        <w:rPr>
          <w:b/>
        </w:rPr>
        <w:t>LOPDGDD</w:t>
      </w:r>
      <w:r>
        <w:t xml:space="preserve">, y de los principios de la </w:t>
      </w:r>
      <w:r>
        <w:rPr>
          <w:b/>
        </w:rPr>
        <w:t>Declaración de Helsinki</w:t>
      </w:r>
      <w:r>
        <w:t xml:space="preserve"> en lo aplicable.</w:t>
      </w:r>
    </w:p>
    <w:p>
      <w:pPr>
        <w:pStyle w:val="ListBullet"/>
      </w:pPr>
      <w:r>
        <w:rPr>
          <w:b/>
        </w:rPr>
        <w:t>Conflicto de interés:</w:t>
      </w:r>
      <w:r>
        <w:t xml:space="preserve"> la IP es la autora de la herramienta evaluada. Para minimizar el sesgo, se prevé que la recogida y el análisis de los cuestionarios sean gestionados por un coinvestigador no autor, y se explicita esta circunstancia en las limitaciones.</w:t>
      </w:r>
    </w:p>
    <w:p>
      <w:pPr>
        <w:spacing w:before="200" w:after="80"/>
      </w:pPr>
      <w:r>
        <w:rPr>
          <w:b/>
          <w:color w:val="C41E3A"/>
          <w:sz w:val="29"/>
        </w:rPr>
        <w:t>Cronograma</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r>
            <w:r>
              <w:rPr>
                <w:b/>
              </w:rPr>
              <w:t>Fase</w:t>
            </w:r>
          </w:p>
        </w:tc>
        <w:tc>
          <w:tcPr>
            <w:tcW w:type="dxa" w:w="3120"/>
          </w:tcPr>
          <w:p>
            <w:r>
              <w:rPr>
                <w:b/>
              </w:rPr>
            </w:r>
            <w:r>
              <w:rPr>
                <w:b/>
              </w:rPr>
              <w:t>Actividad</w:t>
            </w:r>
          </w:p>
        </w:tc>
        <w:tc>
          <w:tcPr>
            <w:tcW w:type="dxa" w:w="3120"/>
          </w:tcPr>
          <w:p>
            <w:r>
              <w:rPr>
                <w:b/>
              </w:rPr>
            </w:r>
            <w:r>
              <w:rPr>
                <w:b/>
              </w:rPr>
              <w:t>Meses</w:t>
            </w:r>
          </w:p>
        </w:tc>
      </w:tr>
      <w:tr>
        <w:tc>
          <w:tcPr>
            <w:tcW w:type="dxa" w:w="3120"/>
          </w:tcPr>
          <w:p>
            <w:r/>
            <w:r>
              <w:t>1</w:t>
            </w:r>
          </w:p>
        </w:tc>
        <w:tc>
          <w:tcPr>
            <w:tcW w:type="dxa" w:w="3120"/>
          </w:tcPr>
          <w:p>
            <w:r/>
            <w:r>
              <w:t>Aprobación institucional y del CEIm; preparación de instrumentos</w:t>
            </w:r>
          </w:p>
        </w:tc>
        <w:tc>
          <w:tcPr>
            <w:tcW w:type="dxa" w:w="3120"/>
          </w:tcPr>
          <w:p>
            <w:r/>
            <w:r>
              <w:t>0–2</w:t>
            </w:r>
          </w:p>
        </w:tc>
      </w:tr>
      <w:tr>
        <w:tc>
          <w:tcPr>
            <w:tcW w:type="dxa" w:w="3120"/>
          </w:tcPr>
          <w:p>
            <w:r/>
            <w:r>
              <w:t>2</w:t>
            </w:r>
          </w:p>
        </w:tc>
        <w:tc>
          <w:tcPr>
            <w:tcW w:type="dxa" w:w="3120"/>
          </w:tcPr>
          <w:p>
            <w:r/>
            <w:r>
              <w:t>Medición basal (cuestionario pre) y altas de usuarios</w:t>
            </w:r>
          </w:p>
        </w:tc>
        <w:tc>
          <w:tcPr>
            <w:tcW w:type="dxa" w:w="3120"/>
          </w:tcPr>
          <w:p>
            <w:r/>
            <w:r>
              <w:t>2–3</w:t>
            </w:r>
          </w:p>
        </w:tc>
      </w:tr>
      <w:tr>
        <w:tc>
          <w:tcPr>
            <w:tcW w:type="dxa" w:w="3120"/>
          </w:tcPr>
          <w:p>
            <w:r/>
            <w:r>
              <w:t>3</w:t>
            </w:r>
          </w:p>
        </w:tc>
        <w:tc>
          <w:tcPr>
            <w:tcW w:type="dxa" w:w="3120"/>
          </w:tcPr>
          <w:p>
            <w:r/>
            <w:r>
              <w:t>Implantación y formación breve del equipo</w:t>
            </w:r>
          </w:p>
        </w:tc>
        <w:tc>
          <w:tcPr>
            <w:tcW w:type="dxa" w:w="3120"/>
          </w:tcPr>
          <w:p>
            <w:r/>
            <w:r>
              <w:t>3–4</w:t>
            </w:r>
          </w:p>
        </w:tc>
      </w:tr>
      <w:tr>
        <w:tc>
          <w:tcPr>
            <w:tcW w:type="dxa" w:w="3120"/>
          </w:tcPr>
          <w:p>
            <w:r/>
            <w:r>
              <w:t>4</w:t>
            </w:r>
          </w:p>
        </w:tc>
        <w:tc>
          <w:tcPr>
            <w:tcW w:type="dxa" w:w="3120"/>
          </w:tcPr>
          <w:p>
            <w:r/>
            <w:r>
              <w:t>Uso y seguimiento; medición intermedia (6 meses)</w:t>
            </w:r>
          </w:p>
        </w:tc>
        <w:tc>
          <w:tcPr>
            <w:tcW w:type="dxa" w:w="3120"/>
          </w:tcPr>
          <w:p>
            <w:r/>
            <w:r>
              <w:t>4–9</w:t>
            </w:r>
          </w:p>
        </w:tc>
      </w:tr>
      <w:tr>
        <w:tc>
          <w:tcPr>
            <w:tcW w:type="dxa" w:w="3120"/>
          </w:tcPr>
          <w:p>
            <w:r/>
            <w:r>
              <w:t>5</w:t>
            </w:r>
          </w:p>
        </w:tc>
        <w:tc>
          <w:tcPr>
            <w:tcW w:type="dxa" w:w="3120"/>
          </w:tcPr>
          <w:p>
            <w:r/>
            <w:r>
              <w:t>Medición final (12 meses)</w:t>
            </w:r>
          </w:p>
        </w:tc>
        <w:tc>
          <w:tcPr>
            <w:tcW w:type="dxa" w:w="3120"/>
          </w:tcPr>
          <w:p>
            <w:r/>
            <w:r>
              <w:t>12</w:t>
            </w:r>
          </w:p>
        </w:tc>
      </w:tr>
      <w:tr>
        <w:tc>
          <w:tcPr>
            <w:tcW w:type="dxa" w:w="3120"/>
          </w:tcPr>
          <w:p>
            <w:r/>
            <w:r>
              <w:t>6</w:t>
            </w:r>
          </w:p>
        </w:tc>
        <w:tc>
          <w:tcPr>
            <w:tcW w:type="dxa" w:w="3120"/>
          </w:tcPr>
          <w:p>
            <w:r/>
            <w:r>
              <w:t>Análisis de datos, redacción y difusión de resultados</w:t>
            </w:r>
          </w:p>
        </w:tc>
        <w:tc>
          <w:tcPr>
            <w:tcW w:type="dxa" w:w="3120"/>
          </w:tcPr>
          <w:p>
            <w:r/>
            <w:r>
              <w:t>12–14</w:t>
            </w:r>
          </w:p>
        </w:tc>
      </w:tr>
    </w:tbl>
    <w:p/>
    <w:p>
      <w:pPr>
        <w:spacing w:before="200" w:after="80"/>
      </w:pPr>
      <w:r>
        <w:rPr>
          <w:b/>
          <w:color w:val="C41E3A"/>
          <w:sz w:val="29"/>
        </w:rPr>
        <w:t>Presupuesto del estudio</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r>
            <w:r>
              <w:rPr>
                <w:b/>
              </w:rPr>
              <w:t>Concepto</w:t>
            </w:r>
          </w:p>
        </w:tc>
        <w:tc>
          <w:tcPr>
            <w:tcW w:type="dxa" w:w="4680"/>
          </w:tcPr>
          <w:p>
            <w:r>
              <w:rPr>
                <w:b/>
              </w:rPr>
            </w:r>
            <w:r>
              <w:rPr>
                <w:b/>
              </w:rPr>
              <w:t>Coste estimado</w:t>
            </w:r>
          </w:p>
        </w:tc>
      </w:tr>
      <w:tr>
        <w:tc>
          <w:tcPr>
            <w:tcW w:type="dxa" w:w="4680"/>
          </w:tcPr>
          <w:p>
            <w:r/>
            <w:r>
              <w:t>Licencias / software</w:t>
            </w:r>
          </w:p>
        </w:tc>
        <w:tc>
          <w:tcPr>
            <w:tcW w:type="dxa" w:w="4680"/>
          </w:tcPr>
          <w:p>
            <w:r/>
            <w:r>
              <w:t>0 € (herramienta propia; tecnologías sin coste de licencia)</w:t>
            </w:r>
          </w:p>
        </w:tc>
      </w:tr>
      <w:tr>
        <w:tc>
          <w:tcPr>
            <w:tcW w:type="dxa" w:w="4680"/>
          </w:tcPr>
          <w:p>
            <w:r/>
            <w:r>
              <w:t>Infraestructura / servidores</w:t>
            </w:r>
          </w:p>
        </w:tc>
        <w:tc>
          <w:tcPr>
            <w:tcW w:type="dxa" w:w="4680"/>
          </w:tcPr>
          <w:p>
            <w:r/>
            <w:r>
              <w:t>0 € (no requiere servidores del centro)</w:t>
            </w:r>
          </w:p>
        </w:tc>
      </w:tr>
      <w:tr>
        <w:tc>
          <w:tcPr>
            <w:tcW w:type="dxa" w:w="4680"/>
          </w:tcPr>
          <w:p>
            <w:r/>
            <w:r>
              <w:t>Servicios en la nube (autenticación/almacenamiento)</w:t>
            </w:r>
          </w:p>
        </w:tc>
        <w:tc>
          <w:tcPr>
            <w:tcW w:type="dxa" w:w="4680"/>
          </w:tcPr>
          <w:p>
            <w:r/>
            <w:r>
              <w:t>≈ 0 € (dentro de cuota gratuita; alerta de presupuesto configurada)</w:t>
            </w:r>
          </w:p>
        </w:tc>
      </w:tr>
      <w:tr>
        <w:tc>
          <w:tcPr>
            <w:tcW w:type="dxa" w:w="4680"/>
          </w:tcPr>
          <w:p>
            <w:r/>
            <w:r>
              <w:t>Horas de personal investigador</w:t>
            </w:r>
          </w:p>
        </w:tc>
        <w:tc>
          <w:tcPr>
            <w:tcW w:type="dxa" w:w="4680"/>
          </w:tcPr>
          <w:p>
            <w:r/>
            <w:r>
              <w:t>Asumidas dentro de la actividad del Servicio</w:t>
            </w:r>
          </w:p>
        </w:tc>
      </w:tr>
      <w:tr>
        <w:tc>
          <w:tcPr>
            <w:tcW w:type="dxa" w:w="4680"/>
          </w:tcPr>
          <w:p>
            <w:r/>
            <w:r>
              <w:t>Difusión (comunicaciones/publicación)</w:t>
            </w:r>
          </w:p>
        </w:tc>
        <w:tc>
          <w:tcPr>
            <w:tcW w:type="dxa" w:w="4680"/>
          </w:tcPr>
          <w:p>
            <w:r/>
            <w:r>
              <w:t>A determinar</w:t>
            </w:r>
          </w:p>
        </w:tc>
      </w:tr>
      <w:tr>
        <w:tc>
          <w:tcPr>
            <w:tcW w:type="dxa" w:w="4680"/>
          </w:tcPr>
          <w:p>
            <w:r/>
            <w:r>
              <w:rPr>
                <w:b/>
              </w:rPr>
              <w:t>Total</w:t>
            </w:r>
          </w:p>
        </w:tc>
        <w:tc>
          <w:tcPr>
            <w:tcW w:type="dxa" w:w="4680"/>
          </w:tcPr>
          <w:p>
            <w:r/>
            <w:r>
              <w:rPr>
                <w:b/>
              </w:rPr>
              <w:t>Coste prácticamente nulo</w:t>
            </w:r>
          </w:p>
        </w:tc>
      </w:tr>
    </w:tbl>
    <w:p/>
    <w:p>
      <w:pPr>
        <w:jc w:val="both"/>
      </w:pPr>
      <w:r>
        <w:t>No se solicita financiación externa.</w:t>
      </w:r>
    </w:p>
    <w:p>
      <w:pPr>
        <w:spacing w:before="200" w:after="80"/>
      </w:pPr>
      <w:r>
        <w:rPr>
          <w:b/>
          <w:color w:val="C41E3A"/>
          <w:sz w:val="29"/>
        </w:rPr>
        <w:t>Fortalezas y limitaciones del estudio</w:t>
      </w:r>
    </w:p>
    <w:p>
      <w:pPr>
        <w:jc w:val="both"/>
      </w:pPr>
      <w:r>
        <w:rPr>
          <w:b/>
        </w:rPr>
        <w:t>Fortalezas:</w:t>
      </w:r>
    </w:p>
    <w:p>
      <w:pPr>
        <w:pStyle w:val="ListBullet"/>
      </w:pPr>
      <w:r>
        <w:t xml:space="preserve">Responde a una </w:t>
      </w:r>
      <w:r>
        <w:rPr>
          <w:b/>
        </w:rPr>
        <w:t>necesidad real</w:t>
      </w:r>
      <w:r>
        <w:t xml:space="preserve"> del Servicio y aborda un problema de calidad relevante (variabilidad y actualización).</w:t>
      </w:r>
    </w:p>
    <w:p>
      <w:pPr>
        <w:pStyle w:val="ListBullet"/>
      </w:pPr>
      <w:r>
        <w:t xml:space="preserve">La herramienta </w:t>
      </w:r>
      <w:r>
        <w:rPr>
          <w:b/>
        </w:rPr>
        <w:t>ya es funcional y ha sido revisada por pares</w:t>
      </w:r>
      <w:r>
        <w:t xml:space="preserve"> del propio Servicio.</w:t>
      </w:r>
    </w:p>
    <w:p>
      <w:pPr>
        <w:pStyle w:val="ListBullet"/>
      </w:pPr>
      <w:r>
        <w:rPr>
          <w:b/>
        </w:rPr>
        <w:t>Coste prácticamente nulo</w:t>
      </w:r>
      <w:r>
        <w:t xml:space="preserve"> y sin riesgos para los pacientes (no trata datos de pacientes).</w:t>
      </w:r>
    </w:p>
    <w:p>
      <w:pPr>
        <w:pStyle w:val="ListBullet"/>
      </w:pPr>
      <w:r>
        <w:t>Diseño sencillo, reproducible y exportable a otros servicios o centros.</w:t>
      </w:r>
    </w:p>
    <w:p>
      <w:pPr>
        <w:jc w:val="both"/>
      </w:pPr>
      <w:r>
        <w:rPr>
          <w:b/>
        </w:rPr>
        <w:t>Limitaciones y soluciones:</w:t>
      </w:r>
    </w:p>
    <w:p>
      <w:pPr>
        <w:pStyle w:val="ListBullet"/>
      </w:pPr>
      <w:r>
        <w:rPr>
          <w:b/>
        </w:rPr>
        <w:t>Ausencia de grupo control</w:t>
      </w:r>
      <w:r>
        <w:t xml:space="preserve"> y diseño antes-después: se asume por tratarse de una intervención de mejora de ámbito local; se reforzará con mediciones repetidas (6 y 12 meses).</w:t>
      </w:r>
    </w:p>
    <w:p>
      <w:pPr>
        <w:pStyle w:val="ListBullet"/>
      </w:pPr>
      <w:r>
        <w:rPr>
          <w:b/>
        </w:rPr>
        <w:t>Conflicto de interés de la IP</w:t>
      </w:r>
      <w:r>
        <w:t xml:space="preserve"> (autora de la herramienta): mitigado delegando recogida y análisis en un coinvestigador no autor y declarándolo de forma explícita.</w:t>
      </w:r>
    </w:p>
    <w:p>
      <w:pPr>
        <w:pStyle w:val="ListBullet"/>
      </w:pPr>
      <w:r>
        <w:rPr>
          <w:b/>
        </w:rPr>
        <w:t>Medidas autodeclaradas</w:t>
      </w:r>
      <w:r>
        <w:t xml:space="preserve"> (percepción/satisfacción): se complementan con el registro objetivo de adopción (cuentas activas).</w:t>
      </w:r>
    </w:p>
    <w:p>
      <w:pPr>
        <w:pStyle w:val="ListBullet"/>
      </w:pPr>
      <w:r>
        <w:rPr>
          <w:b/>
        </w:rPr>
        <w:t>Tamaño muestral reducido</w:t>
      </w:r>
      <w:r>
        <w:t xml:space="preserve"> (un único servicio): se prioriza la representatividad (muestreo censal); los resultados son orientativos y no necesariamente extrapolables.</w:t>
      </w:r>
    </w:p>
    <w:p>
      <w:pPr>
        <w:pStyle w:val="ListBullet"/>
      </w:pPr>
      <w:r>
        <w:rPr>
          <w:b/>
        </w:rPr>
        <w:t>Posible efecto Hawthorne</w:t>
      </w:r>
      <w:r>
        <w:t>: se contempla en la interpretación de los resultados.</w:t>
      </w:r>
    </w:p>
    <w:p>
      <w:pPr>
        <w:spacing w:before="200" w:after="80"/>
      </w:pPr>
      <w:r>
        <w:rPr>
          <w:b/>
          <w:color w:val="C41E3A"/>
          <w:sz w:val="29"/>
        </w:rPr>
        <w:t>Resultados esperados</w:t>
      </w:r>
    </w:p>
    <w:p>
      <w:pPr>
        <w:jc w:val="both"/>
      </w:pPr>
      <w:r>
        <w:t xml:space="preserve">Se espera observar una </w:t>
      </w:r>
      <w:r>
        <w:rPr>
          <w:b/>
        </w:rPr>
        <w:t>adopción elevada</w:t>
      </w:r>
      <w:r>
        <w:t xml:space="preserve"> de la herramienta entre los profesionales del Servicio, una </w:t>
      </w:r>
      <w:r>
        <w:rPr>
          <w:b/>
        </w:rPr>
        <w:t>mejora en la percepción de unificación de criterios</w:t>
      </w:r>
      <w:r>
        <w:t xml:space="preserve"> respecto a la situación basal, una </w:t>
      </w:r>
      <w:r>
        <w:rPr>
          <w:b/>
        </w:rPr>
        <w:t>contribución percibida positiva a la prevención de errores de cálculo y omisiones</w:t>
      </w:r>
      <w:r>
        <w:t xml:space="preserve">, una </w:t>
      </w:r>
      <w:r>
        <w:rPr>
          <w:b/>
        </w:rPr>
        <w:t>percepción de ahorro de tiempo</w:t>
      </w:r>
      <w:r>
        <w:t xml:space="preserve"> en la consulta y una </w:t>
      </w:r>
      <w:r>
        <w:rPr>
          <w:b/>
        </w:rPr>
        <w:t>alta satisfacción global</w:t>
      </w:r>
      <w:r>
        <w:t>, especialmente entre los residentes en su vertiente docente.</w:t>
      </w:r>
    </w:p>
    <w:p>
      <w:pPr>
        <w:spacing w:before="200" w:after="80"/>
      </w:pPr>
      <w:r>
        <w:rPr>
          <w:b/>
          <w:color w:val="C41E3A"/>
          <w:sz w:val="29"/>
        </w:rPr>
        <w:t>Aplicabilidad y utilidad práctica de los resultados</w:t>
      </w:r>
    </w:p>
    <w:p>
      <w:pPr>
        <w:jc w:val="both"/>
      </w:pPr>
      <w:r>
        <w:t xml:space="preserve">Los resultados permitirán fundamentar el </w:t>
      </w:r>
      <w:r>
        <w:rPr>
          <w:b/>
        </w:rPr>
        <w:t>reconocimiento institucional</w:t>
      </w:r>
      <w:r>
        <w:t xml:space="preserve"> de la herramienta como recurso de apoyo del Servicio, </w:t>
      </w:r>
      <w:r>
        <w:rPr>
          <w:b/>
        </w:rPr>
        <w:t>consolidar su modelo de gobernanza y actualización</w:t>
      </w:r>
      <w:r>
        <w:t xml:space="preserve"> y orientar mejoras concretas a partir de la opinión de los usuarios. Un resultado favorable apoyaría su </w:t>
      </w:r>
      <w:r>
        <w:rPr>
          <w:b/>
        </w:rPr>
        <w:t>extensión a otros servicios o centros</w:t>
      </w:r>
      <w:r>
        <w:t xml:space="preserve"> y serviría de base para un eventual </w:t>
      </w:r>
      <w:r>
        <w:rPr>
          <w:b/>
        </w:rPr>
        <w:t>protocolo corporativo</w:t>
      </w:r>
      <w:r>
        <w:t xml:space="preserve"> de apoyo a la decisión clínica en Hematología.</w:t>
      </w:r>
    </w:p>
    <w:p>
      <w:pPr>
        <w:spacing w:before="200" w:after="80"/>
      </w:pPr>
      <w:r>
        <w:rPr>
          <w:b/>
          <w:color w:val="C41E3A"/>
          <w:sz w:val="29"/>
        </w:rPr>
        <w:t>Bibliografía</w:t>
      </w:r>
    </w:p>
    <w:p>
      <w:pPr>
        <w:jc w:val="both"/>
      </w:pPr>
      <w:r>
        <w:rPr>
          <w:i/>
        </w:rPr>
        <w:t>(Listado preliminar en formato Vancouver; completar y verificar con gestor bibliográfico — Mendeley/Zotero.)</w:t>
      </w:r>
    </w:p>
    <w:p>
      <w:pPr>
        <w:pStyle w:val="ListNumber"/>
      </w:pPr>
      <w:r>
        <w:t>Sutton RT, Pincock D, Baumgart DC, Sadowski DC, Fedorak RN, Kroeker KI. An overview of clinical decision support systems: benefits, risks, and strategies for success. NPJ Digit Med. 2020;3:17.</w:t>
      </w:r>
    </w:p>
    <w:p>
      <w:pPr>
        <w:pStyle w:val="ListNumber"/>
      </w:pPr>
      <w:r>
        <w:t>Bright TJ, Wong A, Dhurjati R, et al. Effect of clinical decision-support systems: a systematic review. Ann Intern Med. 2012;157(1):29-43.</w:t>
      </w:r>
    </w:p>
    <w:p>
      <w:pPr>
        <w:pStyle w:val="ListNumber"/>
      </w:pPr>
      <w:r>
        <w:t>Kawamoto K, Houlihan CA, Balas EA, Lobach DF. Improving clinical practice using clinical decision support systems: a systematic review of trials to identify features critical to success. BMJ. 2005;330(7494):765.</w:t>
      </w:r>
    </w:p>
    <w:p>
      <w:pPr>
        <w:pStyle w:val="ListNumber"/>
      </w:pPr>
      <w:r>
        <w:t>Döhner H, Wei AH, Appelbaum FR, et al. Diagnosis and management of AML in adults: 2022 recommendations from an international expert panel on behalf of the ELN. Blood. 2022;140(12):1345-1377.</w:t>
      </w:r>
    </w:p>
    <w:p>
      <w:pPr>
        <w:spacing w:before="200" w:after="80"/>
      </w:pPr>
      <w:r>
        <w:rPr>
          <w:b/>
          <w:color w:val="C41E3A"/>
          <w:sz w:val="29"/>
        </w:rPr>
        <w:t>Anexos</w:t>
      </w:r>
    </w:p>
    <w:p>
      <w:pPr>
        <w:pStyle w:val="ListBullet"/>
      </w:pPr>
      <w:r>
        <w:rPr>
          <w:b/>
        </w:rPr>
        <w:t>Anexo I — Cuestionario de utilidad y satisfacción</w:t>
      </w:r>
      <w:r>
        <w:t xml:space="preserve"> (pre / 6 meses / 12 meses). Ítems tipo Likert (1 = totalmente en desacuerdo; 5 = totalmente de acuerdo):</w:t>
      </w:r>
    </w:p>
    <w:p>
      <w:pPr>
        <w:pStyle w:val="ListNumber"/>
      </w:pPr>
      <w:r>
        <w:t>Dispongo con facilidad de la información clínica de consulta que necesito en el punto de atención.</w:t>
      </w:r>
    </w:p>
    <w:p>
      <w:pPr>
        <w:pStyle w:val="ListNumber"/>
      </w:pPr>
      <w:r>
        <w:t>Considero que el Servicio aplica criterios homogéneos en las situaciones clínicas habituales.</w:t>
      </w:r>
    </w:p>
    <w:p>
      <w:pPr>
        <w:pStyle w:val="ListNumber"/>
      </w:pPr>
      <w:r>
        <w:t>La herramienta me resulta útil en mi práctica diaria.</w:t>
      </w:r>
    </w:p>
    <w:p>
      <w:pPr>
        <w:pStyle w:val="ListNumber"/>
      </w:pPr>
      <w:r>
        <w:t>La herramienta contribuye a evitar errores de cálculo y omisiones.</w:t>
      </w:r>
    </w:p>
    <w:p>
      <w:pPr>
        <w:pStyle w:val="ListNumber"/>
      </w:pPr>
      <w:r>
        <w:t>La herramienta me ahorra tiempo en la consulta.</w:t>
      </w:r>
    </w:p>
    <w:p>
      <w:pPr>
        <w:pStyle w:val="ListNumber"/>
      </w:pPr>
      <w:r>
        <w:t xml:space="preserve">Como residente/tutor, la considero útil para la docencia. </w:t>
      </w:r>
      <w:r>
        <w:rPr>
          <w:i/>
        </w:rPr>
        <w:t>(si procede)</w:t>
      </w:r>
    </w:p>
    <w:p>
      <w:pPr>
        <w:pStyle w:val="ListNumber"/>
      </w:pPr>
      <w:r>
        <w:t xml:space="preserve">Recomendaría la herramienta a un compañero. </w:t>
      </w:r>
      <w:r>
        <w:rPr>
          <w:i/>
        </w:rPr>
        <w:t>(0–10)</w:t>
      </w:r>
    </w:p>
    <w:p>
      <w:pPr>
        <w:pStyle w:val="ListNumber"/>
      </w:pPr>
      <w:r>
        <w:t>Frecuencia de uso (diaria / semanal / ocasional / no la uso) y dispositivo habitual.</w:t>
      </w:r>
    </w:p>
    <w:p>
      <w:pPr>
        <w:pStyle w:val="ListNumber"/>
      </w:pPr>
      <w:r>
        <w:t xml:space="preserve">Comentarios y propuestas de mejora </w:t>
      </w:r>
      <w:r>
        <w:rPr>
          <w:i/>
        </w:rPr>
        <w:t>(texto libre)</w:t>
      </w:r>
      <w:r>
        <w:t>.</w:t>
      </w:r>
    </w:p>
    <w:p>
      <w:pPr>
        <w:pStyle w:val="ListBullet"/>
      </w:pPr>
      <w:r>
        <w:rPr>
          <w:b/>
        </w:rPr>
        <w:t>Anexo II — Hoja de recogida de datos</w:t>
      </w:r>
      <w:r>
        <w:t xml:space="preserve"> (categoría profesional, años de experiencia, sección, dispositivo, momento de medición).</w:t>
      </w:r>
    </w:p>
    <w:p>
      <w:pPr>
        <w:pStyle w:val="ListBullet"/>
      </w:pPr>
      <w:r>
        <w:rPr>
          <w:b/>
        </w:rPr>
        <w:t>Anexo III — Descripción de la herramienta y relación de revisores clínicos por área.</w:t>
      </w:r>
    </w:p>
    <w:p>
      <w:pPr>
        <w:pStyle w:val="ListBullet"/>
      </w:pPr>
      <w:r>
        <w:rPr>
          <w:b/>
        </w:rPr>
        <w:t>Anexo IV — Aviso Legal y de privacidad de la herramienta.</w:t>
      </w:r>
    </w:p>
    <w:p>
      <w:pPr>
        <w:spacing w:before="60" w:after="60"/>
      </w:pPr>
      <w:r>
        <w:rPr>
          <w:color w:val="BBBBBB"/>
        </w:rPr>
        <w:t>____________________________________________________________</w:t>
      </w:r>
    </w:p>
    <w:p>
      <w:pPr>
        <w:jc w:val="both"/>
      </w:pPr>
      <w:r>
        <w:rPr>
          <w:i/>
        </w:rPr>
        <w:t>Redactado conforme a la estructura de protocolo de investigación facilitada. La redacción es impersonal salvo las referencias al propio centro. Pendiente de completar los datos identificativos (correos, nombres de coinvestigadores y fechas) y la bibliografía definitiva.</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HemoPocket · Protocolo de Investigación/Calidad   ·   Página </w:t>
    </w:r>
    <w:fldSimple w:instr="PAGE">
      <w:r>
        <w:rPr>
          <w:sz w:val="16"/>
        </w:rPr>
      </w:r>
    </w:fldSimple>
    <w:r>
      <w:rPr>
        <w:color w:val="666666"/>
        <w:sz w:val="16"/>
      </w:rPr>
      <w:t xml:space="preserve"> de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