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b/>
          <w:color w:val="C41E3A"/>
          <w:sz w:val="38"/>
        </w:rPr>
        <w:t>HemoPocket</w:t>
      </w:r>
    </w:p>
    <w:p>
      <w:pPr>
        <w:spacing w:before="200" w:after="80"/>
      </w:pPr>
      <w:r>
        <w:rPr>
          <w:b/>
          <w:color w:val="C41E3A"/>
          <w:sz w:val="29"/>
        </w:rPr>
        <w:t>Documento técnico y de seguridad para Sistemas de Información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 la atención de</w:t>
            </w:r>
          </w:p>
        </w:tc>
        <w:tc>
          <w:tcPr>
            <w:tcW w:type="dxa" w:w="4680"/>
          </w:tcPr>
          <w:p>
            <w:r/>
            <w:r>
              <w:t>Servicio / Comisión de Sistemas de Información (Informática) — HUNSC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Asunto</w:t>
            </w:r>
          </w:p>
        </w:tc>
        <w:tc>
          <w:tcPr>
            <w:tcW w:type="dxa" w:w="4680"/>
          </w:tcPr>
          <w:p>
            <w:r/>
            <w:r>
              <w:t>Valoración técnica y de seguridad de HemoPocket para su uso en el ámbito asistencial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Promotora</w:t>
            </w:r>
          </w:p>
        </w:tc>
        <w:tc>
          <w:tcPr>
            <w:tcW w:type="dxa" w:w="4680"/>
          </w:tcPr>
          <w:p>
            <w:r/>
            <w:r>
              <w:t>Dra. María Teresa Busnego Barreto — F.E.A. Hematología y Hemoterapia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Fecha</w:t>
            </w:r>
          </w:p>
        </w:tc>
        <w:tc>
          <w:tcPr>
            <w:tcW w:type="dxa" w:w="4680"/>
          </w:tcPr>
          <w:p>
            <w:r/>
            <w:r>
              <w:t>Santa Cruz de Tenerife, 9 de junio de 2026</w:t>
            </w:r>
          </w:p>
        </w:tc>
      </w:tr>
    </w:tbl>
    <w:p/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jc w:val="both"/>
      </w:pPr>
      <w:r>
        <w:t>Estimado equipo de Sistemas de Información:</w:t>
      </w:r>
    </w:p>
    <w:p>
      <w:pPr>
        <w:jc w:val="both"/>
      </w:pPr>
      <w:r>
        <w:t xml:space="preserve">Adjunto la información técnica de </w:t>
      </w:r>
      <w:r>
        <w:rPr>
          <w:b/>
        </w:rPr>
        <w:t>HemoPocket</w:t>
      </w:r>
      <w:r>
        <w:t xml:space="preserve"> para su valoración de seguridad y compatibilidad con la infraestructura del centro. La herramienta está </w:t>
      </w:r>
      <w:r>
        <w:rPr>
          <w:b/>
        </w:rPr>
        <w:t>diseñada para no introducir carga ni riesgos</w:t>
      </w:r>
      <w:r>
        <w:t xml:space="preserve"> en la infraestructura corporativa, como se detalla a continuación.</w:t>
      </w:r>
    </w:p>
    <w:p>
      <w:pPr>
        <w:spacing w:before="60" w:after="60"/>
      </w:pPr>
      <w:r>
        <w:rPr>
          <w:color w:val="BBBBBB"/>
        </w:rPr>
        <w:t>____________________________________________________________</w:t>
      </w:r>
    </w:p>
    <w:p>
      <w:pPr>
        <w:spacing w:before="200" w:after="80"/>
      </w:pPr>
      <w:r>
        <w:rPr>
          <w:b/>
          <w:color w:val="C41E3A"/>
          <w:sz w:val="29"/>
        </w:rPr>
        <w:t>1. Arquitectura</w:t>
      </w:r>
    </w:p>
    <w:p>
      <w:pPr>
        <w:pStyle w:val="ListBullet"/>
      </w:pPr>
      <w:r>
        <w:rPr>
          <w:b/>
        </w:rPr>
        <w:t>Aplicación web progresiva (PWA)</w:t>
      </w:r>
      <w:r>
        <w:t xml:space="preserve"> autocontenida: esencialmente </w:t>
      </w:r>
      <w:r>
        <w:rPr>
          <w:b/>
        </w:rPr>
        <w:t>un único archivo HTML</w:t>
      </w:r>
      <w:r>
        <w:t xml:space="preserve"> (HTML + CSS + JavaScript), sin </w:t>
      </w:r>
      <w:r>
        <w:rPr>
          <w:i/>
        </w:rPr>
        <w:t>framework</w:t>
      </w:r>
      <w:r>
        <w:t xml:space="preserve"> ni sistema de compilación.</w:t>
      </w:r>
    </w:p>
    <w:p>
      <w:pPr>
        <w:pStyle w:val="ListBullet"/>
      </w:pPr>
      <w:r>
        <w:rPr>
          <w:b/>
        </w:rPr>
        <w:t>Sin instalación intrusiva</w:t>
      </w:r>
      <w:r>
        <w:t xml:space="preserve">: se accede desde el navegador; puede "instalarse" como icono </w:t>
      </w:r>
      <w:r>
        <w:rPr>
          <w:b/>
        </w:rPr>
        <w:t>sin privilegios de administrador</w:t>
      </w:r>
      <w:r>
        <w:t xml:space="preserve"> sobre el equipo.</w:t>
      </w:r>
    </w:p>
    <w:p>
      <w:pPr>
        <w:pStyle w:val="ListBullet"/>
      </w:pPr>
      <w:r>
        <w:rPr>
          <w:b/>
        </w:rPr>
        <w:t>Sin servidor propio del hospital</w:t>
      </w:r>
      <w:r>
        <w:t>: no añade servidores a mantener en la infraestructura del centro.</w:t>
      </w:r>
    </w:p>
    <w:p>
      <w:pPr>
        <w:pStyle w:val="ListBullet"/>
      </w:pPr>
      <w:r>
        <w:rPr>
          <w:b/>
        </w:rPr>
        <w:t>Funcionamiento offline</w:t>
      </w:r>
      <w:r>
        <w:t xml:space="preserve"> mediante </w:t>
      </w:r>
      <w:r>
        <w:rPr>
          <w:i/>
        </w:rPr>
        <w:t>service worker</w:t>
      </w:r>
      <w:r>
        <w:t xml:space="preserve">: tras la primera carga con conexión, queda disponible sin red. Estrategia </w:t>
      </w:r>
      <w:r>
        <w:rPr>
          <w:i/>
        </w:rPr>
        <w:t>network-first</w:t>
      </w:r>
      <w:r>
        <w:t xml:space="preserve"> para el contenido (siempre la última versión cuando hay conexión) y </w:t>
      </w:r>
      <w:r>
        <w:rPr>
          <w:i/>
        </w:rPr>
        <w:t>cache-first</w:t>
      </w:r>
      <w:r>
        <w:t xml:space="preserve"> para recursos estáticos.</w:t>
      </w:r>
    </w:p>
    <w:p>
      <w:pPr>
        <w:spacing w:before="200" w:after="80"/>
      </w:pPr>
      <w:r>
        <w:rPr>
          <w:b/>
          <w:color w:val="C41E3A"/>
          <w:sz w:val="29"/>
        </w:rPr>
        <w:t>2. Autenticación, autorización y datos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Aspecto</w:t>
            </w:r>
          </w:p>
        </w:tc>
        <w:tc>
          <w:tcPr>
            <w:tcW w:type="dxa" w:w="4680"/>
          </w:tcPr>
          <w:p>
            <w:r>
              <w:rPr>
                <w:b/>
              </w:rPr>
            </w:r>
            <w:r>
              <w:rPr>
                <w:b/>
              </w:rPr>
              <w:t>Detalle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Autenticación</w:t>
            </w:r>
          </w:p>
        </w:tc>
        <w:tc>
          <w:tcPr>
            <w:tcW w:type="dxa" w:w="4680"/>
          </w:tcPr>
          <w:p>
            <w:r/>
            <w:r>
              <w:t>Firebase Authentication (correo + contraseña), credenciales personales e intransferibles. Sin acceso anónimo.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Autorización</w:t>
            </w:r>
          </w:p>
        </w:tc>
        <w:tc>
          <w:tcPr>
            <w:tcW w:type="dxa" w:w="4680"/>
          </w:tcPr>
          <w:p>
            <w:r/>
            <w:r>
              <w:t xml:space="preserve">Modelo por roles (administrador / editor por sección) con </w:t>
            </w:r>
            <w:r>
              <w:rPr>
                <w:b/>
              </w:rPr>
              <w:t>reglas de seguridad</w:t>
            </w:r>
            <w:r>
              <w:t xml:space="preserve"> publicadas (Firestore y Storage).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Datos de paciente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No se tratan.</w:t>
            </w:r>
            <w:r>
              <w:t xml:space="preserve"> Las calculadoras usan solo parámetros no identificativos (edad, sexo, peso, talla, creatinina) que </w:t>
            </w:r>
            <w:r>
              <w:rPr>
                <w:b/>
              </w:rPr>
              <w:t>permanecen en el dispositivo</w:t>
            </w:r>
            <w:r>
              <w:t xml:space="preserve"> y </w:t>
            </w:r>
            <w:r>
              <w:rPr>
                <w:b/>
              </w:rPr>
              <w:t>no se transmiten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Datos de cuenta</w:t>
            </w:r>
          </w:p>
        </w:tc>
        <w:tc>
          <w:tcPr>
            <w:tcW w:type="dxa" w:w="4680"/>
          </w:tcPr>
          <w:p>
            <w:r/>
            <w:r>
              <w:t xml:space="preserve">Correo y UID; preferencias de uso (favoritos/recientes) sincronizadas. Configuración en </w:t>
            </w:r>
            <w:r>
              <w:rPr>
                <w:b/>
              </w:rPr>
              <w:t>región europea</w:t>
            </w:r>
            <w:r>
              <w:t xml:space="preserve"> (</w:t>
            </w:r>
            <w:r>
              <w:rPr>
                <w:i/>
              </w:rPr>
              <w:t>europe-west</w:t>
            </w:r>
            <w:r>
              <w:t>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Transporte</w:t>
            </w:r>
          </w:p>
        </w:tc>
        <w:tc>
          <w:tcPr>
            <w:tcW w:type="dxa" w:w="4680"/>
          </w:tcPr>
          <w:p>
            <w:r/>
            <w:r>
              <w:t xml:space="preserve">Todo el tráfico sobre </w:t>
            </w:r>
            <w:r>
              <w:rPr>
                <w:b/>
              </w:rPr>
              <w:t>HTTPS</w:t>
            </w:r>
            <w:r>
              <w:t>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b/>
              </w:rPr>
              <w:t>Telemetría</w:t>
            </w:r>
          </w:p>
        </w:tc>
        <w:tc>
          <w:tcPr>
            <w:tcW w:type="dxa" w:w="4680"/>
          </w:tcPr>
          <w:p>
            <w:r/>
            <w:r>
              <w:rPr>
                <w:b/>
              </w:rPr>
              <w:t>Ninguna.</w:t>
            </w:r>
            <w:r>
              <w:t xml:space="preserve"> Se ha eliminado la analítica de uso (Google Analytics) — la app no envía telemetría a terceros.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3. Dependencias externas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Dependencia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Origen</w:t>
            </w:r>
          </w:p>
        </w:tc>
        <w:tc>
          <w:tcPr>
            <w:tcW w:type="dxa" w:w="3120"/>
          </w:tcPr>
          <w:p>
            <w:r>
              <w:rPr>
                <w:b/>
              </w:rPr>
            </w:r>
            <w:r>
              <w:rPr>
                <w:b/>
              </w:rPr>
              <w:t>Situación</w:t>
            </w:r>
          </w:p>
        </w:tc>
      </w:tr>
      <w:tr>
        <w:tc>
          <w:tcPr>
            <w:tcW w:type="dxa" w:w="3120"/>
          </w:tcPr>
          <w:p>
            <w:r/>
            <w:r>
              <w:t>SDK de Firebase (Auth/DB)</w:t>
            </w:r>
          </w:p>
        </w:tc>
        <w:tc>
          <w:tcPr>
            <w:tcW w:type="dxa" w:w="3120"/>
          </w:tcPr>
          <w:p>
            <w:r/>
            <w:r>
              <w:rPr>
                <w:rFonts w:ascii="Consolas" w:hAnsi="Consolas"/>
                <w:sz w:val="20"/>
              </w:rPr>
              <w:t>www.gstatic.com/firebasejs/...</w:t>
            </w:r>
          </w:p>
        </w:tc>
        <w:tc>
          <w:tcPr>
            <w:tcW w:type="dxa" w:w="3120"/>
          </w:tcPr>
          <w:p>
            <w:r/>
            <w:r>
              <w:t xml:space="preserve">Necesario para el login. Se </w:t>
            </w:r>
            <w:r>
              <w:rPr>
                <w:b/>
              </w:rPr>
              <w:t>cachea offline</w:t>
            </w:r>
            <w:r>
              <w:t xml:space="preserve"> vía </w:t>
            </w:r>
            <w:r>
              <w:rPr>
                <w:i/>
              </w:rPr>
              <w:t>service worker</w:t>
            </w:r>
            <w:r>
              <w:t xml:space="preserve">. </w:t>
            </w:r>
            <w:r>
              <w:rPr>
                <w:b/>
              </w:rPr>
              <w:t>Solicitud</w:t>
            </w:r>
            <w:r>
              <w:t>: confirmar que el dominio está permitido en la red asistencial.</w:t>
            </w:r>
          </w:p>
        </w:tc>
      </w:tr>
      <w:tr>
        <w:tc>
          <w:tcPr>
            <w:tcW w:type="dxa" w:w="3120"/>
          </w:tcPr>
          <w:p>
            <w:r/>
            <w:r>
              <w:t>Visor de PDF (pdf.js)</w:t>
            </w:r>
          </w:p>
        </w:tc>
        <w:tc>
          <w:tcPr>
            <w:tcW w:type="dxa" w:w="3120"/>
          </w:tcPr>
          <w:p>
            <w:r/>
            <w:r>
              <w:rPr>
                <w:b/>
              </w:rPr>
              <w:t>Auto-alojado</w:t>
            </w:r>
            <w:r>
              <w:t xml:space="preserve"> en el propio dominio (</w:t>
            </w:r>
            <w:r>
              <w:rPr>
                <w:rFonts w:ascii="Consolas" w:hAnsi="Consolas"/>
                <w:sz w:val="20"/>
              </w:rPr>
              <w:t>/vendor/pdfjs/pdf.min.js</w:t>
            </w:r>
            <w:r>
              <w:t>)</w:t>
            </w:r>
          </w:p>
        </w:tc>
        <w:tc>
          <w:tcPr>
            <w:tcW w:type="dxa" w:w="3120"/>
          </w:tcPr>
          <w:p>
            <w:r/>
            <w:r>
              <w:t xml:space="preserve">Ya </w:t>
            </w:r>
            <w:r>
              <w:rPr>
                <w:b/>
              </w:rPr>
              <w:t>no depende de CDN externo</w:t>
            </w:r>
            <w:r>
              <w:t>; se precachea para uso offline.</w:t>
            </w:r>
          </w:p>
        </w:tc>
      </w:tr>
      <w:tr>
        <w:tc>
          <w:tcPr>
            <w:tcW w:type="dxa" w:w="3120"/>
          </w:tcPr>
          <w:p>
            <w:r/>
            <w:r>
              <w:t>Guías clínicas (PDF)</w:t>
            </w:r>
          </w:p>
        </w:tc>
        <w:tc>
          <w:tcPr>
            <w:tcW w:type="dxa" w:w="3120"/>
          </w:tcPr>
          <w:p>
            <w:r/>
            <w:r>
              <w:t>GitHub Pages (</w:t>
            </w:r>
            <w:r>
              <w:rPr>
                <w:rFonts w:ascii="Consolas" w:hAnsi="Consolas"/>
                <w:sz w:val="20"/>
              </w:rPr>
              <w:t>hemopocket.github.io/guias/...</w:t>
            </w:r>
            <w:r>
              <w:t>)</w:t>
            </w:r>
          </w:p>
        </w:tc>
        <w:tc>
          <w:tcPr>
            <w:tcW w:type="dxa" w:w="3120"/>
          </w:tcPr>
          <w:p>
            <w:r/>
            <w:r>
              <w:t>Servidas como contenido estático. Ver punto 5.</w:t>
            </w:r>
          </w:p>
        </w:tc>
      </w:tr>
    </w:tbl>
    <w:p/>
    <w:p>
      <w:pPr>
        <w:spacing w:before="200" w:after="80"/>
      </w:pPr>
      <w:r>
        <w:rPr>
          <w:b/>
          <w:color w:val="C41E3A"/>
          <w:sz w:val="29"/>
        </w:rPr>
        <w:t>4. Sobre la clave de Firebase visible en el código</w:t>
      </w:r>
    </w:p>
    <w:p>
      <w:pPr>
        <w:jc w:val="both"/>
      </w:pPr>
      <w:r>
        <w:t xml:space="preserve">La configuración web de Firebase (incluida la </w:t>
      </w:r>
      <w:r>
        <w:rPr>
          <w:i/>
        </w:rPr>
        <w:t>API key</w:t>
      </w:r>
      <w:r>
        <w:t xml:space="preserve">) aparece en el código fuente. </w:t>
      </w:r>
      <w:r>
        <w:rPr>
          <w:b/>
        </w:rPr>
        <w:t>Esto es normal y esperado</w:t>
      </w:r>
      <w:r>
        <w:t xml:space="preserve"> en aplicaciones de navegador: no es un secreto y </w:t>
      </w:r>
      <w:r>
        <w:rPr>
          <w:b/>
        </w:rPr>
        <w:t>no concede acceso por sí misma</w:t>
      </w:r>
      <w:r>
        <w:t xml:space="preserve">; la seguridad recae en las </w:t>
      </w:r>
      <w:r>
        <w:rPr>
          <w:b/>
        </w:rPr>
        <w:t>reglas de Firestore/Storage</w:t>
      </w:r>
      <w:r>
        <w:t xml:space="preserve"> y en </w:t>
      </w:r>
      <w:r>
        <w:rPr>
          <w:b/>
        </w:rPr>
        <w:t>Authentication</w:t>
      </w:r>
      <w:r>
        <w:t>.</w:t>
      </w:r>
    </w:p>
    <w:p>
      <w:pPr>
        <w:jc w:val="both"/>
      </w:pPr>
      <w:r>
        <w:rPr>
          <w:b/>
        </w:rPr>
        <w:t>Medidas de refuerzo propuestas</w:t>
      </w:r>
      <w:r>
        <w:t xml:space="preserve"> (configuración en consola, sin cambios de arquitectura):</w:t>
      </w:r>
    </w:p>
    <w:p>
      <w:pPr>
        <w:pStyle w:val="ListBullet"/>
      </w:pPr>
      <w:r>
        <w:t xml:space="preserve">Activar </w:t>
      </w:r>
      <w:r>
        <w:rPr>
          <w:b/>
        </w:rPr>
        <w:t>Firebase App Check</w:t>
      </w:r>
      <w:r>
        <w:t>.</w:t>
      </w:r>
    </w:p>
    <w:p>
      <w:pPr>
        <w:pStyle w:val="ListBullet"/>
      </w:pPr>
      <w:r>
        <w:rPr>
          <w:b/>
        </w:rPr>
        <w:t>Restringir la API key por referrer HTTP</w:t>
      </w:r>
      <w:r>
        <w:t xml:space="preserve"> (dominios autorizados).</w:t>
      </w:r>
    </w:p>
    <w:p>
      <w:pPr>
        <w:pStyle w:val="ListBullet"/>
      </w:pPr>
      <w:r>
        <w:t>Revisión periódica de las reglas de seguridad.</w:t>
      </w:r>
    </w:p>
    <w:p>
      <w:pPr>
        <w:spacing w:before="200" w:after="80"/>
      </w:pPr>
      <w:r>
        <w:rPr>
          <w:b/>
          <w:color w:val="C41E3A"/>
          <w:sz w:val="29"/>
        </w:rPr>
        <w:t>5. Punto a resolver con Informática</w:t>
      </w:r>
    </w:p>
    <w:p>
      <w:pPr>
        <w:jc w:val="both"/>
      </w:pPr>
      <w:r>
        <w:t xml:space="preserve">Los </w:t>
      </w:r>
      <w:r>
        <w:rPr>
          <w:b/>
        </w:rPr>
        <w:t>PDF de guías</w:t>
      </w:r>
      <w:r>
        <w:t xml:space="preserve"> se sirven actualmente como contenido </w:t>
      </w:r>
      <w:r>
        <w:rPr>
          <w:b/>
        </w:rPr>
        <w:t>estático y público</w:t>
      </w:r>
      <w:r>
        <w:t xml:space="preserve"> en GitHub Pages (aunque la </w:t>
      </w:r>
      <w:r>
        <w:rPr>
          <w:i/>
        </w:rPr>
        <w:t>interfaz</w:t>
      </w:r>
      <w:r>
        <w:t xml:space="preserve"> de la app exija login, una URL directa al PDF sería accesible). Dado que el código documenta que </w:t>
      </w:r>
      <w:r>
        <w:rPr>
          <w:b/>
        </w:rPr>
        <w:t>la red del hospital bloquea Firebase Storage</w:t>
      </w:r>
      <w:r>
        <w:t xml:space="preserve"> pero permite </w:t>
      </w:r>
      <w:r>
        <w:rPr>
          <w:rFonts w:ascii="Consolas" w:hAnsi="Consolas"/>
          <w:sz w:val="20"/>
        </w:rPr>
        <w:t>github.io</w:t>
      </w:r>
      <w:r>
        <w:t>, se eligió este alojamiento.</w:t>
      </w:r>
    </w:p>
    <w:p>
      <w:pPr>
        <w:jc w:val="both"/>
      </w:pPr>
      <w:r>
        <w:rPr>
          <w:b/>
        </w:rPr>
        <w:t>Solicitud</w:t>
      </w:r>
      <w:r>
        <w:t>: valorar conjuntamente la alternativa más adecuada (mantener el alojamiento estático confirmando la licencia de difusión de los documentos, o trasladar los PDF a un alojamiento con control de acceso compatible con la red del centro).</w:t>
      </w:r>
    </w:p>
    <w:p>
      <w:pPr>
        <w:spacing w:before="200" w:after="80"/>
      </w:pPr>
      <w:r>
        <w:rPr>
          <w:b/>
          <w:color w:val="C41E3A"/>
          <w:sz w:val="29"/>
        </w:rPr>
        <w:t>6. Compatibilidad y despliegue</w:t>
      </w:r>
    </w:p>
    <w:p>
      <w:pPr>
        <w:pStyle w:val="ListBullet"/>
      </w:pPr>
      <w:r>
        <w:rPr>
          <w:b/>
        </w:rPr>
        <w:t>Distribución actual</w:t>
      </w:r>
      <w:r>
        <w:t xml:space="preserve">: </w:t>
      </w:r>
      <w:r>
        <w:rPr>
          <w:rFonts w:ascii="Consolas" w:hAnsi="Consolas"/>
          <w:sz w:val="20"/>
        </w:rPr>
        <w:t>https://hemopocket.github.io</w:t>
      </w:r>
      <w:r>
        <w:t xml:space="preserve"> (GitHub Pages), con redirección desde Vercel.</w:t>
      </w:r>
    </w:p>
    <w:p>
      <w:pPr>
        <w:pStyle w:val="ListBullet"/>
      </w:pPr>
      <w:r>
        <w:rPr>
          <w:b/>
        </w:rPr>
        <w:t>Instalable</w:t>
      </w:r>
      <w:r>
        <w:t xml:space="preserve"> como PWA en Android, iOS (16.4+) y Windows.</w:t>
      </w:r>
    </w:p>
    <w:p>
      <w:pPr>
        <w:pStyle w:val="ListBullet"/>
      </w:pPr>
      <w:r>
        <w:rPr>
          <w:b/>
        </w:rPr>
        <w:t>Código auditable</w:t>
      </w:r>
      <w:r>
        <w:t>: al estar autocontenida, Informática puede revisar su contenido.</w:t>
      </w:r>
    </w:p>
    <w:p>
      <w:pPr>
        <w:pStyle w:val="ListBullet"/>
      </w:pPr>
      <w:r>
        <w:t xml:space="preserve">Si se opta por adopción institucional, puede valorarse </w:t>
      </w:r>
      <w:r>
        <w:rPr>
          <w:b/>
        </w:rPr>
        <w:t>alojamiento controlado por el centro</w:t>
      </w:r>
      <w:r>
        <w:t xml:space="preserve"> y el encaje en el </w:t>
      </w:r>
      <w:r>
        <w:rPr>
          <w:b/>
        </w:rPr>
        <w:t>Esquema Nacional de Seguridad (ENS)</w:t>
      </w:r>
      <w:r>
        <w:t>.</w:t>
      </w:r>
    </w:p>
    <w:p>
      <w:pPr>
        <w:spacing w:before="200" w:after="80"/>
      </w:pPr>
      <w:r>
        <w:rPr>
          <w:b/>
          <w:color w:val="C41E3A"/>
          <w:sz w:val="29"/>
        </w:rPr>
        <w:t>7. Solicitud a Sistemas de Información</w:t>
      </w:r>
    </w:p>
    <w:p>
      <w:pPr>
        <w:pStyle w:val="ListNumber"/>
      </w:pPr>
      <w:r>
        <w:rPr>
          <w:b/>
        </w:rPr>
        <w:t>Validación técnica y de seguridad</w:t>
      </w:r>
      <w:r>
        <w:t xml:space="preserve"> de la herramienta para su uso asistencial.</w:t>
      </w:r>
    </w:p>
    <w:p>
      <w:pPr>
        <w:pStyle w:val="ListNumber"/>
      </w:pPr>
      <w:r>
        <w:rPr>
          <w:b/>
        </w:rPr>
        <w:t>Confirmar la disponibilidad</w:t>
      </w:r>
      <w:r>
        <w:t xml:space="preserve"> de los dominios necesarios en la red (</w:t>
      </w:r>
      <w:r>
        <w:rPr>
          <w:rFonts w:ascii="Consolas" w:hAnsi="Consolas"/>
          <w:sz w:val="20"/>
        </w:rPr>
        <w:t>gstatic.com</w:t>
      </w:r>
      <w:r>
        <w:t xml:space="preserve">) y </w:t>
      </w:r>
      <w:r>
        <w:rPr>
          <w:b/>
        </w:rPr>
        <w:t>probar el modo offline</w:t>
      </w:r>
      <w:r>
        <w:t xml:space="preserve"> en los equipos.</w:t>
      </w:r>
    </w:p>
    <w:p>
      <w:pPr>
        <w:pStyle w:val="ListNumber"/>
      </w:pPr>
      <w:r>
        <w:rPr>
          <w:b/>
        </w:rPr>
        <w:t>Acordar la solución de alojamiento de los PDF</w:t>
      </w:r>
      <w:r>
        <w:t xml:space="preserve"> (punto 5).</w:t>
      </w:r>
    </w:p>
    <w:p>
      <w:pPr>
        <w:pStyle w:val="ListNumber"/>
      </w:pPr>
      <w:r>
        <w:rPr>
          <w:b/>
        </w:rPr>
        <w:t>Apoyo para activar</w:t>
      </w:r>
      <w:r>
        <w:t xml:space="preserve"> App Check y la restricción de la API key.</w:t>
      </w:r>
    </w:p>
    <w:p>
      <w:pPr>
        <w:jc w:val="both"/>
      </w:pPr>
      <w:r>
        <w:t>Quedo a su disposición para una revisión técnica conjunta y para facilitar el acceso al código y a la configuración.</w:t>
      </w:r>
    </w:p>
    <w:p>
      <w:pPr>
        <w:jc w:val="both"/>
      </w:pPr>
      <w:r>
        <w:t>Atentamente,</w:t>
      </w:r>
    </w:p>
    <w:p>
      <w:pPr>
        <w:jc w:val="both"/>
      </w:pPr>
      <w:r>
        <w:rPr>
          <w:b/>
        </w:rPr>
        <w:t>Dra. María Teresa Busnego Barreto</w:t>
      </w:r>
    </w:p>
    <w:p>
      <w:pPr>
        <w:jc w:val="both"/>
      </w:pPr>
      <w:r>
        <w:t>Facultativa Especialista en Hematología y Hemoterapia</w:t>
      </w:r>
    </w:p>
    <w:p>
      <w:pPr>
        <w:jc w:val="both"/>
      </w:pPr>
      <w:r>
        <w:t>Servicio de Hematología y Hemoterapia — HUNSC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HemoPocket · Sistemas de Información   ·   Página </w:t>
    </w:r>
    <w:fldSimple w:instr="PAGE">
      <w:r>
        <w:rPr>
          <w:sz w:val="16"/>
        </w:rPr>
      </w:r>
    </w:fldSimple>
    <w:r>
      <w:rPr>
        <w:color w:val="666666"/>
        <w:sz w:val="16"/>
      </w:rPr>
      <w:t xml:space="preserve"> de </w:t>
    </w:r>
    <w:fldSimple w:instr="NUMPAGES">
      <w:r>
        <w:rPr>
          <w:sz w:val="16"/>
        </w:rPr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