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41E3A"/>
          <w:sz w:val="38"/>
        </w:rPr>
        <w:t>HemoPocket — Recomendaciones para la aprobación institucional</w:t>
      </w:r>
    </w:p>
    <w:p>
      <w:pPr>
        <w:jc w:val="both"/>
      </w:pPr>
      <w:r>
        <w:rPr>
          <w:b/>
        </w:rPr>
        <w:t>Documento técnico de apoyo a la evaluación por las Comisiones de Calidad, de Sistemas de Información (Informática) y por la Dirección Médica del HUNSC.</w:t>
      </w:r>
    </w:p>
    <w:p>
      <w:pPr>
        <w:jc w:val="both"/>
      </w:pPr>
      <w:r>
        <w:t xml:space="preserve">Este documento acompaña al </w:t>
      </w:r>
      <w:r>
        <w:rPr>
          <w:rFonts w:ascii="Consolas" w:hAnsi="Consolas"/>
          <w:sz w:val="20"/>
        </w:rPr>
        <w:t>PROYECTO_HemoPocket.md</w:t>
      </w:r>
      <w:r>
        <w:t xml:space="preserve">. Recoge, de forma honesta y priorizada, los </w:t>
      </w:r>
      <w:r>
        <w:rPr>
          <w:b/>
        </w:rPr>
        <w:t>puntos fuertes</w:t>
      </w:r>
      <w:r>
        <w:t xml:space="preserve"> de la aplicación, las </w:t>
      </w:r>
      <w:r>
        <w:rPr>
          <w:b/>
        </w:rPr>
        <w:t>brechas</w:t>
      </w:r>
      <w:r>
        <w:t xml:space="preserve"> detectadas en una revisión del código y la configuración, y las </w:t>
      </w:r>
      <w:r>
        <w:rPr>
          <w:b/>
        </w:rPr>
        <w:t>acciones concretas recomendadas</w:t>
      </w:r>
      <w:r>
        <w:t xml:space="preserve"> para superar con garantías la evaluación de cada comisión.</w:t>
      </w:r>
    </w:p>
    <w:p>
      <w:pPr>
        <w:ind w:left="432"/>
      </w:pPr>
      <w:r>
        <w:rPr>
          <w:i/>
          <w:color w:val="666666"/>
        </w:rPr>
        <w:t>Las acciones se clasifican por prioridad:</w:t>
      </w:r>
    </w:p>
    <w:p>
      <w:pPr>
        <w:ind w:left="432"/>
      </w:pPr>
      <w:r>
        <w:rPr>
          <w:i/>
          <w:color w:val="666666"/>
        </w:rPr>
        <w:t xml:space="preserve">🔴 </w:t>
      </w:r>
      <w:r>
        <w:rPr>
          <w:b/>
          <w:i/>
          <w:color w:val="666666"/>
        </w:rPr>
        <w:t>Imprescindible</w:t>
      </w:r>
      <w:r>
        <w:rPr>
          <w:i/>
          <w:color w:val="666666"/>
        </w:rPr>
        <w:t xml:space="preserve"> (debería resolverse antes de la aprobación) · 🟡 </w:t>
      </w:r>
      <w:r>
        <w:rPr>
          <w:b/>
          <w:i/>
          <w:color w:val="666666"/>
        </w:rPr>
        <w:t>Recomendable</w:t>
      </w:r>
      <w:r>
        <w:rPr>
          <w:i/>
          <w:color w:val="666666"/>
        </w:rPr>
        <w:t xml:space="preserve"> (refuerza la solicitud) · 🟢 </w:t>
      </w:r>
      <w:r>
        <w:rPr>
          <w:b/>
          <w:i/>
          <w:color w:val="666666"/>
        </w:rPr>
        <w:t>Mejora</w:t>
      </w:r>
      <w:r>
        <w:rPr>
          <w:i/>
          <w:color w:val="666666"/>
        </w:rPr>
        <w:t xml:space="preserve"> (a medio plazo).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0. Resumen de la valoración</w:t>
      </w:r>
    </w:p>
    <w:p>
      <w:pPr>
        <w:jc w:val="both"/>
      </w:pPr>
      <w:r>
        <w:rPr>
          <w:b/>
        </w:rPr>
        <w:t>HemoPocket llega a la evaluación en una posición sólida:</w:t>
      </w:r>
      <w:r>
        <w:t xml:space="preserve"> es una PWA autocontenida, funciona sin conexión, </w:t>
      </w:r>
      <w:r>
        <w:rPr>
          <w:b/>
        </w:rPr>
        <w:t>no almacena datos identificativos de pacientes</w:t>
      </w:r>
      <w:r>
        <w:t>, exige autenticación personal, sitúa los datos de cuenta en región europea, dispone de un Aviso Legal completo y de revisión clínica por pares del propio Servicio.</w:t>
      </w:r>
    </w:p>
    <w:p>
      <w:pPr>
        <w:jc w:val="both"/>
      </w:pPr>
      <w:r>
        <w:t xml:space="preserve">Las acciones pendientes son, en su mayoría, de </w:t>
      </w:r>
      <w:r>
        <w:rPr>
          <w:b/>
        </w:rPr>
        <w:t>formalización documental y de configuración</w:t>
      </w:r>
      <w:r>
        <w:t>, no de rediseño. A continuación se detallan por bloques.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0 bis. Cambios ya aplicados en el código (esta versión)</w:t>
      </w:r>
    </w:p>
    <w:p>
      <w:pPr>
        <w:jc w:val="both"/>
      </w:pPr>
      <w:r>
        <w:t>Como parte de esta revisión, ya se han implementado en la aplicación las siguientes mejoras técnicas. El resto de acciones (documentales y organizativas) se detallan en los bloques siguientes.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Mejora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Bloque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3120"/>
          </w:tcPr>
          <w:p>
            <w:r/>
            <w:r>
              <w:t xml:space="preserve">✅ </w:t>
            </w:r>
            <w:r>
              <w:rPr>
                <w:b/>
              </w:rPr>
              <w:t>Analítica de uso desactivada</w:t>
            </w:r>
          </w:p>
        </w:tc>
        <w:tc>
          <w:tcPr>
            <w:tcW w:type="dxa" w:w="3120"/>
          </w:tcPr>
          <w:p>
            <w:r/>
            <w:r>
              <w:t>A</w:t>
            </w:r>
          </w:p>
        </w:tc>
        <w:tc>
          <w:tcPr>
            <w:tcW w:type="dxa" w:w="3120"/>
          </w:tcPr>
          <w:p>
            <w:r/>
            <w:r>
              <w:t xml:space="preserve">Se ha eliminado Google Analytics for Firebase. La app </w:t>
            </w:r>
            <w:r>
              <w:rPr>
                <w:b/>
              </w:rPr>
              <w:t>ya no envía telemetría de uso a terceros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/>
            <w:r>
              <w:t xml:space="preserve">✅ </w:t>
            </w:r>
            <w:r>
              <w:rPr>
                <w:b/>
              </w:rPr>
              <w:t>Sección de Privacidad en la app</w:t>
            </w:r>
          </w:p>
        </w:tc>
        <w:tc>
          <w:tcPr>
            <w:tcW w:type="dxa" w:w="3120"/>
          </w:tcPr>
          <w:p>
            <w:r/>
            <w:r>
              <w:t>A</w:t>
            </w:r>
          </w:p>
        </w:tc>
        <w:tc>
          <w:tcPr>
            <w:tcW w:type="dxa" w:w="3120"/>
          </w:tcPr>
          <w:p>
            <w:r/>
            <w:r>
              <w:t>El Aviso Legal incluye ahora un apartado "Privacidad y protección de datos" que explicita que no se tratan datos de pacientes, qué se almacena y la recomendación de no introducir datos identificativos.</w:t>
            </w:r>
          </w:p>
        </w:tc>
      </w:tr>
      <w:tr>
        <w:tc>
          <w:tcPr>
            <w:tcW w:type="dxa" w:w="3120"/>
          </w:tcPr>
          <w:p>
            <w:r/>
            <w:r>
              <w:t xml:space="preserve">✅ </w:t>
            </w:r>
            <w:r>
              <w:rPr>
                <w:b/>
              </w:rPr>
              <w:t>Aceptación del Aviso Legal en el primer uso</w:t>
            </w:r>
          </w:p>
        </w:tc>
        <w:tc>
          <w:tcPr>
            <w:tcW w:type="dxa" w:w="3120"/>
          </w:tcPr>
          <w:p>
            <w:r/>
            <w:r>
              <w:t>C</w:t>
            </w:r>
          </w:p>
        </w:tc>
        <w:tc>
          <w:tcPr>
            <w:tcW w:type="dxa" w:w="3120"/>
          </w:tcPr>
          <w:p>
            <w:r/>
            <w:r>
              <w:t>Tras el primer inicio de sesión, el usuario debe confirmar ("He leído y acepto") antes de usar la herramienta. Queda registrado en el dispositivo.</w:t>
            </w:r>
          </w:p>
        </w:tc>
      </w:tr>
      <w:tr>
        <w:tc>
          <w:tcPr>
            <w:tcW w:type="dxa" w:w="3120"/>
          </w:tcPr>
          <w:p>
            <w:r/>
            <w:r>
              <w:t xml:space="preserve">✅ </w:t>
            </w:r>
            <w:r>
              <w:rPr>
                <w:b/>
              </w:rPr>
              <w:t>Visor de PDF auto-alojado</w:t>
            </w:r>
          </w:p>
        </w:tc>
        <w:tc>
          <w:tcPr>
            <w:tcW w:type="dxa" w:w="3120"/>
          </w:tcPr>
          <w:p>
            <w:r/>
            <w: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pdf.js</w:t>
            </w:r>
            <w:r>
              <w:t xml:space="preserve"> se sirve desde el propio dominio (antes desde un CDN externo). Elimina el punto único de fallo y </w:t>
            </w:r>
            <w:r>
              <w:rPr>
                <w:b/>
              </w:rPr>
              <w:t>permite abrir las guías sin conexión</w:t>
            </w:r>
            <w:r>
              <w:t xml:space="preserve">. El </w:t>
            </w:r>
            <w:r>
              <w:rPr>
                <w:i/>
              </w:rPr>
              <w:t>service worker</w:t>
            </w:r>
            <w:r>
              <w:t xml:space="preserve"> lo precachea.</w:t>
            </w:r>
          </w:p>
        </w:tc>
      </w:tr>
    </w:tbl>
    <w:p/>
    <w:p>
      <w:pPr>
        <w:ind w:left="432"/>
      </w:pPr>
      <w:r>
        <w:rPr>
          <w:i/>
          <w:color w:val="666666"/>
        </w:rPr>
        <w:t>Las acciones que siguen marcadas como pendientes (🔴/🟡/🟢) son las que requieren intervención documental, jurídica o de configuración en consola (DPD, DPA, registro de actividad, App Check, etc.), que no pueden resolverse solo desde el código.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Bloque A — Protección de datos (RGPD / LOPDGDD)</w:t>
      </w:r>
    </w:p>
    <w:p>
      <w:pPr>
        <w:spacing w:before="140"/>
      </w:pPr>
      <w:r>
        <w:rPr>
          <w:b/>
          <w:color w:val="C41E3A"/>
          <w:sz w:val="24"/>
        </w:rPr>
        <w:t>Lo que ya está bien ✅</w:t>
      </w:r>
    </w:p>
    <w:p>
      <w:pPr>
        <w:pStyle w:val="ListBullet"/>
      </w:pPr>
      <w:r>
        <w:rPr>
          <w:b/>
        </w:rPr>
        <w:t>No se tratan datos identificativos de pacientes.</w:t>
      </w:r>
      <w:r>
        <w:t xml:space="preserve"> Verificado en el código: el único estado "de paciente" que maneja la app son parámetros clínicos </w:t>
      </w:r>
      <w:r>
        <w:rPr>
          <w:b/>
        </w:rPr>
        <w:t>no identificativos</w:t>
      </w:r>
      <w:r>
        <w:t xml:space="preserve"> (edad, sexo, peso, talla, creatinina) usados por las calculadoras. </w:t>
      </w:r>
      <w:r>
        <w:rPr>
          <w:b/>
        </w:rPr>
        <w:t>No</w:t>
      </w:r>
      <w:r>
        <w:t xml:space="preserve"> se solicita ni guarda nombre, NHC, DNI ni diagnóstico nominativo.</w:t>
      </w:r>
    </w:p>
    <w:p>
      <w:pPr>
        <w:pStyle w:val="ListBullet"/>
      </w:pPr>
      <w:r>
        <w:t xml:space="preserve">Esos parámetros se guardan </w:t>
      </w:r>
      <w:r>
        <w:rPr>
          <w:b/>
        </w:rPr>
        <w:t>solo en el dispositivo</w:t>
      </w:r>
      <w:r>
        <w:t xml:space="preserve"> (almacenamiento local) y </w:t>
      </w:r>
      <w:r>
        <w:rPr>
          <w:b/>
        </w:rPr>
        <w:t>no se transmiten</w:t>
      </w:r>
      <w:r>
        <w:t xml:space="preserve"> a ningún servidor: la sincronización en la nube se limita a </w:t>
      </w:r>
      <w:r>
        <w:rPr>
          <w:i/>
        </w:rPr>
        <w:t>favoritos</w:t>
      </w:r>
      <w:r>
        <w:t xml:space="preserve"> y </w:t>
      </w:r>
      <w:r>
        <w:rPr>
          <w:i/>
        </w:rPr>
        <w:t>elementos recientes</w:t>
      </w:r>
      <w:r>
        <w:t>.</w:t>
      </w:r>
    </w:p>
    <w:p>
      <w:pPr>
        <w:pStyle w:val="ListBullet"/>
      </w:pPr>
      <w:r>
        <w:t xml:space="preserve">El acceso exige </w:t>
      </w:r>
      <w:r>
        <w:rPr>
          <w:b/>
        </w:rPr>
        <w:t>credenciales personales</w:t>
      </w:r>
      <w:r>
        <w:t xml:space="preserve"> (correo + contraseña) mediante Firebase Authentication.</w:t>
      </w:r>
    </w:p>
    <w:p>
      <w:pPr>
        <w:pStyle w:val="ListBullet"/>
      </w:pPr>
      <w:r>
        <w:t xml:space="preserve">Los datos de cuenta y sincronización están configurados en </w:t>
      </w:r>
      <w:r>
        <w:rPr>
          <w:b/>
        </w:rPr>
        <w:t>región europea</w:t>
      </w:r>
      <w:r>
        <w:t xml:space="preserve"> (</w:t>
      </w:r>
      <w:r>
        <w:rPr>
          <w:i/>
        </w:rPr>
        <w:t>europe-west</w:t>
      </w:r>
      <w:r>
        <w:t>).</w:t>
      </w:r>
    </w:p>
    <w:p>
      <w:pPr>
        <w:spacing w:before="140"/>
      </w:pPr>
      <w:r>
        <w:rPr>
          <w:b/>
          <w:color w:val="C41E3A"/>
          <w:sz w:val="24"/>
        </w:rPr>
        <w:t>Brechas y acciones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4680"/>
          </w:tcPr>
          <w:p>
            <w:r/>
            <w:r>
              <w:t>🔴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Política de privacidad explícita.</w:t>
            </w:r>
            <w:r>
              <w:t xml:space="preserve"> ✅ </w:t>
            </w:r>
            <w:r>
              <w:rPr>
                <w:i/>
              </w:rPr>
              <w:t>Parcialmente hecho</w:t>
            </w:r>
            <w:r>
              <w:t xml:space="preserve">: el Aviso Legal ya incluye una sección "Privacidad y protección de datos" en la app. </w:t>
            </w:r>
            <w:r>
              <w:rPr>
                <w:b/>
              </w:rPr>
              <w:t>Pendiente</w:t>
            </w:r>
            <w:r>
              <w:t xml:space="preserve"> de formalizar con el DPD el documento completo: base jurídica, responsable, encargado (Google/Firebase), conservación, derechos del interesado y vía de ejercicio.</w:t>
            </w:r>
          </w:p>
        </w:tc>
      </w:tr>
      <w:tr>
        <w:tc>
          <w:tcPr>
            <w:tcW w:type="dxa" w:w="4680"/>
          </w:tcPr>
          <w:p>
            <w:r/>
            <w:r>
              <w:t>🔴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Registro de la actividad de tratamiento.</w:t>
            </w:r>
            <w:r>
              <w:t xml:space="preserve"> Con el apoyo del </w:t>
            </w:r>
            <w:r>
              <w:rPr>
                <w:b/>
              </w:rPr>
              <w:t>Delegado de Protección de Datos (DPD)</w:t>
            </w:r>
            <w:r>
              <w:t xml:space="preserve"> del centro, inscribir el tratamiento de "datos de cuenta de profesionales usuarios" en el Registro de Actividades de Tratamiento.</w:t>
            </w:r>
          </w:p>
        </w:tc>
      </w:tr>
      <w:tr>
        <w:tc>
          <w:tcPr>
            <w:tcW w:type="dxa" w:w="4680"/>
          </w:tcPr>
          <w:p>
            <w:r/>
            <w:r>
              <w:t>🔴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Contrato de encargado / DPA.</w:t>
            </w:r>
            <w:r>
              <w:t xml:space="preserve"> Documentar el acuerdo de tratamiento de datos con Google (Firebase) y verificar las garantías de transferencia internacional (los servicios de autenticación de Google pueden implicar tratamiento fuera de la UE pese a la región del dato).</w:t>
            </w:r>
          </w:p>
        </w:tc>
      </w:tr>
      <w:tr>
        <w:tc>
          <w:tcPr>
            <w:tcW w:type="dxa" w:w="4680"/>
          </w:tcPr>
          <w:p>
            <w:r/>
            <w:r>
              <w:t>✅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Analítica de uso desactivada (hecho).</w:t>
            </w:r>
            <w:r>
              <w:t xml:space="preserve"> Se ha eliminado Google Analytics for Firebase; la app ya no envía telemetría de uso a terceros.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Aviso "no introducir datos de paciente".</w:t>
            </w:r>
            <w:r>
              <w:t xml:space="preserve"> Añadir un recordatorio visible en los campos de las calculadoras indicando que no deben introducirse datos identificativos (refuerza el diseño </w:t>
            </w:r>
            <w:r>
              <w:rPr>
                <w:i/>
              </w:rPr>
              <w:t>privacy-by-default</w:t>
            </w:r>
            <w:r>
              <w:t xml:space="preserve"> ya existente).</w:t>
            </w:r>
          </w:p>
        </w:tc>
      </w:tr>
      <w:tr>
        <w:tc>
          <w:tcPr>
            <w:tcW w:type="dxa" w:w="4680"/>
          </w:tcPr>
          <w:p>
            <w:r/>
            <w:r>
              <w:t>🟢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Evaluación de impacto (EIPD/DPIA).</w:t>
            </w:r>
            <w:r>
              <w:t xml:space="preserve"> Previsiblemente </w:t>
            </w:r>
            <w:r>
              <w:rPr>
                <w:b/>
              </w:rPr>
              <w:t>no es exigible</w:t>
            </w:r>
            <w:r>
              <w:t xml:space="preserve"> al no tratarse datos de salud de pacientes; aun así, conviene dejar constancia escrita de esa valoración (umbral no alcanzado) avalada por el DPD.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Bloque B — Seguridad informática (Comisión de Informática)</w:t>
      </w:r>
    </w:p>
    <w:p>
      <w:pPr>
        <w:spacing w:before="140"/>
      </w:pPr>
      <w:r>
        <w:rPr>
          <w:b/>
          <w:color w:val="C41E3A"/>
          <w:sz w:val="24"/>
        </w:rPr>
        <w:t>Lo que ya está bien ✅</w:t>
      </w:r>
    </w:p>
    <w:p>
      <w:pPr>
        <w:pStyle w:val="ListBullet"/>
      </w:pPr>
      <w:r>
        <w:rPr>
          <w:b/>
        </w:rPr>
        <w:t>PWA sin instalación intrusiva</w:t>
      </w:r>
      <w:r>
        <w:t>: no requiere privilegios de administrador en los equipos.</w:t>
      </w:r>
    </w:p>
    <w:p>
      <w:pPr>
        <w:pStyle w:val="ListBullet"/>
      </w:pPr>
      <w:r>
        <w:rPr>
          <w:b/>
        </w:rPr>
        <w:t>Modelo de permisos por roles</w:t>
      </w:r>
      <w:r>
        <w:t xml:space="preserve"> (admin / editor por sección) con </w:t>
      </w:r>
      <w:r>
        <w:rPr>
          <w:b/>
        </w:rPr>
        <w:t>reglas de seguridad</w:t>
      </w:r>
      <w:r>
        <w:t xml:space="preserve"> en Firestore y Storage revisables (</w:t>
      </w:r>
      <w:r>
        <w:rPr>
          <w:rFonts w:ascii="Consolas" w:hAnsi="Consolas"/>
          <w:sz w:val="20"/>
        </w:rPr>
        <w:t>/firebase/*.rules</w:t>
      </w:r>
      <w:r>
        <w:t>).</w:t>
      </w:r>
    </w:p>
    <w:p>
      <w:pPr>
        <w:pStyle w:val="ListBullet"/>
      </w:pPr>
      <w:r>
        <w:rPr>
          <w:b/>
        </w:rPr>
        <w:t>HTTPS</w:t>
      </w:r>
      <w:r>
        <w:t xml:space="preserve"> en todo el tráfico; </w:t>
      </w:r>
      <w:r>
        <w:rPr>
          <w:b/>
        </w:rPr>
        <w:t>funcionamiento offline</w:t>
      </w:r>
      <w:r>
        <w:t xml:space="preserve"> robusto mediante </w:t>
      </w:r>
      <w:r>
        <w:rPr>
          <w:i/>
        </w:rPr>
        <w:t>service worker</w:t>
      </w:r>
      <w:r>
        <w:t>.</w:t>
      </w:r>
    </w:p>
    <w:p>
      <w:pPr>
        <w:pStyle w:val="ListBullet"/>
      </w:pPr>
      <w:r>
        <w:rPr>
          <w:b/>
        </w:rPr>
        <w:t>Código autocontenido y auditable</w:t>
      </w:r>
      <w:r>
        <w:t xml:space="preserve"> en un repositorio público.</w:t>
      </w:r>
    </w:p>
    <w:p>
      <w:pPr>
        <w:pStyle w:val="ListBullet"/>
      </w:pPr>
      <w:r>
        <w:t>Diseño consciente de las restricciones de red del hospital (las guías se sirven desde alojamiento estático accesible).</w:t>
      </w:r>
    </w:p>
    <w:p>
      <w:pPr>
        <w:spacing w:before="140"/>
      </w:pPr>
      <w:r>
        <w:rPr>
          <w:b/>
          <w:color w:val="C41E3A"/>
          <w:sz w:val="24"/>
        </w:rPr>
        <w:t>Brechas y acciones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4680"/>
          </w:tcPr>
          <w:p>
            <w:r/>
            <w:r>
              <w:t>🔴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Acceso a los PDF de guías.</w:t>
            </w:r>
            <w:r>
              <w:t xml:space="preserve"> Los 48 PDF de </w:t>
            </w:r>
            <w:r>
              <w:rPr>
                <w:rFonts w:ascii="Consolas" w:hAnsi="Consolas"/>
                <w:sz w:val="20"/>
              </w:rPr>
              <w:t>guias/</w:t>
            </w:r>
            <w:r>
              <w:t xml:space="preserve"> se sirven en </w:t>
            </w:r>
            <w:r>
              <w:rPr>
                <w:b/>
              </w:rPr>
              <w:t>GitHub Pages de forma pública</w:t>
            </w:r>
            <w:r>
              <w:t xml:space="preserve"> (URL directa accesible sin login), aunque la </w:t>
            </w:r>
            <w:r>
              <w:rPr>
                <w:i/>
              </w:rPr>
              <w:t>interfaz</w:t>
            </w:r>
            <w:r>
              <w:t xml:space="preserve"> de la app exija autenticación. Como muchos son documentos de sociedades científicas con derechos de terceros, conviene: (a) confirmar la licencia/permiso de difusión pública de cada documento, o (b) trasladar los PDF a un alojamiento con control de acceso. </w:t>
            </w:r>
            <w:r>
              <w:rPr>
                <w:i/>
              </w:rPr>
              <w:t>Nota: el código documenta que la red del hospital bloquea Firebase Storage, de ahí el alojamiento actual; debe valorarse con Informática la alternativa viable.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Dependencias externas.</w:t>
            </w:r>
            <w:r>
              <w:t xml:space="preserve"> ✅ </w:t>
            </w:r>
            <w:r>
              <w:rPr>
                <w:b/>
              </w:rPr>
              <w:t>pdf.js ya se auto-aloja</w:t>
            </w:r>
            <w:r>
              <w:t xml:space="preserve"> en el propio dominio (</w:t>
            </w:r>
            <w:r>
              <w:rPr>
                <w:rFonts w:ascii="Consolas" w:hAnsi="Consolas"/>
                <w:sz w:val="20"/>
              </w:rPr>
              <w:t>/vendor/pdfjs/pdf.min.js</w:t>
            </w:r>
            <w:r>
              <w:t xml:space="preserve">), eliminando la dependencia del CDN y habilitando el visor offline. Queda pendiente: que Informática </w:t>
            </w:r>
            <w:r>
              <w:rPr>
                <w:b/>
              </w:rPr>
              <w:t>confirme que `gstatic.com` (SDK de Firebase) está permitido</w:t>
            </w:r>
            <w:r>
              <w:t xml:space="preserve"> en la red asistencial (ya se cachea offline vía </w:t>
            </w:r>
            <w:r>
              <w:rPr>
                <w:i/>
              </w:rPr>
              <w:t>service worker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Endurecer Firebase.</w:t>
            </w:r>
            <w:r>
              <w:t xml:space="preserve"> La clave web de Firebase es visible en el código fuente —</w:t>
            </w:r>
            <w:r>
              <w:rPr>
                <w:b/>
              </w:rPr>
              <w:t>esto es normal y esperado</w:t>
            </w:r>
            <w:r>
              <w:t xml:space="preserve"> en apps de navegador; la seguridad recae en las reglas y en Auth—. Reforzar con: </w:t>
            </w:r>
            <w:r>
              <w:rPr>
                <w:b/>
              </w:rPr>
              <w:t>Firebase App Check</w:t>
            </w:r>
            <w:r>
              <w:t xml:space="preserve">, </w:t>
            </w:r>
            <w:r>
              <w:rPr>
                <w:b/>
              </w:rPr>
              <w:t>restricción de la API key por referrer HTTP</w:t>
            </w:r>
            <w:r>
              <w:t xml:space="preserve"> y revisión periódica de las reglas.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Política de credenciales.</w:t>
            </w:r>
            <w:r>
              <w:t xml:space="preserve"> Definir requisitos de contraseña, proceso de alta/baja de usuarios (sincronizado con altas/bajas del Servicio) y valorar </w:t>
            </w:r>
            <w:r>
              <w:rPr>
                <w:b/>
              </w:rPr>
              <w:t>verificación en dos pasos (MFA)</w:t>
            </w:r>
            <w:r>
              <w:t xml:space="preserve"> para las cuentas con rol de edición.</w:t>
            </w:r>
          </w:p>
        </w:tc>
      </w:tr>
      <w:tr>
        <w:tc>
          <w:tcPr>
            <w:tcW w:type="dxa" w:w="4680"/>
          </w:tcPr>
          <w:p>
            <w:r/>
            <w:r>
              <w:t>🟢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Alojamiento.</w:t>
            </w:r>
            <w:r>
              <w:t xml:space="preserve"> El despliegue actual es GitHub Pages / Vercel (proveedores fuera de la UE). Si la institución adopta la herramienta como propia, valorar alojamiento controlado por el centro y, en su caso, encaje con el </w:t>
            </w:r>
            <w:r>
              <w:rPr>
                <w:b/>
              </w:rPr>
              <w:t>Esquema Nacional de Seguridad (ENS)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t>🟢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Alertas de coste.</w:t>
            </w:r>
            <w:r>
              <w:t xml:space="preserve"> Configurar alertas de presupuesto en la consola de Google Cloud (previsto ~0 € para el volumen del Servicio, pero conviene el control).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Bloque C — Calidad y gobernanza clínica (Comisión de Calidad)</w:t>
      </w:r>
    </w:p>
    <w:p>
      <w:pPr>
        <w:spacing w:before="140"/>
      </w:pPr>
      <w:r>
        <w:rPr>
          <w:b/>
          <w:color w:val="C41E3A"/>
          <w:sz w:val="24"/>
        </w:rPr>
        <w:t>Lo que ya está bien ✅</w:t>
      </w:r>
    </w:p>
    <w:p>
      <w:pPr>
        <w:pStyle w:val="ListBullet"/>
      </w:pPr>
      <w:r>
        <w:t xml:space="preserve">Contenido basado en guías de referencia (ELN, ESMO, NCCN, SEHH, GELTAMO, PETHEMA, ISTH, ASTCT, IMWG, iwCLL) </w:t>
      </w:r>
      <w:r>
        <w:rPr>
          <w:b/>
        </w:rPr>
        <w:t>con citas bibliográficas</w:t>
      </w:r>
      <w:r>
        <w:t>.</w:t>
      </w:r>
    </w:p>
    <w:p>
      <w:pPr>
        <w:pStyle w:val="ListBullet"/>
      </w:pPr>
      <w:r>
        <w:rPr>
          <w:b/>
        </w:rPr>
        <w:t>Revisión clínica por pares</w:t>
      </w:r>
      <w:r>
        <w:t xml:space="preserve"> del propio Servicio: revisores acreditados por área en la app y en el Aviso Legal.</w:t>
      </w:r>
    </w:p>
    <w:p>
      <w:pPr>
        <w:pStyle w:val="ListBullet"/>
      </w:pPr>
      <w:r>
        <w:rPr>
          <w:b/>
        </w:rPr>
        <w:t>Limitación de responsabilidad</w:t>
      </w:r>
      <w:r>
        <w:t xml:space="preserve"> clara: herramienta de apoyo, no sustituye juicio clínico, protocolos del centro ni ficha técnica.</w:t>
      </w:r>
    </w:p>
    <w:p>
      <w:pPr>
        <w:pStyle w:val="ListBullet"/>
      </w:pPr>
      <w:r>
        <w:t xml:space="preserve">Contenido </w:t>
      </w:r>
      <w:r>
        <w:rPr>
          <w:b/>
        </w:rPr>
        <w:t>versionado</w:t>
      </w:r>
      <w:r>
        <w:t xml:space="preserve"> y distribución centralizada de actualizaciones.</w:t>
      </w:r>
    </w:p>
    <w:p>
      <w:pPr>
        <w:spacing w:before="140"/>
      </w:pPr>
      <w:r>
        <w:rPr>
          <w:b/>
          <w:color w:val="C41E3A"/>
          <w:sz w:val="24"/>
        </w:rPr>
        <w:t>Brechas y acciones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4680"/>
          </w:tcPr>
          <w:p>
            <w:r/>
            <w:r>
              <w:t>🔴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Procedimiento documentado de actualización (SOP).</w:t>
            </w:r>
            <w:r>
              <w:t xml:space="preserve"> Formalizar por escrito: quién revisa cada área, con qué periodicidad, cómo se valida un cambio antes de publicarlo y cómo se comunica. Esto convierte la "actualización continua" en un proceso auditable.</w:t>
            </w:r>
          </w:p>
        </w:tc>
      </w:tr>
      <w:tr>
        <w:tc>
          <w:tcPr>
            <w:tcW w:type="dxa" w:w="4680"/>
          </w:tcPr>
          <w:p>
            <w:r/>
            <w:r>
              <w:t>🔴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Comité editorial del Servicio.</w:t>
            </w:r>
            <w:r>
              <w:t xml:space="preserve"> Designar responsables/revisores por área (ya existen de facto) con un acta que respalde la gobernanza del contenido y la </w:t>
            </w:r>
            <w:r>
              <w:rPr>
                <w:b/>
              </w:rPr>
              <w:t>declaración de conflictos de interés</w:t>
            </w:r>
            <w:r>
              <w:t xml:space="preserve"> de los revisores.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Trazabilidad por unidad de contenido.</w:t>
            </w:r>
            <w:r>
              <w:t xml:space="preserve"> Mostrar en cada escala/algoritmo la </w:t>
            </w:r>
            <w:r>
              <w:rPr>
                <w:b/>
              </w:rPr>
              <w:t>fecha de última revisión</w:t>
            </w:r>
            <w:r>
              <w:t xml:space="preserve"> y la </w:t>
            </w:r>
            <w:r>
              <w:rPr>
                <w:b/>
              </w:rPr>
              <w:t>versión de la guía fuente</w:t>
            </w:r>
            <w:r>
              <w:t xml:space="preserve">, además de un </w:t>
            </w:r>
            <w:r>
              <w:rPr>
                <w:b/>
              </w:rPr>
              <w:t>historial de cambios</w:t>
            </w:r>
            <w:r>
              <w:t xml:space="preserve"> (</w:t>
            </w:r>
            <w:r>
              <w:rPr>
                <w:i/>
              </w:rPr>
              <w:t>changelog</w:t>
            </w:r>
            <w:r>
              <w:t>) accesible al usuario desde la app.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Validación de cálculos.</w:t>
            </w:r>
            <w:r>
              <w:t xml:space="preserve"> Documentar que cada calculadora reproduce fielmente la fórmula publicada (lista de verificación firmada por los revisores). Opcional: una pequeña prueba de validación/usabilidad interna con casos de control.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Implicación formal del Servicio de Farmacia.</w:t>
            </w:r>
            <w:r>
              <w:t xml:space="preserve"> Para dosis y conversiones (opioides, antifúngicos, antibióticos, reversión de anticoagulación), validar la concordancia con la </w:t>
            </w:r>
            <w:r>
              <w:rPr>
                <w:b/>
              </w:rPr>
              <w:t>ficha técnica</w:t>
            </w:r>
            <w:r>
              <w:t xml:space="preserve"> y los protocolos de Farmacia del centro (ya figura un farmacéutico entre los contactos).</w:t>
            </w:r>
          </w:p>
        </w:tc>
      </w:tr>
      <w:tr>
        <w:tc>
          <w:tcPr>
            <w:tcW w:type="dxa" w:w="4680"/>
          </w:tcPr>
          <w:p>
            <w:r/>
            <w:r>
              <w:t>✅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Aceptación del Aviso Legal en el primer uso (hecho).</w:t>
            </w:r>
            <w:r>
              <w:t xml:space="preserve"> Se requiere confirmación (</w:t>
            </w:r>
            <w:r>
              <w:rPr>
                <w:i/>
              </w:rPr>
              <w:t>click-through</w:t>
            </w:r>
            <w:r>
              <w:t>) en el primer uso tras iniciar sesión, evidenciando el uso informado de la herramienta como apoyo.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Bloque D — Accesibilidad</w:t>
      </w:r>
    </w:p>
    <w:p>
      <w:pPr>
        <w:spacing w:before="140"/>
      </w:pPr>
      <w:r>
        <w:rPr>
          <w:b/>
          <w:color w:val="C41E3A"/>
          <w:sz w:val="24"/>
        </w:rPr>
        <w:t>Lo que ya está bien ✅</w:t>
      </w:r>
    </w:p>
    <w:p>
      <w:pPr>
        <w:pStyle w:val="ListBullet"/>
      </w:pPr>
      <w:r>
        <w:t xml:space="preserve">Etiquetas </w:t>
      </w:r>
      <w:r>
        <w:rPr>
          <w:b/>
        </w:rPr>
        <w:t>ARIA</w:t>
      </w:r>
      <w:r>
        <w:t xml:space="preserve"> en los controles principales, </w:t>
      </w:r>
      <w:r>
        <w:rPr>
          <w:b/>
        </w:rPr>
        <w:t>roles de diálogo</w:t>
      </w:r>
      <w:r>
        <w:t xml:space="preserve"> (</w:t>
      </w:r>
      <w:r>
        <w:rPr>
          <w:rFonts w:ascii="Consolas" w:hAnsi="Consolas"/>
          <w:sz w:val="20"/>
        </w:rPr>
        <w:t>role="dialog" aria-modal</w:t>
      </w:r>
      <w:r>
        <w:t xml:space="preserve">), estructura semántica, </w:t>
      </w:r>
      <w:r>
        <w:rPr>
          <w:b/>
        </w:rPr>
        <w:t>modo oscuro</w:t>
      </w:r>
      <w:r>
        <w:t xml:space="preserve">, diseño </w:t>
      </w:r>
      <w:r>
        <w:rPr>
          <w:i/>
        </w:rPr>
        <w:t>responsive</w:t>
      </w:r>
      <w:r>
        <w:t xml:space="preserve"> y </w:t>
      </w:r>
      <w:r>
        <w:rPr>
          <w:b/>
        </w:rPr>
        <w:t>navegación por teclado</w:t>
      </w:r>
      <w:r>
        <w:t xml:space="preserve"> (atajo Ctrl+K, cierre con Escape).</w:t>
      </w:r>
    </w:p>
    <w:p>
      <w:pPr>
        <w:spacing w:before="140"/>
      </w:pPr>
      <w:r>
        <w:rPr>
          <w:b/>
          <w:color w:val="C41E3A"/>
          <w:sz w:val="24"/>
        </w:rPr>
        <w:t>Brechas y acciones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Auditoría WCAG 2.1 AA</w:t>
            </w:r>
            <w:r>
              <w:t xml:space="preserve"> y publicación de una </w:t>
            </w:r>
            <w:r>
              <w:rPr>
                <w:b/>
              </w:rPr>
              <w:t>declaración de accesibilidad</w:t>
            </w:r>
            <w:r>
              <w:t xml:space="preserve">. Si la herramienta se considera de sector público, aplica el </w:t>
            </w:r>
            <w:r>
              <w:rPr>
                <w:b/>
              </w:rPr>
              <w:t>RD 1112/2018</w:t>
            </w:r>
            <w:r>
              <w:t>. La base ya está bien orientada; falta la verificación formal.</w:t>
            </w:r>
          </w:p>
        </w:tc>
      </w:tr>
      <w:tr>
        <w:tc>
          <w:tcPr>
            <w:tcW w:type="dxa" w:w="4680"/>
          </w:tcPr>
          <w:p>
            <w:r/>
            <w:r>
              <w:t>🟢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Contraste y tamaño de fuente.</w:t>
            </w:r>
            <w:r>
              <w:t xml:space="preserve"> Revisar ratios de contraste en ambos temas y ofrecer escalado de texto.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Bloque E — Sostenibilidad y continuidad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</w:tr>
      <w:tr>
        <w:tc>
          <w:tcPr>
            <w:tcW w:type="dxa" w:w="4680"/>
          </w:tcPr>
          <w:p>
            <w:r/>
            <w:r>
              <w:t>🔴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Riesgo de autor único.</w:t>
            </w:r>
            <w:r>
              <w:t xml:space="preserve"> Designar </w:t>
            </w:r>
            <w:r>
              <w:rPr>
                <w:b/>
              </w:rPr>
              <w:t>mantenedores de respaldo</w:t>
            </w:r>
            <w:r>
              <w:t xml:space="preserve">, garantizar el </w:t>
            </w:r>
            <w:r>
              <w:rPr>
                <w:b/>
              </w:rPr>
              <w:t>acceso del Servicio al repositorio y a la consola de Firebase</w:t>
            </w:r>
            <w:r>
              <w:t>, y documentar la base de código. Definir un plan de contingencia si la autora no estuviera disponible.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Copia de seguridad y recuperación.</w:t>
            </w:r>
            <w:r>
              <w:t xml:space="preserve"> Procedimiento de respaldo del contenido (repositorio + base de datos de guías/roles) y de las credenciales de administración.</w:t>
            </w:r>
          </w:p>
        </w:tc>
      </w:tr>
      <w:tr>
        <w:tc>
          <w:tcPr>
            <w:tcW w:type="dxa" w:w="4680"/>
          </w:tcPr>
          <w:p>
            <w:r/>
            <w:r>
              <w:t>🟡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Prueba en la red del hospital.</w:t>
            </w:r>
            <w:r>
              <w:t xml:space="preserve"> Verificar formalmente el funcionamiento (login, sincronización y modo offline) desde los equipos y la red asistencial reales.</w:t>
            </w:r>
          </w:p>
        </w:tc>
      </w:tr>
      <w:tr>
        <w:tc>
          <w:tcPr>
            <w:tcW w:type="dxa" w:w="4680"/>
          </w:tcPr>
          <w:p>
            <w:r/>
            <w:r>
              <w:t>🟢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Plan de retirada/sustitución</w:t>
            </w:r>
            <w:r>
              <w:t xml:space="preserve"> ordenado, por si en el futuro se decidiera integrar el contenido en otra plataforma corporativa.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Bloque F — Encaje institucional y marco de relación</w:t>
      </w:r>
    </w:p>
    <w:p>
      <w:pPr>
        <w:jc w:val="both"/>
      </w:pPr>
      <w:r>
        <w:t xml:space="preserve">El Aviso Legal actual declara expresamente que HemoPocket </w:t>
      </w:r>
      <w:r>
        <w:rPr>
          <w:b/>
        </w:rPr>
        <w:t>no es un producto oficial del HUNSC</w:t>
      </w:r>
      <w:r>
        <w:t xml:space="preserve">. Si la institución decide respaldarla, conviene </w:t>
      </w:r>
      <w:r>
        <w:rPr>
          <w:b/>
        </w:rPr>
        <w:t>aclarar por escrito el modelo de relación</w:t>
      </w:r>
      <w:r>
        <w:t>, porque condiciona la responsabilidad y la propiedad intelectual:</w:t>
      </w:r>
    </w:p>
    <w:p>
      <w:pPr>
        <w:pStyle w:val="ListBullet"/>
      </w:pPr>
      <w:r>
        <w:rPr>
          <w:b/>
        </w:rPr>
        <w:t>Opción 1 — Reconocimiento de uso</w:t>
      </w:r>
      <w:r>
        <w:t xml:space="preserve">: el centro autoriza/recomienda su uso como herramienta de apoyo, manteniéndose la titularidad en la autora. </w:t>
      </w:r>
      <w:r>
        <w:rPr>
          <w:i/>
        </w:rPr>
        <w:t>(Menor implicación institucional; rápida.)</w:t>
      </w:r>
    </w:p>
    <w:p>
      <w:pPr>
        <w:pStyle w:val="ListBullet"/>
      </w:pPr>
      <w:r>
        <w:rPr>
          <w:b/>
        </w:rPr>
        <w:t>Opción 2 — Adopción institucional</w:t>
      </w:r>
      <w:r>
        <w:t xml:space="preserve">: el centro asume la herramienta como recurso del Servicio, con acuerdo de cesión/licencia, gobernanza y mantenimiento corporativos. </w:t>
      </w:r>
      <w:r>
        <w:rPr>
          <w:i/>
        </w:rPr>
        <w:t>(Mayor implicación; requiere acuerdo de propiedad intelectual y, probablemente, encaje en ENS y en los sistemas corporativos.)</w:t>
      </w:r>
    </w:p>
    <w:p>
      <w:pPr>
        <w:ind w:left="432"/>
      </w:pPr>
      <w:r>
        <w:rPr>
          <w:i/>
          <w:color w:val="666666"/>
        </w:rPr>
        <w:t xml:space="preserve">🔴 </w:t>
      </w:r>
      <w:r>
        <w:rPr>
          <w:b/>
          <w:i/>
          <w:color w:val="666666"/>
        </w:rPr>
        <w:t>Acción</w:t>
      </w:r>
      <w:r>
        <w:rPr>
          <w:i/>
          <w:color w:val="666666"/>
        </w:rPr>
        <w:t>: decidir, con la Dirección Médica, cuál de los dos modelos se persigue, ya que determina varias de las acciones anteriores (alojamiento, DPA, ENS, IP).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Tabla resumen de acciones imprescindibles (🔴)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Bloque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Responsable propuesto</w:t>
            </w:r>
          </w:p>
        </w:tc>
      </w:tr>
      <w:tr>
        <w:tc>
          <w:tcPr>
            <w:tcW w:type="dxa" w:w="2340"/>
          </w:tcPr>
          <w:p>
            <w:r/>
            <w:r>
              <w:t>1</w:t>
            </w:r>
          </w:p>
        </w:tc>
        <w:tc>
          <w:tcPr>
            <w:tcW w:type="dxa" w:w="2340"/>
          </w:tcPr>
          <w:p>
            <w:r/>
            <w:r>
              <w:t>A</w:t>
            </w:r>
          </w:p>
        </w:tc>
        <w:tc>
          <w:tcPr>
            <w:tcW w:type="dxa" w:w="2340"/>
          </w:tcPr>
          <w:p>
            <w:r/>
            <w:r>
              <w:t>Política de privacidad explícita</w:t>
            </w:r>
          </w:p>
        </w:tc>
        <w:tc>
          <w:tcPr>
            <w:tcW w:type="dxa" w:w="2340"/>
          </w:tcPr>
          <w:p>
            <w:r/>
            <w:r>
              <w:t>Autora + DPD</w:t>
            </w:r>
          </w:p>
        </w:tc>
      </w:tr>
      <w:tr>
        <w:tc>
          <w:tcPr>
            <w:tcW w:type="dxa" w:w="2340"/>
          </w:tcPr>
          <w:p>
            <w:r/>
            <w:r>
              <w:t>2</w:t>
            </w:r>
          </w:p>
        </w:tc>
        <w:tc>
          <w:tcPr>
            <w:tcW w:type="dxa" w:w="2340"/>
          </w:tcPr>
          <w:p>
            <w:r/>
            <w:r>
              <w:t>A</w:t>
            </w:r>
          </w:p>
        </w:tc>
        <w:tc>
          <w:tcPr>
            <w:tcW w:type="dxa" w:w="2340"/>
          </w:tcPr>
          <w:p>
            <w:r/>
            <w:r>
              <w:t>Registro de actividad de tratamiento</w:t>
            </w:r>
          </w:p>
        </w:tc>
        <w:tc>
          <w:tcPr>
            <w:tcW w:type="dxa" w:w="2340"/>
          </w:tcPr>
          <w:p>
            <w:r/>
            <w:r>
              <w:t>DPD</w:t>
            </w:r>
          </w:p>
        </w:tc>
      </w:tr>
      <w:tr>
        <w:tc>
          <w:tcPr>
            <w:tcW w:type="dxa" w:w="2340"/>
          </w:tcPr>
          <w:p>
            <w:r/>
            <w:r>
              <w:t>3</w:t>
            </w:r>
          </w:p>
        </w:tc>
        <w:tc>
          <w:tcPr>
            <w:tcW w:type="dxa" w:w="2340"/>
          </w:tcPr>
          <w:p>
            <w:r/>
            <w:r>
              <w:t>A</w:t>
            </w:r>
          </w:p>
        </w:tc>
        <w:tc>
          <w:tcPr>
            <w:tcW w:type="dxa" w:w="2340"/>
          </w:tcPr>
          <w:p>
            <w:r/>
            <w:r>
              <w:t>DPA / transferencias con Google</w:t>
            </w:r>
          </w:p>
        </w:tc>
        <w:tc>
          <w:tcPr>
            <w:tcW w:type="dxa" w:w="2340"/>
          </w:tcPr>
          <w:p>
            <w:r/>
            <w:r>
              <w:t>DPD + Informática</w:t>
            </w:r>
          </w:p>
        </w:tc>
      </w:tr>
      <w:tr>
        <w:tc>
          <w:tcPr>
            <w:tcW w:type="dxa" w:w="2340"/>
          </w:tcPr>
          <w:p>
            <w:r/>
            <w:r>
              <w:t>4</w:t>
            </w:r>
          </w:p>
        </w:tc>
        <w:tc>
          <w:tcPr>
            <w:tcW w:type="dxa" w:w="2340"/>
          </w:tcPr>
          <w:p>
            <w:r/>
            <w:r>
              <w:t>B</w:t>
            </w:r>
          </w:p>
        </w:tc>
        <w:tc>
          <w:tcPr>
            <w:tcW w:type="dxa" w:w="2340"/>
          </w:tcPr>
          <w:p>
            <w:r/>
            <w:r>
              <w:t>Resolver acceso/licencia de los PDF públicos</w:t>
            </w:r>
          </w:p>
        </w:tc>
        <w:tc>
          <w:tcPr>
            <w:tcW w:type="dxa" w:w="2340"/>
          </w:tcPr>
          <w:p>
            <w:r/>
            <w:r>
              <w:t>Autora + Informática + Asesoría jurídica</w:t>
            </w:r>
          </w:p>
        </w:tc>
      </w:tr>
      <w:tr>
        <w:tc>
          <w:tcPr>
            <w:tcW w:type="dxa" w:w="2340"/>
          </w:tcPr>
          <w:p>
            <w:r/>
            <w:r>
              <w:t>5</w:t>
            </w:r>
          </w:p>
        </w:tc>
        <w:tc>
          <w:tcPr>
            <w:tcW w:type="dxa" w:w="2340"/>
          </w:tcPr>
          <w:p>
            <w:r/>
            <w:r>
              <w:t>C</w:t>
            </w:r>
          </w:p>
        </w:tc>
        <w:tc>
          <w:tcPr>
            <w:tcW w:type="dxa" w:w="2340"/>
          </w:tcPr>
          <w:p>
            <w:r/>
            <w:r>
              <w:t>Procedimiento documentado de actualización (SOP)</w:t>
            </w:r>
          </w:p>
        </w:tc>
        <w:tc>
          <w:tcPr>
            <w:tcW w:type="dxa" w:w="2340"/>
          </w:tcPr>
          <w:p>
            <w:r/>
            <w:r>
              <w:t>Comité editorial del Servicio</w:t>
            </w:r>
          </w:p>
        </w:tc>
      </w:tr>
      <w:tr>
        <w:tc>
          <w:tcPr>
            <w:tcW w:type="dxa" w:w="2340"/>
          </w:tcPr>
          <w:p>
            <w:r/>
            <w:r>
              <w:t>6</w:t>
            </w:r>
          </w:p>
        </w:tc>
        <w:tc>
          <w:tcPr>
            <w:tcW w:type="dxa" w:w="2340"/>
          </w:tcPr>
          <w:p>
            <w:r/>
            <w:r>
              <w:t>C</w:t>
            </w:r>
          </w:p>
        </w:tc>
        <w:tc>
          <w:tcPr>
            <w:tcW w:type="dxa" w:w="2340"/>
          </w:tcPr>
          <w:p>
            <w:r/>
            <w:r>
              <w:t>Constituir comité editorial + conflictos de interés</w:t>
            </w:r>
          </w:p>
        </w:tc>
        <w:tc>
          <w:tcPr>
            <w:tcW w:type="dxa" w:w="2340"/>
          </w:tcPr>
          <w:p>
            <w:r/>
            <w:r>
              <w:t>Jefatura de Servicio</w:t>
            </w:r>
          </w:p>
        </w:tc>
      </w:tr>
      <w:tr>
        <w:tc>
          <w:tcPr>
            <w:tcW w:type="dxa" w:w="2340"/>
          </w:tcPr>
          <w:p>
            <w:r/>
            <w:r>
              <w:t>7</w:t>
            </w:r>
          </w:p>
        </w:tc>
        <w:tc>
          <w:tcPr>
            <w:tcW w:type="dxa" w:w="2340"/>
          </w:tcPr>
          <w:p>
            <w:r/>
            <w:r>
              <w:t>E</w:t>
            </w:r>
          </w:p>
        </w:tc>
        <w:tc>
          <w:tcPr>
            <w:tcW w:type="dxa" w:w="2340"/>
          </w:tcPr>
          <w:p>
            <w:r/>
            <w:r>
              <w:t>Mantenedores de respaldo y acceso del Servicio</w:t>
            </w:r>
          </w:p>
        </w:tc>
        <w:tc>
          <w:tcPr>
            <w:tcW w:type="dxa" w:w="2340"/>
          </w:tcPr>
          <w:p>
            <w:r/>
            <w:r>
              <w:t>Jefatura de Servicio</w:t>
            </w:r>
          </w:p>
        </w:tc>
      </w:tr>
      <w:tr>
        <w:tc>
          <w:tcPr>
            <w:tcW w:type="dxa" w:w="2340"/>
          </w:tcPr>
          <w:p>
            <w:r/>
            <w:r>
              <w:t>8</w:t>
            </w:r>
          </w:p>
        </w:tc>
        <w:tc>
          <w:tcPr>
            <w:tcW w:type="dxa" w:w="2340"/>
          </w:tcPr>
          <w:p>
            <w:r/>
            <w:r>
              <w:t>F</w:t>
            </w:r>
          </w:p>
        </w:tc>
        <w:tc>
          <w:tcPr>
            <w:tcW w:type="dxa" w:w="2340"/>
          </w:tcPr>
          <w:p>
            <w:r/>
            <w:r>
              <w:t>Decidir modelo de relación institucional</w:t>
            </w:r>
          </w:p>
        </w:tc>
        <w:tc>
          <w:tcPr>
            <w:tcW w:type="dxa" w:w="2340"/>
          </w:tcPr>
          <w:p>
            <w:r/>
            <w:r>
              <w:t>Dirección Médica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Conclusión</w:t>
      </w:r>
    </w:p>
    <w:p>
      <w:pPr>
        <w:jc w:val="both"/>
      </w:pPr>
      <w:r>
        <w:t xml:space="preserve">HemoPocket es </w:t>
      </w:r>
      <w:r>
        <w:rPr>
          <w:b/>
        </w:rPr>
        <w:t>técnica y clínicamente sólida</w:t>
      </w:r>
      <w:r>
        <w:t xml:space="preserve"> y parte de un diseño respetuoso con la privacidad (sin datos de pacientes, acceso autenticado, datos en la UE, funcionamiento offline). Las acciones pendientes son fundamentalmente de </w:t>
      </w:r>
      <w:r>
        <w:rPr>
          <w:b/>
        </w:rPr>
        <w:t>formalización documental, configuración de seguridad y gobernanza</w:t>
      </w:r>
      <w:r>
        <w:t>, todas abordables sin rediseñar la aplicación.</w:t>
      </w:r>
    </w:p>
    <w:p>
      <w:pPr>
        <w:jc w:val="both"/>
      </w:pPr>
      <w:r>
        <w:t xml:space="preserve">Resolviendo en primer lugar las acciones marcadas como 🔴, la herramienta se presenta ante las comisiones con un </w:t>
      </w:r>
      <w:r>
        <w:rPr>
          <w:b/>
        </w:rPr>
        <w:t>expediente completo y coherente</w:t>
      </w:r>
      <w:r>
        <w:t xml:space="preserve"> con los criterios de calidad asistencial, seguridad de la información y protección de datos del centro.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HemoPocket · Recomendaciones (uso interno)   ·   Página </w:t>
    </w:r>
    <w:fldSimple w:instr="PAGE">
      <w:r>
        <w:rPr>
          <w:sz w:val="16"/>
        </w:rPr>
      </w:r>
    </w:fldSimple>
    <w:r>
      <w:rPr>
        <w:color w:val="666666"/>
        <w:sz w:val="16"/>
      </w:rPr>
      <w:t xml:space="preserve"> de </w:t>
    </w:r>
    <w:fldSimple w:instr="NUMPAGES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