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b/>
          <w:color w:val="C41E3A"/>
          <w:sz w:val="38"/>
        </w:rPr>
        <w:t>HemoPocket</w:t>
      </w:r>
    </w:p>
    <w:p>
      <w:pPr>
        <w:spacing w:before="200" w:after="80"/>
      </w:pPr>
      <w:r>
        <w:rPr>
          <w:b/>
          <w:color w:val="C41E3A"/>
          <w:sz w:val="29"/>
        </w:rPr>
        <w:t>Solicitud de respaldo institucional a un proyecto de mejora de la calidad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 la atención de</w:t>
            </w:r>
          </w:p>
        </w:tc>
        <w:tc>
          <w:tcPr>
            <w:tcW w:type="dxa" w:w="4680"/>
          </w:tcPr>
          <w:p>
            <w:r/>
            <w:r>
              <w:t>Dirección Médica — Hospital Universitario Ntra. Sra. de Candelaria (HUNSC)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Asunto</w:t>
            </w:r>
          </w:p>
        </w:tc>
        <w:tc>
          <w:tcPr>
            <w:tcW w:type="dxa" w:w="4680"/>
          </w:tcPr>
          <w:p>
            <w:r/>
            <w:r>
              <w:t>Respaldo institucional al proyecto "Implantación y evaluación de una herramienta de apoyo a la decisión clínica en Hematología"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Promotora / IP</w:t>
            </w:r>
          </w:p>
        </w:tc>
        <w:tc>
          <w:tcPr>
            <w:tcW w:type="dxa" w:w="4680"/>
          </w:tcPr>
          <w:p>
            <w:r/>
            <w:r>
              <w:t>Dra. María Teresa Busnego Barreto — F.E.A. Hematología y Hemoterapia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Documento adjunto</w:t>
            </w:r>
          </w:p>
        </w:tc>
        <w:tc>
          <w:tcPr>
            <w:tcW w:type="dxa" w:w="4680"/>
          </w:tcPr>
          <w:p>
            <w:r/>
            <w:r>
              <w:t>Protocolo de Investigación y Mejora de la Calidad</w:t>
            </w:r>
          </w:p>
        </w:tc>
      </w:tr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4680"/>
          </w:tcPr>
          <w:p>
            <w:r/>
            <w:r>
              <w:t>Santa Cruz de Tenerife, 9 de junio de 2026</w:t>
            </w:r>
          </w:p>
        </w:tc>
      </w:tr>
    </w:tbl>
    <w:p/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jc w:val="both"/>
      </w:pPr>
      <w:r>
        <w:t>Estimada Dirección Médica:</w:t>
      </w:r>
    </w:p>
    <w:p>
      <w:pPr>
        <w:jc w:val="both"/>
      </w:pPr>
      <w:r>
        <w:t xml:space="preserve">Someto a su consideración el proyecto de mejora de la calidad </w:t>
      </w:r>
      <w:r>
        <w:rPr>
          <w:b/>
        </w:rPr>
        <w:t>«Implantación y evaluación de una herramienta de apoyo a la decisión clínica en Hematología»</w:t>
      </w:r>
      <w:r>
        <w:t xml:space="preserve"> (protocolo adjunto), que evalúa la herramienta </w:t>
      </w:r>
      <w:r>
        <w:rPr>
          <w:b/>
        </w:rPr>
        <w:t>HemoPocket</w:t>
      </w:r>
      <w:r>
        <w:t xml:space="preserve">, desarrollada desde el propio Servicio. Solicito su </w:t>
      </w:r>
      <w:r>
        <w:rPr>
          <w:b/>
        </w:rPr>
        <w:t>respaldo institucional</w:t>
      </w:r>
      <w:r>
        <w:t xml:space="preserve"> y una </w:t>
      </w:r>
      <w:r>
        <w:rPr>
          <w:b/>
        </w:rPr>
        <w:t>decisión sobre el modelo de relación</w:t>
      </w:r>
      <w:r>
        <w:t xml:space="preserve"> del hospital con la herramienta.</w:t>
      </w:r>
    </w:p>
    <w:p>
      <w:pPr>
        <w:spacing w:before="60" w:after="60"/>
      </w:pPr>
      <w:r>
        <w:rPr>
          <w:color w:val="BBBBBB"/>
        </w:rPr>
        <w:t>____________________________________________________________</w:t>
      </w:r>
    </w:p>
    <w:p>
      <w:pPr>
        <w:spacing w:before="200" w:after="80"/>
      </w:pPr>
      <w:r>
        <w:rPr>
          <w:b/>
          <w:color w:val="C41E3A"/>
          <w:sz w:val="29"/>
        </w:rPr>
        <w:t>1. Valor para la institución</w:t>
      </w:r>
    </w:p>
    <w:p>
      <w:pPr>
        <w:pStyle w:val="ListBullet"/>
      </w:pPr>
      <w:r>
        <w:rPr>
          <w:b/>
        </w:rPr>
        <w:t>Mejor atención al paciente hematológico</w:t>
      </w:r>
      <w:r>
        <w:t>: criterios homogéneos y decisiones más rápidas y seguras, con menor variabilidad no justificada.</w:t>
      </w:r>
    </w:p>
    <w:p>
      <w:pPr>
        <w:pStyle w:val="ListBullet"/>
      </w:pPr>
      <w:r>
        <w:rPr>
          <w:b/>
        </w:rPr>
        <w:t>Seguridad del paciente</w:t>
      </w:r>
      <w:r>
        <w:t>: la herramienta reduce errores de cálculo y omisiones; el proyecto lo evalúa con indicadores.</w:t>
      </w:r>
    </w:p>
    <w:p>
      <w:pPr>
        <w:pStyle w:val="ListBullet"/>
      </w:pPr>
      <w:r>
        <w:rPr>
          <w:b/>
        </w:rPr>
        <w:t>Docencia y captación de talento</w:t>
      </w:r>
      <w:r>
        <w:t>: recurso de referencia para residentes; proyecta una imagen de servicio innovador.</w:t>
      </w:r>
    </w:p>
    <w:p>
      <w:pPr>
        <w:pStyle w:val="ListBullet"/>
      </w:pPr>
      <w:r>
        <w:rPr>
          <w:b/>
        </w:rPr>
        <w:t>Coste prácticamente nulo</w:t>
      </w:r>
      <w:r>
        <w:t>: sin licencias, sin servidores propios y sin instalación en los equipos.</w:t>
      </w:r>
    </w:p>
    <w:p>
      <w:pPr>
        <w:pStyle w:val="ListBullet"/>
      </w:pPr>
      <w:r>
        <w:rPr>
          <w:b/>
        </w:rPr>
        <w:t>Innovación y evaluación rigurosa</w:t>
      </w:r>
      <w:r>
        <w:t xml:space="preserve">: el proyecto incorpora un </w:t>
      </w:r>
      <w:r>
        <w:rPr>
          <w:b/>
        </w:rPr>
        <w:t>estudio antes-después</w:t>
      </w:r>
      <w:r>
        <w:t xml:space="preserve"> que aportará evidencia local.</w:t>
      </w:r>
    </w:p>
    <w:p>
      <w:pPr>
        <w:spacing w:before="200" w:after="80"/>
      </w:pPr>
      <w:r>
        <w:rPr>
          <w:b/>
          <w:color w:val="C41E3A"/>
          <w:sz w:val="29"/>
        </w:rPr>
        <w:t>2. Garantías (resumen)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Ámbito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Garantía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Protección de datos</w:t>
            </w:r>
          </w:p>
        </w:tc>
        <w:tc>
          <w:tcPr>
            <w:tcW w:type="dxa" w:w="4680"/>
          </w:tcPr>
          <w:p>
            <w:r/>
            <w:r>
              <w:t>No se tratan datos de pacientes. Acceso con credenciales personales; datos de cuenta en región europea; tráfico cifrado; sin telemetría a terceros.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Calidad del contenido</w:t>
            </w:r>
          </w:p>
        </w:tc>
        <w:tc>
          <w:tcPr>
            <w:tcW w:type="dxa" w:w="4680"/>
          </w:tcPr>
          <w:p>
            <w:r/>
            <w:r>
              <w:t>Basado en guías de referencia y revisado por facultativos del Servicio.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Responsabilidad</w:t>
            </w:r>
          </w:p>
        </w:tc>
        <w:tc>
          <w:tcPr>
            <w:tcW w:type="dxa" w:w="4680"/>
          </w:tcPr>
          <w:p>
            <w:r/>
            <w:r>
              <w:t>Aviso Legal con limitación de responsabilidad y aceptación obligatoria en el primer uso.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Ética y rigor</w:t>
            </w:r>
          </w:p>
        </w:tc>
        <w:tc>
          <w:tcPr>
            <w:tcW w:type="dxa" w:w="4680"/>
          </w:tcPr>
          <w:p>
            <w:r/>
            <w:r>
              <w:t xml:space="preserve">El proyecto se someterá al </w:t>
            </w:r>
            <w:r>
              <w:rPr>
                <w:b/>
              </w:rPr>
              <w:t>CEIm</w:t>
            </w:r>
            <w:r>
              <w:t>; participación voluntaria de los profesionales y conflicto de interés declarado.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</w:rPr>
              <w:t>Seguridad informática</w:t>
            </w:r>
          </w:p>
        </w:tc>
        <w:tc>
          <w:tcPr>
            <w:tcW w:type="dxa" w:w="4680"/>
          </w:tcPr>
          <w:p>
            <w:r/>
            <w:r>
              <w:t>Aplicación sin instalación intrusiva, con permisos por roles y código auditable (detalle en el documento para Sistemas de Información).</w:t>
            </w:r>
          </w:p>
        </w:tc>
      </w:tr>
    </w:tbl>
    <w:p/>
    <w:p>
      <w:pPr>
        <w:spacing w:before="200" w:after="80"/>
      </w:pPr>
      <w:r>
        <w:rPr>
          <w:b/>
          <w:color w:val="C41E3A"/>
          <w:sz w:val="29"/>
        </w:rPr>
        <w:t>3. Riesgos identificados y su mitigación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Riesgo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Mitigación</w:t>
            </w:r>
          </w:p>
        </w:tc>
      </w:tr>
      <w:tr>
        <w:tc>
          <w:tcPr>
            <w:tcW w:type="dxa" w:w="4680"/>
          </w:tcPr>
          <w:p>
            <w:r/>
            <w:r>
              <w:t>Dependencia de una sola persona</w:t>
            </w:r>
          </w:p>
        </w:tc>
        <w:tc>
          <w:tcPr>
            <w:tcW w:type="dxa" w:w="4680"/>
          </w:tcPr>
          <w:p>
            <w:r/>
            <w:r>
              <w:t xml:space="preserve">Comité editorial del Servicio y </w:t>
            </w:r>
            <w:r>
              <w:rPr>
                <w:b/>
              </w:rPr>
              <w:t>mantenedor de respaldo</w:t>
            </w:r>
            <w:r>
              <w:t xml:space="preserve"> con acceso.</w:t>
            </w:r>
          </w:p>
        </w:tc>
      </w:tr>
      <w:tr>
        <w:tc>
          <w:tcPr>
            <w:tcW w:type="dxa" w:w="4680"/>
          </w:tcPr>
          <w:p>
            <w:r/>
            <w:r>
              <w:t>Cumplimiento formal (RGPD)</w:t>
            </w:r>
          </w:p>
        </w:tc>
        <w:tc>
          <w:tcPr>
            <w:tcW w:type="dxa" w:w="4680"/>
          </w:tcPr>
          <w:p>
            <w:r/>
            <w:r>
              <w:t xml:space="preserve">Política de privacidad y registro de la actividad </w:t>
            </w:r>
            <w:r>
              <w:rPr>
                <w:b/>
              </w:rPr>
              <w:t>con el Delegado de Protección de Datos</w:t>
            </w:r>
            <w:r>
              <w:t>.</w:t>
            </w:r>
          </w:p>
        </w:tc>
      </w:tr>
      <w:tr>
        <w:tc>
          <w:tcPr>
            <w:tcW w:type="dxa" w:w="4680"/>
          </w:tcPr>
          <w:p>
            <w:r/>
            <w:r>
              <w:t>Sesgo del evaluador (la IP es la autora)</w:t>
            </w:r>
          </w:p>
        </w:tc>
        <w:tc>
          <w:tcPr>
            <w:tcW w:type="dxa" w:w="4680"/>
          </w:tcPr>
          <w:p>
            <w:r/>
            <w:r>
              <w:t>Recogida y análisis delegados en un coinvestigador no autor; conflicto declarado.</w:t>
            </w:r>
          </w:p>
        </w:tc>
      </w:tr>
      <w:tr>
        <w:tc>
          <w:tcPr>
            <w:tcW w:type="dxa" w:w="4680"/>
          </w:tcPr>
          <w:p>
            <w:r/>
            <w:r>
              <w:t>Contenido desactualizado</w:t>
            </w:r>
          </w:p>
        </w:tc>
        <w:tc>
          <w:tcPr>
            <w:tcW w:type="dxa" w:w="4680"/>
          </w:tcPr>
          <w:p>
            <w:r/>
            <w:r>
              <w:t>Procedimiento de actualización documentado y trazabilidad de versiones.</w:t>
            </w:r>
          </w:p>
        </w:tc>
      </w:tr>
    </w:tbl>
    <w:p/>
    <w:p>
      <w:pPr>
        <w:spacing w:before="200" w:after="80"/>
      </w:pPr>
      <w:r>
        <w:rPr>
          <w:b/>
          <w:color w:val="C41E3A"/>
          <w:sz w:val="29"/>
        </w:rPr>
        <w:t>4. Decisión que solicitamos: modelo de relación</w:t>
      </w:r>
    </w:p>
    <w:p>
      <w:pPr>
        <w:jc w:val="both"/>
      </w:pPr>
      <w:r>
        <w:t xml:space="preserve">El Aviso Legal declara que HemoPocket </w:t>
      </w:r>
      <w:r>
        <w:rPr>
          <w:b/>
        </w:rPr>
        <w:t>no es un producto oficial del hospital</w:t>
      </w:r>
      <w:r>
        <w:t>. Si la institución desea respaldarlo, conviene definir el marco:</w:t>
      </w:r>
    </w:p>
    <w:p>
      <w:pPr>
        <w:pStyle w:val="ListBullet"/>
      </w:pPr>
      <w:r>
        <w:rPr>
          <w:b/>
        </w:rPr>
        <w:t>Opción A — Reconocimiento de uso</w:t>
      </w:r>
      <w:r>
        <w:t xml:space="preserve"> </w:t>
      </w:r>
      <w:r>
        <w:rPr>
          <w:i/>
        </w:rPr>
        <w:t>(recomendada para iniciar)</w:t>
      </w:r>
      <w:r>
        <w:t>: el centro autoriza y recomienda su uso como herramienta de apoyo; la titularidad permanece en la autora. Implantación rápida y de bajo riesgo.</w:t>
      </w:r>
    </w:p>
    <w:p>
      <w:pPr>
        <w:pStyle w:val="ListBullet"/>
      </w:pPr>
      <w:r>
        <w:rPr>
          <w:b/>
        </w:rPr>
        <w:t>Opción B — Adopción institucional</w:t>
      </w:r>
      <w:r>
        <w:t>: el centro la asume como recurso propio, con acuerdo de cesión/licencia, gobernanza y mantenimiento corporativos. Mayor implicación; requeriría acuerdo de propiedad intelectual y encaje en los sistemas corporativos.</w:t>
      </w:r>
    </w:p>
    <w:p>
      <w:pPr>
        <w:spacing w:before="200" w:after="80"/>
      </w:pPr>
      <w:r>
        <w:rPr>
          <w:b/>
          <w:color w:val="C41E3A"/>
          <w:sz w:val="29"/>
        </w:rPr>
        <w:t>5. Solicitud a la Dirección Médica</w:t>
      </w:r>
    </w:p>
    <w:p>
      <w:pPr>
        <w:pStyle w:val="ListNumber"/>
      </w:pPr>
      <w:r>
        <w:rPr>
          <w:b/>
        </w:rPr>
        <w:t>Respaldo institucional</w:t>
      </w:r>
      <w:r>
        <w:t xml:space="preserve"> al proyecto y a la herramienta como apoyo del Servicio de Hematología.</w:t>
      </w:r>
    </w:p>
    <w:p>
      <w:pPr>
        <w:pStyle w:val="ListNumber"/>
      </w:pPr>
      <w:r>
        <w:rPr>
          <w:b/>
        </w:rPr>
        <w:t>Decisión sobre el modelo de relación</w:t>
      </w:r>
      <w:r>
        <w:t xml:space="preserve"> (Opción A o B).</w:t>
      </w:r>
    </w:p>
    <w:p>
      <w:pPr>
        <w:pStyle w:val="ListNumber"/>
      </w:pPr>
      <w:r>
        <w:rPr>
          <w:b/>
        </w:rPr>
        <w:t>Apoyo para las gestiones de cumplimiento y tramitación</w:t>
      </w:r>
      <w:r>
        <w:t xml:space="preserve">: interlocución con el </w:t>
      </w:r>
      <w:r>
        <w:rPr>
          <w:b/>
        </w:rPr>
        <w:t>CEIm</w:t>
      </w:r>
      <w:r>
        <w:t xml:space="preserve">, el </w:t>
      </w:r>
      <w:r>
        <w:rPr>
          <w:b/>
        </w:rPr>
        <w:t>Delegado de Protección de Datos</w:t>
      </w:r>
      <w:r>
        <w:t xml:space="preserve"> y </w:t>
      </w:r>
      <w:r>
        <w:rPr>
          <w:b/>
        </w:rPr>
        <w:t>Sistemas de Información</w:t>
      </w:r>
      <w:r>
        <w:t>.</w:t>
      </w:r>
    </w:p>
    <w:p>
      <w:pPr>
        <w:jc w:val="both"/>
      </w:pPr>
      <w:r>
        <w:t>Quedo a su disposición para una presentación ejecutiva y una demostración de la herramienta.</w:t>
      </w:r>
    </w:p>
    <w:p>
      <w:pPr>
        <w:jc w:val="both"/>
      </w:pPr>
      <w:r>
        <w:t>Atentamente,</w:t>
      </w:r>
    </w:p>
    <w:p>
      <w:pPr>
        <w:jc w:val="both"/>
      </w:pPr>
      <w:r>
        <w:rPr>
          <w:b/>
        </w:rPr>
        <w:t>Dra. María Teresa Busnego Barreto</w:t>
      </w:r>
    </w:p>
    <w:p>
      <w:pPr>
        <w:jc w:val="both"/>
      </w:pPr>
      <w:r>
        <w:t>Facultativa Especialista en Hematología y Hemoterapia</w:t>
      </w:r>
    </w:p>
    <w:p>
      <w:pPr>
        <w:jc w:val="both"/>
      </w:pPr>
      <w:r>
        <w:t>Servicio de Hematología y Hemoterapia — HUNSC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6666"/>
        <w:sz w:val="16"/>
      </w:rPr>
      <w:t xml:space="preserve">HemoPocket · Dirección Médica   ·   Página </w:t>
    </w:r>
    <w:fldSimple w:instr="PAGE">
      <w:r>
        <w:rPr>
          <w:sz w:val="16"/>
        </w:rPr>
      </w:r>
    </w:fldSimple>
    <w:r>
      <w:rPr>
        <w:color w:val="666666"/>
        <w:sz w:val="16"/>
      </w:rPr>
      <w:t xml:space="preserve"> de </w:t>
    </w:r>
    <w:fldSimple w:instr="NUMPAGES">
      <w:r>
        <w:rPr>
          <w:sz w:val="16"/>
        </w:rPr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