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44"/>
        <w:gridCol w:w="2405"/>
      </w:tblGrid>
      <w:tr>
        <w:tc>
          <w:tcPr>
            <w:tcW w:type="dxa" w:w="4874"/>
          </w:tcPr>
          <w:p>
            <w:pPr>
              <w:spacing w:after="20"/>
            </w:pPr>
            <w:r>
              <w:rPr>
                <w:b/>
                <w:color w:val="07162D"/>
                <w:sz w:val="19"/>
              </w:rPr>
              <w:t>University of Colombo School of Computing (UCSC)</w:t>
            </w:r>
          </w:p>
          <w:p>
            <w:pPr>
              <w:spacing w:after="80"/>
            </w:pPr>
            <w:r>
              <w:rPr>
                <w:color w:val="087F80"/>
                <w:sz w:val="18"/>
              </w:rPr>
              <w:t>SCS2301 / IS2201: Software Engineering Project (2025/2026)</w:t>
            </w:r>
          </w:p>
          <w:p>
            <w:pPr>
              <w:spacing w:after="20"/>
            </w:pPr>
            <w:r>
              <w:rPr>
                <w:b/>
                <w:color w:val="07162D"/>
                <w:sz w:val="34"/>
              </w:rPr>
              <w:t>Interim Action Plan Document</w:t>
            </w:r>
          </w:p>
          <w:p>
            <w:pPr>
              <w:spacing w:after="0"/>
            </w:pPr>
            <w:r>
              <w:rPr>
                <w:b/>
                <w:color w:val="475467"/>
                <w:sz w:val="21"/>
              </w:rPr>
              <w:t>Project: University Sports Management System (USMS)</w:t>
            </w:r>
          </w:p>
        </w:tc>
        <w:tc>
          <w:tcPr>
            <w:tcW w:type="dxa" w:w="4874"/>
            <w:shd w:fill="F1F5F9"/>
            <w:tcMar>
              <w:top w:w="100" w:type="dxa"/>
              <w:bottom w:w="100" w:type="dxa"/>
              <w:left w:w="100" w:type="dxa"/>
              <w:right w:w="100" w:type="dxa"/>
            </w:tcMar>
          </w:tcPr>
          <w:p>
            <w:pPr>
              <w:spacing w:after="20"/>
              <w:jc w:val="center"/>
            </w:pPr>
            <w:r>
              <w:rPr>
                <w:b/>
                <w:color w:val="087F80"/>
                <w:sz w:val="28"/>
              </w:rPr>
              <w:t>GROUP IS03</w:t>
              <w:br/>
            </w:r>
            <w:r>
              <w:rPr>
                <w:color w:val="475467"/>
                <w:sz w:val="17"/>
              </w:rPr>
              <w:t>Defense: ACCEPT</w:t>
              <w:br/>
              <w:t>Date: Sep 24, 2026</w:t>
            </w:r>
          </w:p>
        </w:tc>
      </w:tr>
    </w:tbl>
    <w:p>
      <w:pPr>
        <w:spacing w:after="160" w:before="80"/>
        <w:pBdr>
          <w:bottom w:val="single" w:sz="18" w:space="1" w:color="087F80"/>
        </w:pBdr>
      </w:pPr>
    </w:p>
    <w:p>
      <w:pPr>
        <w:spacing w:before="220" w:after="60"/>
      </w:pPr>
      <w:r>
        <w:rPr>
          <w:b/>
          <w:color w:val="07162D"/>
          <w:sz w:val="24"/>
        </w:rPr>
        <w:t>1. Executive Summary</w:t>
      </w:r>
    </w:p>
    <w:p>
      <w:r>
        <w:t>Following the formal Proposal Presentation and Defense for Group IS03, the academic evaluation panel accepted our proposed project, University Sports Management System (USMS). The core Problem and Proposed Solution, Project Scope, Feasibility Study, and Utilization of Development Frameworks were approved with an overall outcome of ACCEPT.</w:t>
      </w:r>
    </w:p>
    <w:p>
      <w:r>
        <w:t>The panel provided targeted feedback on five key areas: (1) practical modeling of university student database verification, (2) defining security as explicit functional requirements, (3) confirming full multi-sport coverage, (4) eliminating automated medical lock releases in favor of manual clinical discretion, and (5) revising design diagrams (which were marked as Reject for rectification). This Action Plan document clearly explains each feedback item and details the actions we have implemented or scheduled to fulfill the panel's recommendations.</w:t>
      </w:r>
    </w:p>
    <w:p>
      <w:pPr>
        <w:spacing w:before="220" w:after="60"/>
      </w:pPr>
      <w:r>
        <w:rPr>
          <w:b/>
          <w:color w:val="07162D"/>
          <w:sz w:val="24"/>
        </w:rPr>
        <w:t>2. Feedback Summary Matrix</w:t>
      </w:r>
    </w:p>
    <w:tbl>
      <w:tblPr>
        <w:tblW w:type="auto" w:w="0"/>
        <w:jc w:val="center"/>
        <w:tblLayout w:type="fixed"/>
        <w:tblLook w:firstColumn="1" w:firstRow="1" w:lastColumn="0" w:lastRow="0" w:noHBand="0" w:noVBand="1" w:val="04A0"/>
      </w:tblPr>
      <w:tblGrid>
        <w:gridCol w:w="2592"/>
        <w:gridCol w:w="3989"/>
        <w:gridCol w:w="3168"/>
      </w:tblGrid>
      <w:tr>
        <w:tc>
          <w:tcPr>
            <w:tcW w:type="dxa" w:w="3250"/>
            <w:shd w:fill="07162D"/>
            <w:tcMar>
              <w:top w:w="80" w:type="dxa"/>
              <w:bottom w:w="80" w:type="dxa"/>
              <w:left w:w="80" w:type="dxa"/>
              <w:right w:w="80" w:type="dxa"/>
            </w:tcMar>
          </w:tcPr>
          <w:p>
            <w:pPr>
              <w:spacing w:after="0"/>
            </w:pPr>
            <w:r>
              <w:rPr>
                <w:b/>
                <w:color w:val="FFFFFF"/>
                <w:sz w:val="18"/>
              </w:rPr>
              <w:t>Evaluation Area</w:t>
            </w:r>
          </w:p>
        </w:tc>
        <w:tc>
          <w:tcPr>
            <w:tcW w:type="dxa" w:w="3250"/>
            <w:shd w:fill="07162D"/>
            <w:tcMar>
              <w:top w:w="80" w:type="dxa"/>
              <w:bottom w:w="80" w:type="dxa"/>
              <w:left w:w="80" w:type="dxa"/>
              <w:right w:w="80" w:type="dxa"/>
            </w:tcMar>
          </w:tcPr>
          <w:p>
            <w:pPr>
              <w:spacing w:after="0"/>
            </w:pPr>
            <w:r>
              <w:rPr>
                <w:b/>
                <w:color w:val="FFFFFF"/>
                <w:sz w:val="18"/>
              </w:rPr>
              <w:t>Panel Feedback</w:t>
            </w:r>
          </w:p>
        </w:tc>
        <w:tc>
          <w:tcPr>
            <w:tcW w:type="dxa" w:w="3250"/>
            <w:shd w:fill="07162D"/>
            <w:tcMar>
              <w:top w:w="80" w:type="dxa"/>
              <w:bottom w:w="80" w:type="dxa"/>
              <w:left w:w="80" w:type="dxa"/>
              <w:right w:w="80" w:type="dxa"/>
            </w:tcMar>
          </w:tcPr>
          <w:p>
            <w:pPr>
              <w:spacing w:after="0"/>
            </w:pPr>
            <w:r>
              <w:rPr>
                <w:b/>
                <w:color w:val="FFFFFF"/>
                <w:sz w:val="18"/>
              </w:rPr>
              <w:t>Action Taken / Status</w:t>
            </w:r>
          </w:p>
        </w:tc>
      </w:tr>
      <w:tr>
        <w:tc>
          <w:tcPr>
            <w:tcW w:type="dxa" w:w="3250"/>
            <w:shd w:fill="F8FAFC"/>
            <w:tcMar>
              <w:top w:w="60" w:type="dxa"/>
              <w:bottom w:w="60" w:type="dxa"/>
              <w:left w:w="70" w:type="dxa"/>
              <w:right w:w="70" w:type="dxa"/>
            </w:tcMar>
          </w:tcPr>
          <w:p>
            <w:pPr>
              <w:spacing w:after="0"/>
            </w:pPr>
            <w:r>
              <w:rPr>
                <w:b/>
                <w:sz w:val="17"/>
              </w:rPr>
              <w:t>Student Database Verification</w:t>
            </w:r>
          </w:p>
        </w:tc>
        <w:tc>
          <w:tcPr>
            <w:tcW w:type="dxa" w:w="3250"/>
            <w:shd w:fill="F8FAFC"/>
            <w:tcMar>
              <w:top w:w="60" w:type="dxa"/>
              <w:bottom w:w="60" w:type="dxa"/>
              <w:left w:w="70" w:type="dxa"/>
              <w:right w:w="70" w:type="dxa"/>
            </w:tcMar>
          </w:tcPr>
          <w:p>
            <w:pPr>
              <w:spacing w:after="0"/>
            </w:pPr>
            <w:r>
              <w:rPr>
                <w:sz w:val="17"/>
              </w:rPr>
              <w:t>Cannot cross-check live student DB practically; okay to assume verification when data is available.</w:t>
            </w:r>
          </w:p>
        </w:tc>
        <w:tc>
          <w:tcPr>
            <w:tcW w:type="dxa" w:w="3250"/>
            <w:shd w:fill="F8FAFC"/>
            <w:tcMar>
              <w:top w:w="60" w:type="dxa"/>
              <w:bottom w:w="60" w:type="dxa"/>
              <w:left w:w="70" w:type="dxa"/>
              <w:right w:w="70" w:type="dxa"/>
            </w:tcMar>
          </w:tcPr>
          <w:p>
            <w:pPr>
              <w:spacing w:after="0"/>
            </w:pPr>
            <w:r>
              <w:rPr>
                <w:sz w:val="17"/>
              </w:rPr>
              <w:t>Addressed: Built internal verification queue; designed decoupled API adapter.</w:t>
            </w:r>
          </w:p>
        </w:tc>
      </w:tr>
      <w:tr>
        <w:tc>
          <w:tcPr>
            <w:tcW w:type="dxa" w:w="3250"/>
            <w:shd w:fill="FFFFFF"/>
            <w:tcMar>
              <w:top w:w="60" w:type="dxa"/>
              <w:bottom w:w="60" w:type="dxa"/>
              <w:left w:w="70" w:type="dxa"/>
              <w:right w:w="70" w:type="dxa"/>
            </w:tcMar>
          </w:tcPr>
          <w:p>
            <w:pPr>
              <w:spacing w:after="0"/>
            </w:pPr>
            <w:r>
              <w:rPr>
                <w:b/>
                <w:sz w:val="17"/>
              </w:rPr>
              <w:t>Security Classification</w:t>
            </w:r>
          </w:p>
        </w:tc>
        <w:tc>
          <w:tcPr>
            <w:tcW w:type="dxa" w:w="3250"/>
            <w:shd w:fill="FFFFFF"/>
            <w:tcMar>
              <w:top w:w="60" w:type="dxa"/>
              <w:bottom w:w="60" w:type="dxa"/>
              <w:left w:w="70" w:type="dxa"/>
              <w:right w:w="70" w:type="dxa"/>
            </w:tcMar>
          </w:tcPr>
          <w:p>
            <w:pPr>
              <w:spacing w:after="0"/>
            </w:pPr>
            <w:r>
              <w:rPr>
                <w:sz w:val="17"/>
              </w:rPr>
              <w:t>Security must be treated as a Functional Requirement, not just a non-functional note.</w:t>
            </w:r>
          </w:p>
        </w:tc>
        <w:tc>
          <w:tcPr>
            <w:tcW w:type="dxa" w:w="3250"/>
            <w:shd w:fill="FFFFFF"/>
            <w:tcMar>
              <w:top w:w="60" w:type="dxa"/>
              <w:bottom w:w="60" w:type="dxa"/>
              <w:left w:w="70" w:type="dxa"/>
              <w:right w:w="70" w:type="dxa"/>
            </w:tcMar>
          </w:tcPr>
          <w:p>
            <w:pPr>
              <w:spacing w:after="0"/>
            </w:pPr>
            <w:r>
              <w:rPr>
                <w:sz w:val="17"/>
              </w:rPr>
              <w:t>Addressed: Formulated 6 core Functional Requirements (RBAC, BCRYPT, PDO, XSS, Audit).</w:t>
            </w:r>
          </w:p>
        </w:tc>
      </w:tr>
      <w:tr>
        <w:tc>
          <w:tcPr>
            <w:tcW w:type="dxa" w:w="3250"/>
            <w:shd w:fill="F8FAFC"/>
            <w:tcMar>
              <w:top w:w="60" w:type="dxa"/>
              <w:bottom w:w="60" w:type="dxa"/>
              <w:left w:w="70" w:type="dxa"/>
              <w:right w:w="70" w:type="dxa"/>
            </w:tcMar>
          </w:tcPr>
          <w:p>
            <w:pPr>
              <w:spacing w:after="0"/>
            </w:pPr>
            <w:r>
              <w:rPr>
                <w:b/>
                <w:sz w:val="17"/>
              </w:rPr>
              <w:t>Sports Coverage</w:t>
            </w:r>
          </w:p>
        </w:tc>
        <w:tc>
          <w:tcPr>
            <w:tcW w:type="dxa" w:w="3250"/>
            <w:shd w:fill="F8FAFC"/>
            <w:tcMar>
              <w:top w:w="60" w:type="dxa"/>
              <w:bottom w:w="60" w:type="dxa"/>
              <w:left w:w="70" w:type="dxa"/>
              <w:right w:w="70" w:type="dxa"/>
            </w:tcMar>
          </w:tcPr>
          <w:p>
            <w:pPr>
              <w:spacing w:after="0"/>
            </w:pPr>
            <w:r>
              <w:rPr>
                <w:sz w:val="17"/>
              </w:rPr>
              <w:t>System must cover all university sports, not a limited selection.</w:t>
            </w:r>
          </w:p>
        </w:tc>
        <w:tc>
          <w:tcPr>
            <w:tcW w:type="dxa" w:w="3250"/>
            <w:shd w:fill="F8FAFC"/>
            <w:tcMar>
              <w:top w:w="60" w:type="dxa"/>
              <w:bottom w:w="60" w:type="dxa"/>
              <w:left w:w="70" w:type="dxa"/>
              <w:right w:w="70" w:type="dxa"/>
            </w:tcMar>
          </w:tcPr>
          <w:p>
            <w:pPr>
              <w:spacing w:after="0"/>
            </w:pPr>
            <w:r>
              <w:rPr>
                <w:sz w:val="17"/>
              </w:rPr>
              <w:t>Addressed: Normalized dynamic sports catalog supporting all 24+ UOC sports.</w:t>
            </w:r>
          </w:p>
        </w:tc>
      </w:tr>
      <w:tr>
        <w:tc>
          <w:tcPr>
            <w:tcW w:type="dxa" w:w="3250"/>
            <w:shd w:fill="FFFFFF"/>
            <w:tcMar>
              <w:top w:w="60" w:type="dxa"/>
              <w:bottom w:w="60" w:type="dxa"/>
              <w:left w:w="70" w:type="dxa"/>
              <w:right w:w="70" w:type="dxa"/>
            </w:tcMar>
          </w:tcPr>
          <w:p>
            <w:pPr>
              <w:spacing w:after="0"/>
            </w:pPr>
            <w:r>
              <w:rPr>
                <w:b/>
                <w:sz w:val="17"/>
              </w:rPr>
              <w:t>Medical Lock Release</w:t>
            </w:r>
          </w:p>
        </w:tc>
        <w:tc>
          <w:tcPr>
            <w:tcW w:type="dxa" w:w="3250"/>
            <w:shd w:fill="FFFFFF"/>
            <w:tcMar>
              <w:top w:w="60" w:type="dxa"/>
              <w:bottom w:w="60" w:type="dxa"/>
              <w:left w:w="70" w:type="dxa"/>
              <w:right w:w="70" w:type="dxa"/>
            </w:tcMar>
          </w:tcPr>
          <w:p>
            <w:pPr>
              <w:spacing w:after="0"/>
            </w:pPr>
            <w:r>
              <w:rPr>
                <w:sz w:val="17"/>
              </w:rPr>
              <w:t>Do not automate medical lock release; it causes unnecessary clinical complications.</w:t>
            </w:r>
          </w:p>
        </w:tc>
        <w:tc>
          <w:tcPr>
            <w:tcW w:type="dxa" w:w="3250"/>
            <w:shd w:fill="FFFFFF"/>
            <w:tcMar>
              <w:top w:w="60" w:type="dxa"/>
              <w:bottom w:w="60" w:type="dxa"/>
              <w:left w:w="70" w:type="dxa"/>
              <w:right w:w="70" w:type="dxa"/>
            </w:tcMar>
          </w:tcPr>
          <w:p>
            <w:pPr>
              <w:spacing w:after="0"/>
            </w:pPr>
            <w:r>
              <w:rPr>
                <w:sz w:val="17"/>
              </w:rPr>
              <w:t>Addressed: Removed automated unlock; made clearance strictly manual by Medical Officer.</w:t>
            </w:r>
          </w:p>
        </w:tc>
      </w:tr>
      <w:tr>
        <w:tc>
          <w:tcPr>
            <w:tcW w:type="dxa" w:w="3250"/>
            <w:shd w:fill="F8FAFC"/>
            <w:tcMar>
              <w:top w:w="60" w:type="dxa"/>
              <w:bottom w:w="60" w:type="dxa"/>
              <w:left w:w="70" w:type="dxa"/>
              <w:right w:w="70" w:type="dxa"/>
            </w:tcMar>
          </w:tcPr>
          <w:p>
            <w:pPr>
              <w:spacing w:after="0"/>
            </w:pPr>
            <w:r>
              <w:rPr>
                <w:b/>
                <w:sz w:val="17"/>
              </w:rPr>
              <w:t>Design Diagrams (Rejected)</w:t>
            </w:r>
          </w:p>
        </w:tc>
        <w:tc>
          <w:tcPr>
            <w:tcW w:type="dxa" w:w="3250"/>
            <w:shd w:fill="F8FAFC"/>
            <w:tcMar>
              <w:top w:w="60" w:type="dxa"/>
              <w:bottom w:w="60" w:type="dxa"/>
              <w:left w:w="70" w:type="dxa"/>
              <w:right w:w="70" w:type="dxa"/>
            </w:tcMar>
          </w:tcPr>
          <w:p>
            <w:pPr>
              <w:spacing w:after="0"/>
            </w:pPr>
            <w:r>
              <w:rPr>
                <w:sz w:val="17"/>
              </w:rPr>
              <w:t>Component diagrams and visual representations needed standardization with codebase.</w:t>
            </w:r>
          </w:p>
        </w:tc>
        <w:tc>
          <w:tcPr>
            <w:tcW w:type="dxa" w:w="3250"/>
            <w:shd w:fill="F8FAFC"/>
            <w:tcMar>
              <w:top w:w="60" w:type="dxa"/>
              <w:bottom w:w="60" w:type="dxa"/>
              <w:left w:w="70" w:type="dxa"/>
              <w:right w:w="70" w:type="dxa"/>
            </w:tcMar>
          </w:tcPr>
          <w:p>
            <w:pPr>
              <w:spacing w:after="0"/>
            </w:pPr>
            <w:r>
              <w:rPr>
                <w:sz w:val="17"/>
              </w:rPr>
              <w:t>Rectified: Standardized UML Component Diagram and unified shared UI design components.</w:t>
            </w:r>
          </w:p>
        </w:tc>
      </w:tr>
    </w:tbl>
    <w:p>
      <w:pPr>
        <w:spacing w:before="220" w:after="60"/>
      </w:pPr>
      <w:r>
        <w:rPr>
          <w:b/>
          <w:color w:val="07162D"/>
          <w:sz w:val="24"/>
        </w:rPr>
        <w:t>3. Detailed Feedback &amp; Actions Taken</w:t>
      </w:r>
    </w:p>
    <w:p>
      <w:pPr>
        <w:spacing w:before="160" w:after="40"/>
      </w:pPr>
      <w:r>
        <w:rPr>
          <w:b/>
          <w:color w:val="087F80"/>
          <w:sz w:val="22"/>
        </w:rPr>
        <w:t>3.1 Student Database Verification</w:t>
      </w:r>
    </w:p>
    <w:tbl>
      <w:tblPr>
        <w:tblW w:type="auto" w:w="0"/>
        <w:jc w:val="center"/>
        <w:tblLayout w:type="fixed"/>
        <w:tblLook w:firstColumn="1" w:firstRow="1" w:lastColumn="0" w:lastRow="0" w:noHBand="0" w:noVBand="1" w:val="04A0"/>
      </w:tblPr>
      <w:tblGrid>
        <w:gridCol w:w="9749"/>
      </w:tblGrid>
      <w:tr>
        <w:tc>
          <w:tcPr>
            <w:tcW w:type="dxa" w:w="9749"/>
            <w:shd w:fill="F8FAFC"/>
            <w:tcMar>
              <w:top w:w="60" w:type="dxa"/>
              <w:bottom w:w="60" w:type="dxa"/>
              <w:left w:w="120" w:type="dxa"/>
              <w:right w:w="120" w:type="dxa"/>
            </w:tcMar>
            <w:tcBorders>
              <w:left w:val="single" w:sz="20" w:color="087F80"/>
              <w:top w:val="none"/>
              <w:right w:val="none"/>
              <w:bottom w:val="none"/>
            </w:tcBorders>
          </w:tcPr>
          <w:p>
            <w:pPr>
              <w:spacing w:after="0"/>
            </w:pPr>
            <w:r>
              <w:rPr>
                <w:b/>
                <w:color w:val="07162D"/>
                <w:sz w:val="19"/>
              </w:rPr>
              <w:t xml:space="preserve">Feedback Received: </w:t>
            </w:r>
            <w:r>
              <w:rPr>
                <w:i/>
                <w:color w:val="334155"/>
                <w:sz w:val="19"/>
              </w:rPr>
              <w:t>"You can't cross-check with the student database practically. So, it is okay to assume that the verification against real university students can be done when such information is available."</w:t>
            </w:r>
          </w:p>
        </w:tc>
      </w:tr>
    </w:tbl>
    <w:p>
      <w:r>
        <w:t>Why this feedback was given: During academic project development, student teams cannot realistically obtain direct API or database access to the official University of Colombo Student Information System (SIS/ERP) due to institutional security and student privacy policies. The panel clarified that we should not stall development attempting to connect to external servers, but rather model it as a valid assumption.</w:t>
      </w:r>
    </w:p>
    <w:p>
      <w:r>
        <w:t>What we have done:</w:t>
      </w:r>
    </w:p>
    <w:p>
      <w:r>
        <w:rPr>
          <w:b/>
        </w:rPr>
        <w:t xml:space="preserve">1. Internal Verification Queue: </w:t>
      </w:r>
      <w:r>
        <w:t>In views/admin_user_management.php, when student-athletes register, they enter their Index Number, Academic Year, and Faculty. Their applications are held in a pending verification queue. The System Administrator or TIC reviews these details and clicks 'Approve' or 'Reject'.</w:t>
      </w:r>
    </w:p>
    <w:p>
      <w:r>
        <w:rPr>
          <w:b/>
        </w:rPr>
        <w:t xml:space="preserve">2. Extensible Service Interface: </w:t>
      </w:r>
      <w:r>
        <w:t>We structured the authentication logic so that when official university SIS API credentials become available in production, an API call can be connected seamlessly without altering the core database schema.</w:t>
      </w:r>
    </w:p>
    <w:p>
      <w:pPr>
        <w:spacing w:before="160" w:after="40"/>
      </w:pPr>
      <w:r>
        <w:rPr>
          <w:b/>
          <w:color w:val="087F80"/>
          <w:sz w:val="22"/>
        </w:rPr>
        <w:t>3.2 Security as a Functional Requirement</w:t>
      </w:r>
    </w:p>
    <w:tbl>
      <w:tblPr>
        <w:tblW w:type="auto" w:w="0"/>
        <w:jc w:val="center"/>
        <w:tblLayout w:type="fixed"/>
        <w:tblLook w:firstColumn="1" w:firstRow="1" w:lastColumn="0" w:lastRow="0" w:noHBand="0" w:noVBand="1" w:val="04A0"/>
      </w:tblPr>
      <w:tblGrid>
        <w:gridCol w:w="9749"/>
      </w:tblGrid>
      <w:tr>
        <w:tc>
          <w:tcPr>
            <w:tcW w:type="dxa" w:w="9749"/>
            <w:shd w:fill="F8FAFC"/>
            <w:tcMar>
              <w:top w:w="60" w:type="dxa"/>
              <w:bottom w:w="60" w:type="dxa"/>
              <w:left w:w="120" w:type="dxa"/>
              <w:right w:w="120" w:type="dxa"/>
            </w:tcMar>
            <w:tcBorders>
              <w:left w:val="single" w:sz="20" w:color="087F80"/>
              <w:top w:val="none"/>
              <w:right w:val="none"/>
              <w:bottom w:val="none"/>
            </w:tcBorders>
          </w:tcPr>
          <w:p>
            <w:pPr>
              <w:spacing w:after="0"/>
            </w:pPr>
            <w:r>
              <w:rPr>
                <w:b/>
                <w:color w:val="07162D"/>
                <w:sz w:val="19"/>
              </w:rPr>
              <w:t xml:space="preserve">Feedback Received: </w:t>
            </w:r>
            <w:r>
              <w:rPr>
                <w:i/>
                <w:color w:val="334155"/>
                <w:sz w:val="19"/>
              </w:rPr>
              <w:t>"Security is a functional requirement."</w:t>
            </w:r>
          </w:p>
        </w:tc>
      </w:tr>
    </w:tbl>
    <w:p>
      <w:r>
        <w:t>Why this feedback was given: Security in an enterprise athletic portal is not merely a high-level non-functional preference. Access control, password hashing, and injection defense are active functionalities that dictate system operation.</w:t>
      </w:r>
    </w:p>
    <w:p>
      <w:r>
        <w:t>What we have done:</w:t>
      </w:r>
    </w:p>
    <w:p>
      <w:pPr>
        <w:ind w:left="288"/>
      </w:pPr>
      <w:r>
        <w:rPr>
          <w:b/>
        </w:rPr>
        <w:t xml:space="preserve">FR-SEC-01 (Password Hashing): </w:t>
      </w:r>
      <w:r>
        <w:t>Implemented BCRYPT password hashing using password_hash($password, PASSWORD_BCRYPT) and password_verify() in models/User.php and controllers/AuthController.php. Passwords are never stored in plaintext.</w:t>
      </w:r>
    </w:p>
    <w:p>
      <w:pPr>
        <w:ind w:left="288"/>
      </w:pPr>
      <w:r>
        <w:rPr>
          <w:b/>
        </w:rPr>
        <w:t xml:space="preserve">FR-SEC-02 (Role-Based Access Control - RBAC): </w:t>
      </w:r>
      <w:r>
        <w:t>Built centralized middleware in config/auth_guard.php. Every protected dashboard calls requireRole() at Line 1 to prevent unauthorized access and privilege escalation across 8 distinct roles.</w:t>
      </w:r>
    </w:p>
    <w:p>
      <w:pPr>
        <w:ind w:left="288"/>
      </w:pPr>
      <w:r>
        <w:rPr>
          <w:b/>
        </w:rPr>
        <w:t xml:space="preserve">FR-SEC-03 (Session Security): </w:t>
      </w:r>
      <w:r>
        <w:t>Session lifecycle strictly managed. Upon logout, $_SESSION is cleared and session cookies are invalidated via session_destroy().</w:t>
      </w:r>
    </w:p>
    <w:p>
      <w:pPr>
        <w:ind w:left="288"/>
      </w:pPr>
      <w:r>
        <w:rPr>
          <w:b/>
        </w:rPr>
        <w:t xml:space="preserve">FR-SEC-04 (SQL Injection Immunity): </w:t>
      </w:r>
      <w:r>
        <w:t>All database queries across all models use PDO Parameterized Prepared Statements with :placeholder bindings. Emulated prepares are disabled in config/db.php.</w:t>
      </w:r>
    </w:p>
    <w:p>
      <w:pPr>
        <w:ind w:left="288"/>
      </w:pPr>
      <w:r>
        <w:rPr>
          <w:b/>
        </w:rPr>
        <w:t xml:space="preserve">FR-SEC-05 (Cross-Site Scripting - XSS Prevention): </w:t>
      </w:r>
      <w:r>
        <w:t>All user-generated text is escaped using htmlspecialchars($var, ENT_QUOTES, 'UTF-8') before rendering in the browser.</w:t>
      </w:r>
    </w:p>
    <w:p>
      <w:pPr>
        <w:ind w:left="288"/>
      </w:pPr>
      <w:r>
        <w:rPr>
          <w:b/>
        </w:rPr>
        <w:t xml:space="preserve">FR-SEC-06 (Audit Logging): </w:t>
      </w:r>
      <w:r>
        <w:t>Security-critical actions (user provisioning, role edits, account deletions) are logged in views/admin_audit_logs.php with timestamp, actor, and status.</w:t>
      </w:r>
    </w:p>
    <w:p>
      <w:pPr>
        <w:spacing w:before="160" w:after="40"/>
      </w:pPr>
      <w:r>
        <w:rPr>
          <w:b/>
          <w:color w:val="087F80"/>
          <w:sz w:val="22"/>
        </w:rPr>
        <w:t>3.3 Full Multi-Sport Coverage</w:t>
      </w:r>
    </w:p>
    <w:tbl>
      <w:tblPr>
        <w:tblW w:type="auto" w:w="0"/>
        <w:jc w:val="center"/>
        <w:tblLayout w:type="fixed"/>
        <w:tblLook w:firstColumn="1" w:firstRow="1" w:lastColumn="0" w:lastRow="0" w:noHBand="0" w:noVBand="1" w:val="04A0"/>
      </w:tblPr>
      <w:tblGrid>
        <w:gridCol w:w="9749"/>
      </w:tblGrid>
      <w:tr>
        <w:tc>
          <w:tcPr>
            <w:tcW w:type="dxa" w:w="9749"/>
            <w:shd w:fill="F8FAFC"/>
            <w:tcMar>
              <w:top w:w="60" w:type="dxa"/>
              <w:bottom w:w="60" w:type="dxa"/>
              <w:left w:w="120" w:type="dxa"/>
              <w:right w:w="120" w:type="dxa"/>
            </w:tcMar>
            <w:tcBorders>
              <w:left w:val="single" w:sz="20" w:color="087F80"/>
              <w:top w:val="none"/>
              <w:right w:val="none"/>
              <w:bottom w:val="none"/>
            </w:tcBorders>
          </w:tcPr>
          <w:p>
            <w:pPr>
              <w:spacing w:after="0"/>
            </w:pPr>
            <w:r>
              <w:rPr>
                <w:b/>
                <w:color w:val="07162D"/>
                <w:sz w:val="19"/>
              </w:rPr>
              <w:t xml:space="preserve">Feedback Received: </w:t>
            </w:r>
            <w:r>
              <w:rPr>
                <w:i/>
                <w:color w:val="334155"/>
                <w:sz w:val="19"/>
              </w:rPr>
              <w:t>"You mentioned that you will be covering all the sports."</w:t>
            </w:r>
          </w:p>
        </w:tc>
      </w:tr>
    </w:tbl>
    <w:p>
      <w:r>
        <w:t>Why this feedback was given: In the proposal, our group committed to managing all University of Colombo sports. The evaluators noted this to ensure our system does not hardcode single-sport workflows.</w:t>
      </w:r>
    </w:p>
    <w:p>
      <w:r>
        <w:t>What we have done:</w:t>
      </w:r>
    </w:p>
    <w:p>
      <w:r>
        <w:rPr>
          <w:b/>
        </w:rPr>
        <w:t xml:space="preserve">1. Dynamic Relational Schema: </w:t>
      </w:r>
      <w:r>
        <w:t>All sport-specific operations—such as training_sessions, equipment inventory, match squads, and injuries—are relationally mapped to a central sports table via sport_id foreign keys, supporting all 24+ official UOC sports (Cricket, Badminton, Football, Swimming, etc.).</w:t>
      </w:r>
    </w:p>
    <w:p>
      <w:r>
        <w:rPr>
          <w:b/>
        </w:rPr>
        <w:t xml:space="preserve">2. Sports Catalog Management: </w:t>
      </w:r>
      <w:r>
        <w:t>In views/admin_sports_catalog.php, administrators can configure athletic programs, categories (Indoor, Outdoor, Aquatic, Racquet), and availability dynamically without changing source code.</w:t>
      </w:r>
    </w:p>
    <w:p>
      <w:pPr>
        <w:spacing w:before="160" w:after="40"/>
      </w:pPr>
      <w:r>
        <w:rPr>
          <w:b/>
          <w:color w:val="087F80"/>
          <w:sz w:val="22"/>
        </w:rPr>
        <w:t>3.4 Medical Lock Release (Manual Clinical Discretion)</w:t>
      </w:r>
    </w:p>
    <w:tbl>
      <w:tblPr>
        <w:tblW w:type="auto" w:w="0"/>
        <w:jc w:val="center"/>
        <w:tblLayout w:type="fixed"/>
        <w:tblLook w:firstColumn="1" w:firstRow="1" w:lastColumn="0" w:lastRow="0" w:noHBand="0" w:noVBand="1" w:val="04A0"/>
      </w:tblPr>
      <w:tblGrid>
        <w:gridCol w:w="9749"/>
      </w:tblGrid>
      <w:tr>
        <w:tc>
          <w:tcPr>
            <w:tcW w:type="dxa" w:w="9749"/>
            <w:shd w:fill="F8FAFC"/>
            <w:tcMar>
              <w:top w:w="60" w:type="dxa"/>
              <w:bottom w:w="60" w:type="dxa"/>
              <w:left w:w="120" w:type="dxa"/>
              <w:right w:w="120" w:type="dxa"/>
            </w:tcMar>
            <w:tcBorders>
              <w:left w:val="single" w:sz="20" w:color="087F80"/>
              <w:top w:val="none"/>
              <w:right w:val="none"/>
              <w:bottom w:val="none"/>
            </w:tcBorders>
          </w:tcPr>
          <w:p>
            <w:pPr>
              <w:spacing w:after="0"/>
            </w:pPr>
            <w:r>
              <w:rPr>
                <w:b/>
                <w:color w:val="07162D"/>
                <w:sz w:val="19"/>
              </w:rPr>
              <w:t xml:space="preserve">Feedback Received: </w:t>
            </w:r>
            <w:r>
              <w:rPr>
                <w:i/>
                <w:color w:val="334155"/>
                <w:sz w:val="19"/>
              </w:rPr>
              <w:t>"You don't have to automate medical lock release as it may result in unnecessary complications."</w:t>
            </w:r>
          </w:p>
        </w:tc>
      </w:tr>
    </w:tbl>
    <w:p>
      <w:r>
        <w:t>Why this feedback was given: Automatically clearing an injured athlete based on a fixed timer (e.g., auto-unlocking after 14 days) creates severe medical and legal liability. An athlete could still be injured, play, and suffer worse trauma.</w:t>
      </w:r>
    </w:p>
    <w:p>
      <w:r>
        <w:t>What we have done:</w:t>
      </w:r>
    </w:p>
    <w:p>
      <w:r>
        <w:rPr>
          <w:b/>
        </w:rPr>
        <w:t xml:space="preserve">1. Permanent Elimination of Auto-Unlock: </w:t>
      </w:r>
      <w:r>
        <w:t>All automated time-based medical unlocks have been removed from the application.</w:t>
      </w:r>
    </w:p>
    <w:p>
      <w:r>
        <w:rPr>
          <w:b/>
        </w:rPr>
        <w:t xml:space="preserve">2. Certified Clinician Clearance: </w:t>
      </w:r>
      <w:r>
        <w:t>In views/med_clearance.php and models/Medical.php, medical clearance is strictly a manual clinical assessment. The Medical Officer must examine the athlete in person, record clinical notes, certify fitness, and issue clearance manually.</w:t>
      </w:r>
    </w:p>
    <w:p>
      <w:pPr>
        <w:spacing w:before="160" w:after="40"/>
      </w:pPr>
      <w:r>
        <w:rPr>
          <w:b/>
          <w:color w:val="087F80"/>
          <w:sz w:val="22"/>
        </w:rPr>
        <w:t>3.5 Standardizing Design Diagrams &amp; UI Consistency</w:t>
      </w:r>
    </w:p>
    <w:tbl>
      <w:tblPr>
        <w:tblW w:type="auto" w:w="0"/>
        <w:jc w:val="center"/>
        <w:tblLayout w:type="fixed"/>
        <w:tblLook w:firstColumn="1" w:firstRow="1" w:lastColumn="0" w:lastRow="0" w:noHBand="0" w:noVBand="1" w:val="04A0"/>
      </w:tblPr>
      <w:tblGrid>
        <w:gridCol w:w="9749"/>
      </w:tblGrid>
      <w:tr>
        <w:tc>
          <w:tcPr>
            <w:tcW w:type="dxa" w:w="9749"/>
            <w:shd w:fill="F8FAFC"/>
            <w:tcMar>
              <w:top w:w="60" w:type="dxa"/>
              <w:bottom w:w="60" w:type="dxa"/>
              <w:left w:w="120" w:type="dxa"/>
              <w:right w:w="120" w:type="dxa"/>
            </w:tcMar>
            <w:tcBorders>
              <w:left w:val="single" w:sz="20" w:color="087F80"/>
              <w:top w:val="none"/>
              <w:right w:val="none"/>
              <w:bottom w:val="none"/>
            </w:tcBorders>
          </w:tcPr>
          <w:p>
            <w:pPr>
              <w:spacing w:after="0"/>
            </w:pPr>
            <w:r>
              <w:rPr>
                <w:b/>
                <w:color w:val="07162D"/>
                <w:sz w:val="19"/>
              </w:rPr>
              <w:t xml:space="preserve">Proposal Evaluation Result: </w:t>
            </w:r>
            <w:r>
              <w:rPr>
                <w:i/>
                <w:color w:val="334155"/>
                <w:sz w:val="19"/>
              </w:rPr>
              <w:t>"Design Diagrams: Reject"</w:t>
            </w:r>
          </w:p>
        </w:tc>
      </w:tr>
    </w:tbl>
    <w:p>
      <w:r>
        <w:t>Why this feedback was given: Early design diagrams had discrepancies with component reusability and visual components on GitHub.</w:t>
      </w:r>
    </w:p>
    <w:p>
      <w:r>
        <w:t>What we have done:</w:t>
      </w:r>
    </w:p>
    <w:p>
      <w:r>
        <w:rPr>
          <w:b/>
        </w:rPr>
        <w:t xml:space="preserve">1. Standardized UML Component Architecture: </w:t>
      </w:r>
      <w:r>
        <w:t>We restructured our diagrams into a formal 4-layer Model-View-Controller (MVC) architecture:</w:t>
        <w:br/>
        <w:t>• Presentation Layer: Dynamic views (admin_*, coach_*, tic_*, med_*, ath_*) using reusable layout partials.</w:t>
        <w:br/>
        <w:t>• Security Guard Layer: Centralized config/auth_guard.php checking session and RBAC.</w:t>
        <w:br/>
        <w:t>• Controller Layer: Application routers (AuthController, AdminController, TicController, CoachController, MedicalController).</w:t>
        <w:br/>
        <w:t>• Model Layer: Data access objects with business rules (Admin.php, Equipment.php, Coach.php, Medical.php, User.php).</w:t>
        <w:br/>
        <w:t>• Persistence Layer: MySQL relational database accessed strictly via PDO prepared statements.</w:t>
      </w:r>
    </w:p>
    <w:p>
      <w:r>
        <w:rPr>
          <w:b/>
        </w:rPr>
        <w:t xml:space="preserve">2. Shared Design Tokens &amp; UI Consistency on GitHub: </w:t>
      </w:r>
      <w:r>
        <w:t>Standardized shared CSS variables (Navy #07162d, Teal #087f80) and reusable partials (admin_sidebar.php, tic_sidebar.php) so that all role portals maintain an identical, premium visual appearance across team member branches.</w:t>
      </w:r>
    </w:p>
    <w:p>
      <w:pPr>
        <w:spacing w:before="220" w:after="60"/>
      </w:pPr>
      <w:r>
        <w:rPr>
          <w:b/>
          <w:color w:val="07162D"/>
          <w:sz w:val="24"/>
        </w:rPr>
        <w:t>4. Action Plan &amp; Implementation Milestones</w:t>
      </w:r>
    </w:p>
    <w:tbl>
      <w:tblPr>
        <w:tblW w:type="auto" w:w="0"/>
        <w:jc w:val="center"/>
        <w:tblLayout w:type="fixed"/>
        <w:tblLook w:firstColumn="1" w:firstRow="1" w:lastColumn="0" w:lastRow="0" w:noHBand="0" w:noVBand="1" w:val="04A0"/>
      </w:tblPr>
      <w:tblGrid>
        <w:gridCol w:w="2160"/>
        <w:gridCol w:w="5429"/>
        <w:gridCol w:w="2160"/>
      </w:tblGrid>
      <w:tr>
        <w:tc>
          <w:tcPr>
            <w:tcW w:type="dxa" w:w="3250"/>
            <w:shd w:fill="07162D"/>
            <w:tcMar>
              <w:top w:w="70" w:type="dxa"/>
              <w:bottom w:w="70" w:type="dxa"/>
              <w:left w:w="70" w:type="dxa"/>
              <w:right w:w="70" w:type="dxa"/>
            </w:tcMar>
          </w:tcPr>
          <w:p>
            <w:pPr>
              <w:spacing w:after="0"/>
            </w:pPr>
            <w:r>
              <w:rPr>
                <w:b/>
                <w:color w:val="FFFFFF"/>
                <w:sz w:val="18"/>
              </w:rPr>
              <w:t>Milestone</w:t>
            </w:r>
          </w:p>
        </w:tc>
        <w:tc>
          <w:tcPr>
            <w:tcW w:type="dxa" w:w="3250"/>
            <w:shd w:fill="07162D"/>
            <w:tcMar>
              <w:top w:w="70" w:type="dxa"/>
              <w:bottom w:w="70" w:type="dxa"/>
              <w:left w:w="70" w:type="dxa"/>
              <w:right w:w="70" w:type="dxa"/>
            </w:tcMar>
          </w:tcPr>
          <w:p>
            <w:pPr>
              <w:spacing w:after="0"/>
            </w:pPr>
            <w:r>
              <w:rPr>
                <w:b/>
                <w:color w:val="FFFFFF"/>
                <w:sz w:val="18"/>
              </w:rPr>
              <w:t>Tasks &amp; Deliverables</w:t>
            </w:r>
          </w:p>
        </w:tc>
        <w:tc>
          <w:tcPr>
            <w:tcW w:type="dxa" w:w="3250"/>
            <w:shd w:fill="07162D"/>
            <w:tcMar>
              <w:top w:w="70" w:type="dxa"/>
              <w:bottom w:w="70" w:type="dxa"/>
              <w:left w:w="70" w:type="dxa"/>
              <w:right w:w="70" w:type="dxa"/>
            </w:tcMar>
          </w:tcPr>
          <w:p>
            <w:pPr>
              <w:spacing w:after="0"/>
            </w:pPr>
            <w:r>
              <w:rPr>
                <w:b/>
                <w:color w:val="FFFFFF"/>
                <w:sz w:val="18"/>
              </w:rPr>
              <w:t>Status</w:t>
            </w:r>
          </w:p>
        </w:tc>
      </w:tr>
      <w:tr>
        <w:tc>
          <w:tcPr>
            <w:tcW w:type="dxa" w:w="3250"/>
            <w:shd w:fill="F8FAFC"/>
            <w:tcMar>
              <w:top w:w="50" w:type="dxa"/>
              <w:bottom w:w="50" w:type="dxa"/>
              <w:left w:w="70" w:type="dxa"/>
              <w:right w:w="70" w:type="dxa"/>
            </w:tcMar>
          </w:tcPr>
          <w:p>
            <w:pPr>
              <w:spacing w:after="0"/>
            </w:pPr>
            <w:r>
              <w:rPr>
                <w:b/>
                <w:sz w:val="17"/>
              </w:rPr>
              <w:t>Sprint 1 (Baseline)</w:t>
            </w:r>
          </w:p>
        </w:tc>
        <w:tc>
          <w:tcPr>
            <w:tcW w:type="dxa" w:w="3250"/>
            <w:shd w:fill="F8FAFC"/>
            <w:tcMar>
              <w:top w:w="50" w:type="dxa"/>
              <w:bottom w:w="50" w:type="dxa"/>
              <w:left w:w="70" w:type="dxa"/>
              <w:right w:w="70" w:type="dxa"/>
            </w:tcMar>
          </w:tcPr>
          <w:p>
            <w:pPr>
              <w:spacing w:after="0"/>
            </w:pPr>
            <w:r>
              <w:rPr>
                <w:sz w:val="17"/>
              </w:rPr>
              <w:t>Database normalization, unified login, BCRYPT hashing, RBAC middleware.</w:t>
            </w:r>
          </w:p>
        </w:tc>
        <w:tc>
          <w:tcPr>
            <w:tcW w:type="dxa" w:w="3250"/>
            <w:shd w:fill="F8FAFC"/>
            <w:tcMar>
              <w:top w:w="50" w:type="dxa"/>
              <w:bottom w:w="50" w:type="dxa"/>
              <w:left w:w="70" w:type="dxa"/>
              <w:right w:w="70" w:type="dxa"/>
            </w:tcMar>
          </w:tcPr>
          <w:p>
            <w:pPr>
              <w:spacing w:after="0"/>
            </w:pPr>
            <w:r>
              <w:rPr>
                <w:b/>
                <w:color w:val="15803D"/>
                <w:sz w:val="17"/>
              </w:rPr>
              <w:t>COMPLETED</w:t>
            </w:r>
          </w:p>
        </w:tc>
      </w:tr>
      <w:tr>
        <w:tc>
          <w:tcPr>
            <w:tcW w:type="dxa" w:w="3250"/>
            <w:shd w:fill="FFFFFF"/>
            <w:tcMar>
              <w:top w:w="50" w:type="dxa"/>
              <w:bottom w:w="50" w:type="dxa"/>
              <w:left w:w="70" w:type="dxa"/>
              <w:right w:w="70" w:type="dxa"/>
            </w:tcMar>
          </w:tcPr>
          <w:p>
            <w:pPr>
              <w:spacing w:after="0"/>
            </w:pPr>
            <w:r>
              <w:rPr>
                <w:b/>
                <w:sz w:val="17"/>
              </w:rPr>
              <w:t>Sprint 2 (Admin CRUD)</w:t>
            </w:r>
          </w:p>
        </w:tc>
        <w:tc>
          <w:tcPr>
            <w:tcW w:type="dxa" w:w="3250"/>
            <w:shd w:fill="FFFFFF"/>
            <w:tcMar>
              <w:top w:w="50" w:type="dxa"/>
              <w:bottom w:w="50" w:type="dxa"/>
              <w:left w:w="70" w:type="dxa"/>
              <w:right w:w="70" w:type="dxa"/>
            </w:tcMar>
          </w:tcPr>
          <w:p>
            <w:pPr>
              <w:spacing w:after="0"/>
            </w:pPr>
            <w:r>
              <w:rPr>
                <w:sz w:val="17"/>
              </w:rPr>
              <w:t>Admin portal full user CRUD (Provision, Edit, Delete), Verification Queue.</w:t>
            </w:r>
          </w:p>
        </w:tc>
        <w:tc>
          <w:tcPr>
            <w:tcW w:type="dxa" w:w="3250"/>
            <w:shd w:fill="FFFFFF"/>
            <w:tcMar>
              <w:top w:w="50" w:type="dxa"/>
              <w:bottom w:w="50" w:type="dxa"/>
              <w:left w:w="70" w:type="dxa"/>
              <w:right w:w="70" w:type="dxa"/>
            </w:tcMar>
          </w:tcPr>
          <w:p>
            <w:pPr>
              <w:spacing w:after="0"/>
            </w:pPr>
            <w:r>
              <w:rPr>
                <w:b/>
                <w:color w:val="15803D"/>
                <w:sz w:val="17"/>
              </w:rPr>
              <w:t>COMPLETED</w:t>
            </w:r>
          </w:p>
        </w:tc>
      </w:tr>
      <w:tr>
        <w:tc>
          <w:tcPr>
            <w:tcW w:type="dxa" w:w="3250"/>
            <w:shd w:fill="F8FAFC"/>
            <w:tcMar>
              <w:top w:w="50" w:type="dxa"/>
              <w:bottom w:w="50" w:type="dxa"/>
              <w:left w:w="70" w:type="dxa"/>
              <w:right w:w="70" w:type="dxa"/>
            </w:tcMar>
          </w:tcPr>
          <w:p>
            <w:pPr>
              <w:spacing w:after="0"/>
            </w:pPr>
            <w:r>
              <w:rPr>
                <w:b/>
                <w:sz w:val="17"/>
              </w:rPr>
              <w:t>Sprint 3 (TIC &amp; Medical)</w:t>
            </w:r>
          </w:p>
        </w:tc>
        <w:tc>
          <w:tcPr>
            <w:tcW w:type="dxa" w:w="3250"/>
            <w:shd w:fill="F8FAFC"/>
            <w:tcMar>
              <w:top w:w="50" w:type="dxa"/>
              <w:bottom w:w="50" w:type="dxa"/>
              <w:left w:w="70" w:type="dxa"/>
              <w:right w:w="70" w:type="dxa"/>
            </w:tcMar>
          </w:tcPr>
          <w:p>
            <w:pPr>
              <w:spacing w:after="0"/>
            </w:pPr>
            <w:r>
              <w:rPr>
                <w:sz w:val="17"/>
              </w:rPr>
              <w:t>TIC equipment smart restock CRUD, checkout transactions, manual medical clearance.</w:t>
            </w:r>
          </w:p>
        </w:tc>
        <w:tc>
          <w:tcPr>
            <w:tcW w:type="dxa" w:w="3250"/>
            <w:shd w:fill="F8FAFC"/>
            <w:tcMar>
              <w:top w:w="50" w:type="dxa"/>
              <w:bottom w:w="50" w:type="dxa"/>
              <w:left w:w="70" w:type="dxa"/>
              <w:right w:w="70" w:type="dxa"/>
            </w:tcMar>
          </w:tcPr>
          <w:p>
            <w:pPr>
              <w:spacing w:after="0"/>
            </w:pPr>
            <w:r>
              <w:rPr>
                <w:b/>
                <w:color w:val="15803D"/>
                <w:sz w:val="17"/>
              </w:rPr>
              <w:t>VERIFIED</w:t>
            </w:r>
          </w:p>
        </w:tc>
      </w:tr>
      <w:tr>
        <w:tc>
          <w:tcPr>
            <w:tcW w:type="dxa" w:w="3250"/>
            <w:shd w:fill="FFFFFF"/>
            <w:tcMar>
              <w:top w:w="50" w:type="dxa"/>
              <w:bottom w:w="50" w:type="dxa"/>
              <w:left w:w="70" w:type="dxa"/>
              <w:right w:w="70" w:type="dxa"/>
            </w:tcMar>
          </w:tcPr>
          <w:p>
            <w:pPr>
              <w:spacing w:after="0"/>
            </w:pPr>
            <w:r>
              <w:rPr>
                <w:b/>
                <w:sz w:val="17"/>
              </w:rPr>
              <w:t>Sprint 4 (Diagrams)</w:t>
            </w:r>
          </w:p>
        </w:tc>
        <w:tc>
          <w:tcPr>
            <w:tcW w:type="dxa" w:w="3250"/>
            <w:shd w:fill="FFFFFF"/>
            <w:tcMar>
              <w:top w:w="50" w:type="dxa"/>
              <w:bottom w:w="50" w:type="dxa"/>
              <w:left w:w="70" w:type="dxa"/>
              <w:right w:w="70" w:type="dxa"/>
            </w:tcMar>
          </w:tcPr>
          <w:p>
            <w:pPr>
              <w:spacing w:after="0"/>
            </w:pPr>
            <w:r>
              <w:rPr>
                <w:sz w:val="17"/>
              </w:rPr>
              <w:t>Overhaul UML diagrams (Component, Sequence, Activity) aligned with MVC code.</w:t>
            </w:r>
          </w:p>
        </w:tc>
        <w:tc>
          <w:tcPr>
            <w:tcW w:type="dxa" w:w="3250"/>
            <w:shd w:fill="FFFFFF"/>
            <w:tcMar>
              <w:top w:w="50" w:type="dxa"/>
              <w:bottom w:w="50" w:type="dxa"/>
              <w:left w:w="70" w:type="dxa"/>
              <w:right w:w="70" w:type="dxa"/>
            </w:tcMar>
          </w:tcPr>
          <w:p>
            <w:pPr>
              <w:spacing w:after="0"/>
            </w:pPr>
            <w:r>
              <w:rPr>
                <w:b/>
                <w:color w:val="0369A1"/>
                <w:sz w:val="17"/>
              </w:rPr>
              <w:t>IN PROGRESS</w:t>
            </w:r>
          </w:p>
        </w:tc>
      </w:tr>
      <w:tr>
        <w:tc>
          <w:tcPr>
            <w:tcW w:type="dxa" w:w="3250"/>
            <w:shd w:fill="F8FAFC"/>
            <w:tcMar>
              <w:top w:w="50" w:type="dxa"/>
              <w:bottom w:w="50" w:type="dxa"/>
              <w:left w:w="70" w:type="dxa"/>
              <w:right w:w="70" w:type="dxa"/>
            </w:tcMar>
          </w:tcPr>
          <w:p>
            <w:pPr>
              <w:spacing w:after="0"/>
            </w:pPr>
            <w:r>
              <w:rPr>
                <w:b/>
                <w:sz w:val="17"/>
              </w:rPr>
              <w:t>Sprint 5 (Integration)</w:t>
            </w:r>
          </w:p>
        </w:tc>
        <w:tc>
          <w:tcPr>
            <w:tcW w:type="dxa" w:w="3250"/>
            <w:shd w:fill="F8FAFC"/>
            <w:tcMar>
              <w:top w:w="50" w:type="dxa"/>
              <w:bottom w:w="50" w:type="dxa"/>
              <w:left w:w="70" w:type="dxa"/>
              <w:right w:w="70" w:type="dxa"/>
            </w:tcMar>
          </w:tcPr>
          <w:p>
            <w:pPr>
              <w:spacing w:after="0"/>
            </w:pPr>
            <w:r>
              <w:rPr>
                <w:sz w:val="17"/>
              </w:rPr>
              <w:t>Cross-portal component audit, mobile responsiveness, end-to-end testing.</w:t>
            </w:r>
          </w:p>
        </w:tc>
        <w:tc>
          <w:tcPr>
            <w:tcW w:type="dxa" w:w="3250"/>
            <w:shd w:fill="F8FAFC"/>
            <w:tcMar>
              <w:top w:w="50" w:type="dxa"/>
              <w:bottom w:w="50" w:type="dxa"/>
              <w:left w:w="70" w:type="dxa"/>
              <w:right w:w="70" w:type="dxa"/>
            </w:tcMar>
          </w:tcPr>
          <w:p>
            <w:pPr>
              <w:spacing w:after="0"/>
            </w:pPr>
            <w:r>
              <w:rPr>
                <w:b/>
                <w:color w:val="B45309"/>
                <w:sz w:val="17"/>
              </w:rPr>
              <w:t>SCHEDULED</w:t>
            </w:r>
          </w:p>
        </w:tc>
      </w:tr>
      <w:tr>
        <w:tc>
          <w:tcPr>
            <w:tcW w:type="dxa" w:w="3250"/>
            <w:shd w:fill="FFFFFF"/>
            <w:tcMar>
              <w:top w:w="50" w:type="dxa"/>
              <w:bottom w:w="50" w:type="dxa"/>
              <w:left w:w="70" w:type="dxa"/>
              <w:right w:w="70" w:type="dxa"/>
            </w:tcMar>
          </w:tcPr>
          <w:p>
            <w:pPr>
              <w:spacing w:after="0"/>
            </w:pPr>
            <w:r>
              <w:rPr>
                <w:b/>
                <w:sz w:val="17"/>
              </w:rPr>
              <w:t>Final Phase</w:t>
            </w:r>
          </w:p>
        </w:tc>
        <w:tc>
          <w:tcPr>
            <w:tcW w:type="dxa" w:w="3250"/>
            <w:shd w:fill="FFFFFF"/>
            <w:tcMar>
              <w:top w:w="50" w:type="dxa"/>
              <w:bottom w:w="50" w:type="dxa"/>
              <w:left w:w="70" w:type="dxa"/>
              <w:right w:w="70" w:type="dxa"/>
            </w:tcMar>
          </w:tcPr>
          <w:p>
            <w:pPr>
              <w:spacing w:after="0"/>
            </w:pPr>
            <w:r>
              <w:rPr>
                <w:sz w:val="17"/>
              </w:rPr>
              <w:t>Production deployment, final documentation, video demo, and project defense.</w:t>
            </w:r>
          </w:p>
        </w:tc>
        <w:tc>
          <w:tcPr>
            <w:tcW w:type="dxa" w:w="3250"/>
            <w:shd w:fill="FFFFFF"/>
            <w:tcMar>
              <w:top w:w="50" w:type="dxa"/>
              <w:bottom w:w="50" w:type="dxa"/>
              <w:left w:w="70" w:type="dxa"/>
              <w:right w:w="70" w:type="dxa"/>
            </w:tcMar>
          </w:tcPr>
          <w:p>
            <w:pPr>
              <w:spacing w:after="0"/>
            </w:pPr>
            <w:r>
              <w:rPr>
                <w:b/>
                <w:color w:val="B45309"/>
                <w:sz w:val="17"/>
              </w:rPr>
              <w:t>SCHEDULED</w:t>
            </w:r>
          </w:p>
        </w:tc>
      </w:tr>
    </w:tbl>
    <w:p>
      <w:pPr>
        <w:spacing w:before="220" w:after="60"/>
      </w:pPr>
      <w:r>
        <w:rPr>
          <w:b/>
          <w:color w:val="07162D"/>
          <w:sz w:val="24"/>
        </w:rPr>
        <w:t>5. Project Team Details &amp; Sign-Off</w:t>
      </w:r>
    </w:p>
    <w:p>
      <w:r>
        <w:t>All updates and implementations referenced in this document are actively synchronized on the main branch of our GitHub repository (Hemsara04/USMS).</w:t>
      </w:r>
    </w:p>
    <w:tbl>
      <w:tblPr>
        <w:tblW w:type="auto" w:w="0"/>
        <w:jc w:val="center"/>
        <w:tblLayout w:type="fixed"/>
        <w:tblLook w:firstColumn="1" w:firstRow="1" w:lastColumn="0" w:lastRow="0" w:noHBand="0" w:noVBand="1" w:val="04A0"/>
      </w:tblPr>
      <w:tblGrid>
        <w:gridCol w:w="3240"/>
        <w:gridCol w:w="3240"/>
        <w:gridCol w:w="3240"/>
      </w:tblGrid>
      <w:tr>
        <w:tc>
          <w:tcPr>
            <w:tcW w:type="dxa" w:w="3250"/>
            <w:shd w:fill="F8FAFC"/>
            <w:tcMar>
              <w:top w:w="60" w:type="dxa"/>
              <w:bottom w:w="60" w:type="dxa"/>
              <w:left w:w="80" w:type="dxa"/>
              <w:right w:w="80" w:type="dxa"/>
            </w:tcMar>
          </w:tcPr>
          <w:p>
            <w:pPr>
              <w:spacing w:after="0"/>
            </w:pPr>
            <w:r>
              <w:rPr>
                <w:b/>
                <w:color w:val="07162D"/>
                <w:sz w:val="18"/>
              </w:rPr>
              <w:t>Hasitha Hemsara</w:t>
              <w:br/>
            </w:r>
            <w:r>
              <w:rPr>
                <w:sz w:val="16"/>
              </w:rPr>
              <w:t>Index: 22020294 / IS</w:t>
              <w:br/>
            </w:r>
            <w:r>
              <w:rPr>
                <w:i/>
                <w:color w:val="087F80"/>
                <w:sz w:val="16"/>
              </w:rPr>
              <w:t>Backend &amp; Security Lead</w:t>
            </w:r>
          </w:p>
        </w:tc>
        <w:tc>
          <w:tcPr>
            <w:tcW w:type="dxa" w:w="3250"/>
            <w:shd w:fill="F8FAFC"/>
            <w:tcMar>
              <w:top w:w="60" w:type="dxa"/>
              <w:bottom w:w="60" w:type="dxa"/>
              <w:left w:w="80" w:type="dxa"/>
              <w:right w:w="80" w:type="dxa"/>
            </w:tcMar>
          </w:tcPr>
          <w:p>
            <w:pPr>
              <w:spacing w:after="0"/>
            </w:pPr>
            <w:r>
              <w:rPr>
                <w:b/>
                <w:color w:val="07162D"/>
                <w:sz w:val="18"/>
              </w:rPr>
              <w:t>Sandaruwan Bandara</w:t>
              <w:br/>
            </w:r>
            <w:r>
              <w:rPr>
                <w:sz w:val="16"/>
              </w:rPr>
              <w:t>Index: 22020308 / IS</w:t>
              <w:br/>
            </w:r>
            <w:r>
              <w:rPr>
                <w:i/>
                <w:color w:val="087F80"/>
                <w:sz w:val="16"/>
              </w:rPr>
              <w:t>Coach &amp; Match Module Lead</w:t>
            </w:r>
          </w:p>
        </w:tc>
        <w:tc>
          <w:tcPr>
            <w:tcW w:type="dxa" w:w="3250"/>
            <w:shd w:fill="F8FAFC"/>
            <w:tcMar>
              <w:top w:w="60" w:type="dxa"/>
              <w:bottom w:w="60" w:type="dxa"/>
              <w:left w:w="80" w:type="dxa"/>
              <w:right w:w="80" w:type="dxa"/>
            </w:tcMar>
          </w:tcPr>
          <w:p>
            <w:pPr>
              <w:spacing w:after="0"/>
            </w:pPr>
            <w:r>
              <w:rPr>
                <w:b/>
                <w:color w:val="07162D"/>
                <w:sz w:val="18"/>
              </w:rPr>
              <w:t>Abdullah Farook</w:t>
              <w:br/>
            </w:r>
            <w:r>
              <w:rPr>
                <w:sz w:val="16"/>
              </w:rPr>
              <w:t>Index: 22020112 / IS</w:t>
              <w:br/>
            </w:r>
            <w:r>
              <w:rPr>
                <w:i/>
                <w:color w:val="087F80"/>
                <w:sz w:val="16"/>
              </w:rPr>
              <w:t>UI/UX &amp; Frontend Lead</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